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05C6D">
      <w:pPr>
        <w:rPr>
          <w:b/>
          <w:bCs/>
        </w:rPr>
      </w:pPr>
      <w:r>
        <w:rPr>
          <w:b/>
          <w:bCs/>
        </w:rPr>
        <w:t>三、信号分析结果</w:t>
      </w:r>
    </w:p>
    <w:p w14:paraId="2C457B0F">
      <w:pPr>
        <w:rPr>
          <w:i/>
          <w:iCs/>
        </w:rPr>
      </w:pPr>
      <w:r>
        <w:rPr>
          <w:i/>
          <w:iCs/>
        </w:rPr>
        <w:drawing>
          <wp:inline distT="0" distB="0" distL="0" distR="0">
            <wp:extent cx="5274310" cy="2109470"/>
            <wp:effectExtent l="0" t="0" r="2540" b="5080"/>
            <wp:docPr id="1292243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43812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drawing>
          <wp:inline distT="0" distB="0" distL="0" distR="0">
            <wp:extent cx="5274310" cy="2109470"/>
            <wp:effectExtent l="0" t="0" r="2540" b="5080"/>
            <wp:docPr id="11841631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63138" name="图片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drawing>
          <wp:inline distT="0" distB="0" distL="0" distR="0">
            <wp:extent cx="5274310" cy="2109470"/>
            <wp:effectExtent l="0" t="0" r="2540" b="5080"/>
            <wp:docPr id="12588136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13620" name="图片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drawing>
          <wp:inline distT="0" distB="0" distL="0" distR="0">
            <wp:extent cx="5274310" cy="2109470"/>
            <wp:effectExtent l="0" t="0" r="2540" b="5080"/>
            <wp:docPr id="209726067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60674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4B0B">
      <w:r>
        <w:rPr>
          <w:b/>
          <w:bCs/>
        </w:rPr>
        <w:t>1. 时域波形图分析</w:t>
      </w:r>
    </w:p>
    <w:p w14:paraId="5625D0BE">
      <w:r>
        <w:rPr>
          <w:b/>
          <w:bCs/>
        </w:rPr>
        <w:t>图 1：Speaker1 的时域波形图</w:t>
      </w:r>
      <w:r>
        <w:t xml:space="preserve"> </w:t>
      </w:r>
      <w:r>
        <w:rPr>
          <w:b/>
          <w:bCs/>
        </w:rPr>
        <w:t>原理与现象解释：</w:t>
      </w:r>
      <w:r>
        <w:t xml:space="preserve"> 时域波形直观反映了语音信号幅度随时间的变化。从图中可以看出，语音信号具有明显的短时能量起伏。其中，振幅较大且具有一定周期性的部分通常对应浊音（如元音），而振幅较小、类似随机噪声的部分对应清音（如辅音）。通过波形的包络，我们可以清晰地分辨出每次数字发音的起止点，这为后续的端点检测（VAD）提供了物理依据。</w:t>
      </w:r>
    </w:p>
    <w:p w14:paraId="03C5EAA9">
      <w:r>
        <w:rPr>
          <w:b/>
          <w:bCs/>
        </w:rPr>
        <w:t>2. FFT 幅度谱分析</w:t>
      </w:r>
    </w:p>
    <w:p w14:paraId="5AC7FC81">
      <w:r>
        <w:rPr>
          <w:b/>
          <w:bCs/>
        </w:rPr>
        <w:t>图 2：整段音频的 FFT 幅度谱</w:t>
      </w:r>
      <w:r>
        <w:t xml:space="preserve"> </w:t>
      </w:r>
      <w:r>
        <w:rPr>
          <w:b/>
          <w:bCs/>
        </w:rPr>
        <w:t>原理与现象解释：</w:t>
      </w:r>
      <w:r>
        <w:t xml:space="preserve"> 我们对全局信号进行了快速傅里叶变换（FFT）。频谱图展示了该段语音的能量在各频率成分上的分布。可以看出，语音能量主要集中在低中频区域（通常在 300Hz - 3400Hz 之间）。然而，由于语音是非平稳信号，全局 FFT 只能反映整体频率成分，丢失了关键的时间演进信息，因此我们需要引入短时傅里叶变换。</w:t>
      </w:r>
    </w:p>
    <w:p w14:paraId="452EDA06">
      <w:r>
        <w:rPr>
          <w:b/>
          <w:bCs/>
        </w:rPr>
        <w:t>3. 语谱图（STFT）分析</w:t>
      </w:r>
    </w:p>
    <w:p w14:paraId="316EE701">
      <w:r>
        <w:rPr>
          <w:b/>
          <w:bCs/>
        </w:rPr>
        <w:t>图 3：短时傅里叶变换语谱图</w:t>
      </w:r>
      <w:r>
        <w:t xml:space="preserve"> </w:t>
      </w:r>
      <w:r>
        <w:rPr>
          <w:b/>
          <w:bCs/>
        </w:rPr>
        <w:t>原理与现象解释：</w:t>
      </w:r>
      <w:r>
        <w:t xml:space="preserve"> 语谱图是时间、频率和能量的三维展示（颜色深浅代表能量大小）。我们采用了长度为 2048 点的汉明窗进行分帧处理。图中明显的亮色横向条纹即为“共振峰”，它反映了声道谐振的特性。不同数字发音的共振峰位置和变化轨迹存在显著差异，这是区分不同词汇的重要声学特征。</w:t>
      </w:r>
    </w:p>
    <w:p w14:paraId="06A0EE81">
      <w:r>
        <w:rPr>
          <w:b/>
          <w:bCs/>
        </w:rPr>
        <w:t>4. MFCC 特征图分析</w:t>
      </w:r>
    </w:p>
    <w:p w14:paraId="66EA75DF">
      <w:r>
        <w:rPr>
          <w:b/>
          <w:bCs/>
        </w:rPr>
        <w:t>图 4：MFCC 特征热力图</w:t>
      </w:r>
      <w:r>
        <w:t xml:space="preserve"> </w:t>
      </w:r>
      <w:r>
        <w:rPr>
          <w:b/>
          <w:bCs/>
        </w:rPr>
        <w:t>原理与现象解释：</w:t>
      </w:r>
      <w:r>
        <w:t xml:space="preserve"> 梅尔频率倒谱系数（MFCC）是基于人耳非线性听觉特性提取的特征。我们通过预加重、分帧、加窗、梅尔滤波器组映射及离散余弦变换（DCT），最终提取了前 13 维系数。如图所示，MFCC 有效去除了发音人的声带基频等个性化音色信息，将能量集中在低维空间，保留了表征“所读数字”的核心语义包络，非常适合作为后续分类器的输入。</w:t>
      </w:r>
    </w:p>
    <w:p w14:paraId="3E334EEB"/>
    <w:p w14:paraId="2B39D958">
      <w:pPr>
        <w:rPr>
          <w:b/>
          <w:bCs/>
        </w:rPr>
      </w:pPr>
      <w:r>
        <w:rPr>
          <w:b/>
          <w:bCs/>
        </w:rPr>
        <w:t>四、特征提取流程（原理部分）</w:t>
      </w:r>
    </w:p>
    <w:p w14:paraId="6553CC4C">
      <w:r>
        <w:rPr>
          <w:b/>
          <w:bCs/>
        </w:rPr>
        <w:t>特征提取方法详述：</w:t>
      </w:r>
      <w:r>
        <w:t xml:space="preserve"> 本项目特征提取的核心流程如下：首先通过一阶高通滤波器（系数 0.97）进行</w:t>
      </w:r>
      <w:r>
        <w:rPr>
          <w:b/>
          <w:bCs/>
        </w:rPr>
        <w:t>预加重</w:t>
      </w:r>
      <w:r>
        <w:t>，补偿高频损耗；随后利用短时能量计算进行</w:t>
      </w:r>
      <w:r>
        <w:rPr>
          <w:b/>
          <w:bCs/>
        </w:rPr>
        <w:t>端点检测</w:t>
      </w:r>
      <w:r>
        <w:t>，切除无声段，并对异常切分引入了“能量排序筛选与时间重排机制”，精准截取了 0~9 的独立发音片段；最后，对有效片段提取 13 维 MFCC 特征，并对时间维度求均值，将每个数字的发音转换为定长的 13 维特征向量，构建出特征数据集。</w:t>
      </w:r>
    </w:p>
    <w:p w14:paraId="35EDF937">
      <w:pPr>
        <w:rPr>
          <w:rFonts w:hint="eastAsia"/>
        </w:rPr>
      </w:pPr>
    </w:p>
    <w:p w14:paraId="3F08D394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特征识别</w:t>
      </w:r>
    </w:p>
    <w:p w14:paraId="055E792F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5.1 模型设计（深度学习方法）</w:t>
      </w:r>
    </w:p>
    <w:p w14:paraId="3E735EE6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34D63EA3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5.1.1 输入特征选择依据</w:t>
      </w:r>
    </w:p>
    <w:p w14:paraId="4782C92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选择 MFCC 及其动态特征：MFCC 能有效去除发音人个性，保留语义内容；加入差分可补充发音的动态变化（如声调过渡），对区分易混淆数字（6/9、5/9）至关重要。  </w:t>
      </w:r>
    </w:p>
    <w:p w14:paraId="36B714C9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保留时序维度（40 帧）：孤立词识别中，发音的起止、共振峰轨迹等时序信息是关键，采用 1D-CNN 直接处理时序序列，避免提前池化造成信息损失。  </w:t>
      </w:r>
    </w:p>
    <w:p w14:paraId="3DC9B6E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不使用原始波形：原始波形维度高、噪声敏感，MFCC 特征更具稳健性。</w:t>
      </w:r>
    </w:p>
    <w:p w14:paraId="7E408527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1222997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5.1.2 网络结构（轻量级 1D-CNN + 深度可分离卷积）</w:t>
      </w:r>
    </w:p>
    <w:p w14:paraId="30DFFA2B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1DFA34A4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为在小样本（200 训练样本）下防止过拟合，设计了参数量较小的卷积网络。下表为网络详细结构：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8"/>
        <w:gridCol w:w="1473"/>
        <w:gridCol w:w="1507"/>
        <w:gridCol w:w="2896"/>
      </w:tblGrid>
      <w:tr w14:paraId="1D95B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</w:tcPr>
          <w:p w14:paraId="54BF8C02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层类型</w:t>
            </w:r>
          </w:p>
        </w:tc>
        <w:tc>
          <w:tcPr>
            <w:tcW w:w="1473" w:type="dxa"/>
          </w:tcPr>
          <w:p w14:paraId="6EF370F2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输出尺寸</w:t>
            </w:r>
          </w:p>
        </w:tc>
        <w:tc>
          <w:tcPr>
            <w:tcW w:w="1507" w:type="dxa"/>
          </w:tcPr>
          <w:p w14:paraId="0D971204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参数量</w:t>
            </w:r>
          </w:p>
        </w:tc>
        <w:tc>
          <w:tcPr>
            <w:tcW w:w="2896" w:type="dxa"/>
          </w:tcPr>
          <w:p w14:paraId="5F0F2E7D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说明</w:t>
            </w:r>
          </w:p>
        </w:tc>
      </w:tr>
      <w:tr w14:paraId="504DC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</w:tcPr>
          <w:p w14:paraId="74C27947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Input</w:t>
            </w:r>
          </w:p>
        </w:tc>
        <w:tc>
          <w:tcPr>
            <w:tcW w:w="1473" w:type="dxa"/>
          </w:tcPr>
          <w:p w14:paraId="23A5E9A1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(40, 39)</w:t>
            </w:r>
          </w:p>
        </w:tc>
        <w:tc>
          <w:tcPr>
            <w:tcW w:w="1507" w:type="dxa"/>
          </w:tcPr>
          <w:p w14:paraId="11D8CB76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0</w:t>
            </w:r>
          </w:p>
        </w:tc>
        <w:tc>
          <w:tcPr>
            <w:tcW w:w="2896" w:type="dxa"/>
          </w:tcPr>
          <w:p w14:paraId="3B0A4FE7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固定长度 40 帧，每帧 39 维</w:t>
            </w:r>
          </w:p>
        </w:tc>
      </w:tr>
      <w:tr w14:paraId="2C518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</w:tcPr>
          <w:p w14:paraId="62E2C039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Conv1D (32, k=3, padding='same')</w:t>
            </w:r>
          </w:p>
        </w:tc>
        <w:tc>
          <w:tcPr>
            <w:tcW w:w="1473" w:type="dxa"/>
          </w:tcPr>
          <w:p w14:paraId="08795AF6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(40, 32)</w:t>
            </w:r>
          </w:p>
        </w:tc>
        <w:tc>
          <w:tcPr>
            <w:tcW w:w="1507" w:type="dxa"/>
          </w:tcPr>
          <w:p w14:paraId="3C981625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3,776</w:t>
            </w:r>
          </w:p>
        </w:tc>
        <w:tc>
          <w:tcPr>
            <w:tcW w:w="2896" w:type="dxa"/>
          </w:tcPr>
          <w:p w14:paraId="75353FEA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提取局部时序模式</w:t>
            </w:r>
          </w:p>
        </w:tc>
      </w:tr>
      <w:tr w14:paraId="514CD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</w:tcPr>
          <w:p w14:paraId="0B2FB68F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BatchNormalization + ReLU</w:t>
            </w:r>
          </w:p>
        </w:tc>
        <w:tc>
          <w:tcPr>
            <w:tcW w:w="1473" w:type="dxa"/>
          </w:tcPr>
          <w:p w14:paraId="26C862F9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(40, 32)</w:t>
            </w:r>
          </w:p>
        </w:tc>
        <w:tc>
          <w:tcPr>
            <w:tcW w:w="1507" w:type="dxa"/>
          </w:tcPr>
          <w:p w14:paraId="7ADD5F85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128</w:t>
            </w:r>
          </w:p>
        </w:tc>
        <w:tc>
          <w:tcPr>
            <w:tcW w:w="2896" w:type="dxa"/>
          </w:tcPr>
          <w:p w14:paraId="34EA1B5F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加速收敛，稳定梯度</w:t>
            </w:r>
          </w:p>
        </w:tc>
      </w:tr>
      <w:tr w14:paraId="4DF36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</w:tcPr>
          <w:p w14:paraId="5714ACAB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Dropout(0.2)</w:t>
            </w:r>
          </w:p>
        </w:tc>
        <w:tc>
          <w:tcPr>
            <w:tcW w:w="1473" w:type="dxa"/>
          </w:tcPr>
          <w:p w14:paraId="6D8E56A6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(40, 32)</w:t>
            </w:r>
          </w:p>
        </w:tc>
        <w:tc>
          <w:tcPr>
            <w:tcW w:w="1507" w:type="dxa"/>
          </w:tcPr>
          <w:p w14:paraId="31491AD0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0</w:t>
            </w:r>
          </w:p>
        </w:tc>
        <w:tc>
          <w:tcPr>
            <w:tcW w:w="2896" w:type="dxa"/>
          </w:tcPr>
          <w:p w14:paraId="6BBF2AAF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正则化</w:t>
            </w:r>
          </w:p>
        </w:tc>
      </w:tr>
      <w:tr w14:paraId="1B2D2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</w:tcPr>
          <w:p w14:paraId="6F610FC8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SeparableConv1D (64, k=3)</w:t>
            </w:r>
          </w:p>
        </w:tc>
        <w:tc>
          <w:tcPr>
            <w:tcW w:w="1473" w:type="dxa"/>
          </w:tcPr>
          <w:p w14:paraId="12A443B4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(40, 64)</w:t>
            </w:r>
          </w:p>
        </w:tc>
        <w:tc>
          <w:tcPr>
            <w:tcW w:w="1507" w:type="dxa"/>
          </w:tcPr>
          <w:p w14:paraId="0BA16525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2,208</w:t>
            </w:r>
          </w:p>
        </w:tc>
        <w:tc>
          <w:tcPr>
            <w:tcW w:w="2896" w:type="dxa"/>
          </w:tcPr>
          <w:p w14:paraId="441239E2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深度可分离卷积，参数量小</w:t>
            </w:r>
          </w:p>
        </w:tc>
      </w:tr>
      <w:tr w14:paraId="02571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</w:tcPr>
          <w:p w14:paraId="164C7175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BN + ReLU + MaxPool(2)</w:t>
            </w:r>
          </w:p>
        </w:tc>
        <w:tc>
          <w:tcPr>
            <w:tcW w:w="1473" w:type="dxa"/>
          </w:tcPr>
          <w:p w14:paraId="31E0DB3C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(20, 64)</w:t>
            </w:r>
          </w:p>
        </w:tc>
        <w:tc>
          <w:tcPr>
            <w:tcW w:w="1507" w:type="dxa"/>
          </w:tcPr>
          <w:p w14:paraId="76FA6189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256</w:t>
            </w:r>
          </w:p>
        </w:tc>
        <w:tc>
          <w:tcPr>
            <w:tcW w:w="2896" w:type="dxa"/>
          </w:tcPr>
          <w:p w14:paraId="379F8703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降采样，时间维度减半</w:t>
            </w:r>
          </w:p>
        </w:tc>
      </w:tr>
      <w:tr w14:paraId="74953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</w:tcPr>
          <w:p w14:paraId="70A3DF11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Dropout(0.2)</w:t>
            </w:r>
          </w:p>
        </w:tc>
        <w:tc>
          <w:tcPr>
            <w:tcW w:w="1473" w:type="dxa"/>
          </w:tcPr>
          <w:p w14:paraId="31BC2C49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(20, 64)</w:t>
            </w:r>
          </w:p>
        </w:tc>
        <w:tc>
          <w:tcPr>
            <w:tcW w:w="1507" w:type="dxa"/>
          </w:tcPr>
          <w:p w14:paraId="01979DB7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0</w:t>
            </w:r>
          </w:p>
        </w:tc>
        <w:tc>
          <w:tcPr>
            <w:tcW w:w="2896" w:type="dxa"/>
          </w:tcPr>
          <w:p w14:paraId="2518080D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—</w:t>
            </w:r>
          </w:p>
        </w:tc>
      </w:tr>
      <w:tr w14:paraId="177FC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</w:tcPr>
          <w:p w14:paraId="0EC61F6D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SeparableConv1D (128, k=3)</w:t>
            </w:r>
          </w:p>
        </w:tc>
        <w:tc>
          <w:tcPr>
            <w:tcW w:w="1473" w:type="dxa"/>
          </w:tcPr>
          <w:p w14:paraId="30E90F36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(20, 128)</w:t>
            </w:r>
          </w:p>
        </w:tc>
        <w:tc>
          <w:tcPr>
            <w:tcW w:w="1507" w:type="dxa"/>
          </w:tcPr>
          <w:p w14:paraId="52E37D98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8,512</w:t>
            </w:r>
          </w:p>
        </w:tc>
        <w:tc>
          <w:tcPr>
            <w:tcW w:w="2896" w:type="dxa"/>
          </w:tcPr>
          <w:p w14:paraId="23FAD024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增加通道数，提取更高层特征</w:t>
            </w:r>
          </w:p>
        </w:tc>
      </w:tr>
      <w:tr w14:paraId="34465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</w:tcPr>
          <w:p w14:paraId="2F522E5E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BN + ReLU + MaxPool(2)</w:t>
            </w:r>
          </w:p>
        </w:tc>
        <w:tc>
          <w:tcPr>
            <w:tcW w:w="1473" w:type="dxa"/>
          </w:tcPr>
          <w:p w14:paraId="09F56366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(10, 128)</w:t>
            </w:r>
          </w:p>
        </w:tc>
        <w:tc>
          <w:tcPr>
            <w:tcW w:w="1507" w:type="dxa"/>
          </w:tcPr>
          <w:p w14:paraId="52491BFB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512</w:t>
            </w:r>
          </w:p>
        </w:tc>
        <w:tc>
          <w:tcPr>
            <w:tcW w:w="2896" w:type="dxa"/>
          </w:tcPr>
          <w:p w14:paraId="59E77C90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—</w:t>
            </w:r>
          </w:p>
        </w:tc>
      </w:tr>
      <w:tr w14:paraId="1E415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</w:tcPr>
          <w:p w14:paraId="1D7F14A2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Dropout(0.2)</w:t>
            </w:r>
          </w:p>
        </w:tc>
        <w:tc>
          <w:tcPr>
            <w:tcW w:w="1473" w:type="dxa"/>
          </w:tcPr>
          <w:p w14:paraId="2D2C8FE1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(10, 128)</w:t>
            </w:r>
          </w:p>
        </w:tc>
        <w:tc>
          <w:tcPr>
            <w:tcW w:w="1507" w:type="dxa"/>
          </w:tcPr>
          <w:p w14:paraId="716E6DB6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0</w:t>
            </w:r>
          </w:p>
        </w:tc>
        <w:tc>
          <w:tcPr>
            <w:tcW w:w="2896" w:type="dxa"/>
          </w:tcPr>
          <w:p w14:paraId="55055BFB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—</w:t>
            </w:r>
          </w:p>
        </w:tc>
      </w:tr>
      <w:tr w14:paraId="01443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</w:tcPr>
          <w:p w14:paraId="73A56602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SeparableConv1D (256, k=3)</w:t>
            </w:r>
          </w:p>
        </w:tc>
        <w:tc>
          <w:tcPr>
            <w:tcW w:w="1473" w:type="dxa"/>
          </w:tcPr>
          <w:p w14:paraId="449290F0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(10, 256)</w:t>
            </w:r>
          </w:p>
        </w:tc>
        <w:tc>
          <w:tcPr>
            <w:tcW w:w="1507" w:type="dxa"/>
          </w:tcPr>
          <w:p w14:paraId="2206B53C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33,408</w:t>
            </w:r>
          </w:p>
        </w:tc>
        <w:tc>
          <w:tcPr>
            <w:tcW w:w="2896" w:type="dxa"/>
          </w:tcPr>
          <w:p w14:paraId="20688488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最高层特征</w:t>
            </w:r>
          </w:p>
        </w:tc>
      </w:tr>
      <w:tr w14:paraId="68F45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</w:tcPr>
          <w:p w14:paraId="316E1A26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BN + ReLU</w:t>
            </w:r>
          </w:p>
        </w:tc>
        <w:tc>
          <w:tcPr>
            <w:tcW w:w="1473" w:type="dxa"/>
          </w:tcPr>
          <w:p w14:paraId="2DF5542D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(10, 256)</w:t>
            </w:r>
          </w:p>
        </w:tc>
        <w:tc>
          <w:tcPr>
            <w:tcW w:w="1507" w:type="dxa"/>
          </w:tcPr>
          <w:p w14:paraId="5DAE93C2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1,024</w:t>
            </w:r>
          </w:p>
        </w:tc>
        <w:tc>
          <w:tcPr>
            <w:tcW w:w="2896" w:type="dxa"/>
          </w:tcPr>
          <w:p w14:paraId="6183A8B2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—</w:t>
            </w:r>
          </w:p>
        </w:tc>
      </w:tr>
      <w:tr w14:paraId="18331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</w:tcPr>
          <w:p w14:paraId="5E6E9396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GlobalAveragePooling1D</w:t>
            </w:r>
          </w:p>
        </w:tc>
        <w:tc>
          <w:tcPr>
            <w:tcW w:w="1473" w:type="dxa"/>
          </w:tcPr>
          <w:p w14:paraId="0FE66034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(256)</w:t>
            </w:r>
          </w:p>
        </w:tc>
        <w:tc>
          <w:tcPr>
            <w:tcW w:w="1507" w:type="dxa"/>
          </w:tcPr>
          <w:p w14:paraId="0D9E4CEB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0</w:t>
            </w:r>
          </w:p>
        </w:tc>
        <w:tc>
          <w:tcPr>
            <w:tcW w:w="2896" w:type="dxa"/>
          </w:tcPr>
          <w:p w14:paraId="4BAB17EC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全局池化，替代 Flatten，减少参数</w:t>
            </w:r>
          </w:p>
        </w:tc>
      </w:tr>
      <w:tr w14:paraId="7F11F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</w:tcPr>
          <w:p w14:paraId="68B32695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Dropout(0.5)</w:t>
            </w:r>
          </w:p>
        </w:tc>
        <w:tc>
          <w:tcPr>
            <w:tcW w:w="1473" w:type="dxa"/>
          </w:tcPr>
          <w:p w14:paraId="2E0F2D1A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(256)</w:t>
            </w:r>
          </w:p>
        </w:tc>
        <w:tc>
          <w:tcPr>
            <w:tcW w:w="1507" w:type="dxa"/>
          </w:tcPr>
          <w:p w14:paraId="38DF137E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0</w:t>
            </w:r>
          </w:p>
        </w:tc>
        <w:tc>
          <w:tcPr>
            <w:tcW w:w="2896" w:type="dxa"/>
          </w:tcPr>
          <w:p w14:paraId="3E9FFA6D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强正则化</w:t>
            </w:r>
          </w:p>
        </w:tc>
      </w:tr>
      <w:tr w14:paraId="7620B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8" w:type="dxa"/>
          </w:tcPr>
          <w:p w14:paraId="5E9278FE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Dense (10, softmax)</w:t>
            </w:r>
          </w:p>
        </w:tc>
        <w:tc>
          <w:tcPr>
            <w:tcW w:w="1473" w:type="dxa"/>
          </w:tcPr>
          <w:p w14:paraId="6AAF4C60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(10)</w:t>
            </w:r>
          </w:p>
        </w:tc>
        <w:tc>
          <w:tcPr>
            <w:tcW w:w="1507" w:type="dxa"/>
          </w:tcPr>
          <w:p w14:paraId="604F1175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2,570</w:t>
            </w:r>
          </w:p>
        </w:tc>
        <w:tc>
          <w:tcPr>
            <w:tcW w:w="2896" w:type="dxa"/>
          </w:tcPr>
          <w:p w14:paraId="250EE87C">
            <w:pPr>
              <w:numPr>
                <w:ilvl w:val="0"/>
                <w:numId w:val="0"/>
              </w:numPr>
              <w:jc w:val="left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输出 10 个数字的概率</w:t>
            </w:r>
          </w:p>
        </w:tc>
      </w:tr>
    </w:tbl>
    <w:p w14:paraId="2FAEB8B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总参数量：52,394（约 205 KB），属于轻量级模型，适合小样本学习。</w:t>
      </w:r>
    </w:p>
    <w:p w14:paraId="23587B34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14E4DA06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5.1.3 训练策略与超参数</w:t>
      </w:r>
    </w:p>
    <w:p w14:paraId="1C1B739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6DF2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8571EA4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参数</w:t>
            </w:r>
          </w:p>
        </w:tc>
        <w:tc>
          <w:tcPr>
            <w:tcW w:w="2841" w:type="dxa"/>
          </w:tcPr>
          <w:p w14:paraId="0F2CA1B6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取值</w:t>
            </w:r>
          </w:p>
        </w:tc>
        <w:tc>
          <w:tcPr>
            <w:tcW w:w="2841" w:type="dxa"/>
          </w:tcPr>
          <w:p w14:paraId="21EE403D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设计理由</w:t>
            </w:r>
          </w:p>
        </w:tc>
      </w:tr>
      <w:tr w14:paraId="1EFFD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5E68009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优化器</w:t>
            </w:r>
          </w:p>
        </w:tc>
        <w:tc>
          <w:tcPr>
            <w:tcW w:w="2841" w:type="dxa"/>
          </w:tcPr>
          <w:p w14:paraId="09C2B96D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Adam</w:t>
            </w:r>
          </w:p>
        </w:tc>
        <w:tc>
          <w:tcPr>
            <w:tcW w:w="2841" w:type="dxa"/>
          </w:tcPr>
          <w:p w14:paraId="7913B599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自适应学习率，收敛快</w:t>
            </w:r>
          </w:p>
        </w:tc>
      </w:tr>
      <w:tr w14:paraId="7A849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D1639EF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初始学习率</w:t>
            </w:r>
          </w:p>
        </w:tc>
        <w:tc>
          <w:tcPr>
            <w:tcW w:w="2841" w:type="dxa"/>
          </w:tcPr>
          <w:p w14:paraId="78C689BB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0.0005</w:t>
            </w:r>
          </w:p>
        </w:tc>
        <w:tc>
          <w:tcPr>
            <w:tcW w:w="2841" w:type="dxa"/>
          </w:tcPr>
          <w:p w14:paraId="63190BB5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较低学习率，避免训练震荡，减少过拟合</w:t>
            </w:r>
          </w:p>
        </w:tc>
      </w:tr>
      <w:tr w14:paraId="0497B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69CDD30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损失函数</w:t>
            </w:r>
          </w:p>
        </w:tc>
        <w:tc>
          <w:tcPr>
            <w:tcW w:w="2841" w:type="dxa"/>
          </w:tcPr>
          <w:p w14:paraId="63C9103C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Focal Loss (γ=2.0, α=0.25)</w:t>
            </w:r>
          </w:p>
        </w:tc>
        <w:tc>
          <w:tcPr>
            <w:tcW w:w="2841" w:type="dxa"/>
          </w:tcPr>
          <w:p w14:paraId="07F34B17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聚焦难分类样本（如 6、9），提升易混淆数字的识别率</w:t>
            </w:r>
          </w:p>
        </w:tc>
      </w:tr>
      <w:tr w14:paraId="668B8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38754F4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数据增强</w:t>
            </w:r>
          </w:p>
        </w:tc>
        <w:tc>
          <w:tcPr>
            <w:tcW w:w="2841" w:type="dxa"/>
          </w:tcPr>
          <w:p w14:paraId="51232F41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Mixup (α=0.2)</w:t>
            </w:r>
          </w:p>
        </w:tc>
        <w:tc>
          <w:tcPr>
            <w:tcW w:w="2841" w:type="dxa"/>
          </w:tcPr>
          <w:p w14:paraId="04C53F1A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在特征空间混合训练样本和标签，增强泛化能力</w:t>
            </w:r>
          </w:p>
        </w:tc>
      </w:tr>
      <w:tr w14:paraId="595D9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184DFB6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批大小</w:t>
            </w:r>
          </w:p>
        </w:tc>
        <w:tc>
          <w:tcPr>
            <w:tcW w:w="2841" w:type="dxa"/>
          </w:tcPr>
          <w:p w14:paraId="625C0F73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16</w:t>
            </w:r>
          </w:p>
        </w:tc>
        <w:tc>
          <w:tcPr>
            <w:tcW w:w="2841" w:type="dxa"/>
          </w:tcPr>
          <w:p w14:paraId="4BCBBB55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适中，适合小数据集</w:t>
            </w:r>
          </w:p>
        </w:tc>
      </w:tr>
      <w:tr w14:paraId="71B1F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9C2D889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早停</w:t>
            </w:r>
          </w:p>
        </w:tc>
        <w:tc>
          <w:tcPr>
            <w:tcW w:w="2841" w:type="dxa"/>
          </w:tcPr>
          <w:p w14:paraId="18E4A4FE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patience=25, monitor='val_accuracy'</w:t>
            </w:r>
          </w:p>
        </w:tc>
        <w:tc>
          <w:tcPr>
            <w:tcW w:w="2841" w:type="dxa"/>
          </w:tcPr>
          <w:p w14:paraId="07E4CACB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验证准确率 25 轮不提升则停止，防止过拟合</w:t>
            </w:r>
          </w:p>
        </w:tc>
      </w:tr>
      <w:tr w14:paraId="501EE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E15AF8D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学习率衰减</w:t>
            </w:r>
          </w:p>
        </w:tc>
        <w:tc>
          <w:tcPr>
            <w:tcW w:w="2841" w:type="dxa"/>
          </w:tcPr>
          <w:p w14:paraId="3B73620C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ReduceLROnPlateau (factor=0.5, patience=8)</w:t>
            </w:r>
          </w:p>
        </w:tc>
        <w:tc>
          <w:tcPr>
            <w:tcW w:w="2841" w:type="dxa"/>
          </w:tcPr>
          <w:p w14:paraId="763AD778">
            <w:pPr>
              <w:numPr>
                <w:ilvl w:val="0"/>
                <w:numId w:val="0"/>
              </w:num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验证损失停滞时降低学习率，精细调参</w:t>
            </w:r>
          </w:p>
        </w:tc>
      </w:tr>
    </w:tbl>
    <w:p w14:paraId="7621F53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训练时还使用了Mixup 增强：每个训练 batch 内随机混合两个样本的特征和标签，相当于生成了 400 个有效训练样本（原始 200 个 + 增强 200 个）。</w:t>
      </w:r>
    </w:p>
    <w:p w14:paraId="3AC69B2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2F10F52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5.3 无噪声验证集结果</w:t>
      </w:r>
    </w:p>
    <w:p w14:paraId="4F8F6DB6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7D2C60A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5.3.1 准确率</w:t>
      </w:r>
    </w:p>
    <w:p w14:paraId="3A3F346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69E472E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训练集准确率（增强后 400 样本）：99.5%</w:t>
      </w:r>
    </w:p>
    <w:p w14:paraId="2DFC8DC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验证集准确率（原始 20 样本）：75.0%</w:t>
      </w:r>
    </w:p>
    <w:p w14:paraId="4161DEE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736EB05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泛化差距 24.5%，在小样本（每类仅 20 个训练样本）任务中属于可接受范围，未出现严重过拟合。</w:t>
      </w:r>
    </w:p>
    <w:p w14:paraId="4840358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751A0A86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5.3.2 混淆矩阵</w:t>
      </w:r>
    </w:p>
    <w:p w14:paraId="43B0CB4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76CC905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下图为验证集上的混淆矩阵（行：真实数字，列：预测数字）。</w:t>
      </w:r>
    </w:p>
    <w:p w14:paraId="218AEC5C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5274310" cy="3955415"/>
            <wp:effectExtent l="0" t="0" r="13970" b="6985"/>
            <wp:docPr id="1" name="图片 1" descr="confusion_matrix_cle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onfusion_matrix_clea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603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1B97877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5.3.3 混淆矩阵图像与结果分析</w:t>
      </w:r>
    </w:p>
    <w:p w14:paraId="3ADCB0C7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0AEC60C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识别良好的数字：0、1、2、3、4 ，对角线值为 2，说明这些数字的 MFCC 动态特征区分度明显。  </w:t>
      </w:r>
    </w:p>
    <w:p w14:paraId="1EBE979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混淆集中的数字：5、6、7、8、9 各自只有一个样本被正确识别（对角线值为 1），另一个样本被误判为其他数字，且误判形成一个闭环（5→6→3和7→8→9→5）。验证集每类仅2个样本，单点误判影响显著，整体准确率75%。该混淆模式可能源于小样本随机波动，而非固定的声学相似。</w:t>
      </w:r>
    </w:p>
    <w:p w14:paraId="578ECB0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总体表现：矩阵对角线上的总和为 15（20 个样本中正确识别 15 个），总体准确率为 75%。模型未出现将所有样本判为同一类的极端错误，表明网络学到了有效的数字区分信息。</w:t>
      </w:r>
    </w:p>
    <w:p w14:paraId="002AAE4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08D9FABB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过拟合评估：训练准确率 99.5% 与验证准确率 75% 的差距为 24.5%，考虑到训练集经过 Mixup 增强且模型参数量仅 5 万，该差距在可接受范围内。相比未使用数据增强的 LSTM（训练 100%，验证 60%），本模型泛化能力明显提升。</w:t>
      </w:r>
    </w:p>
    <w:p w14:paraId="3BB63C0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模型在干净验证集上准确率为75%，未能进一步提升的主要原因为：训练样本仅200个（每类20个），深度学习模型难以充分学习各类发音的完整变体；验证集仅20个样本（每类2个），单样本误判即造成较大统计波动；MFCC动态特征虽保留了时序信息，但对部分声学相似的</w:t>
      </w:r>
      <w:bookmarkStart w:id="0" w:name="_GoBack"/>
      <w:bookmarkEnd w:id="0"/>
      <w:r>
        <w:rPr>
          <w:rFonts w:hint="eastAsia"/>
          <w:b w:val="0"/>
          <w:bCs w:val="0"/>
          <w:lang w:val="en-US" w:eastAsia="zh-CN"/>
        </w:rPr>
        <w:t>数字（如6与9）仍存在区分瓶颈。在当前数据条件下，75%是模型的合理性能上界。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EB698C"/>
    <w:multiLevelType w:val="singleLevel"/>
    <w:tmpl w:val="9EEB698C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540"/>
    <w:rsid w:val="0054427A"/>
    <w:rsid w:val="009E3540"/>
    <w:rsid w:val="00BB7893"/>
    <w:rsid w:val="00CC4099"/>
    <w:rsid w:val="0C7E1704"/>
    <w:rsid w:val="7858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2026</Words>
  <Characters>2655</Characters>
  <Lines>6</Lines>
  <Paragraphs>1</Paragraphs>
  <TotalTime>24</TotalTime>
  <ScaleCrop>false</ScaleCrop>
  <LinksUpToDate>false</LinksUpToDate>
  <CharactersWithSpaces>2819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2026-05-14T03:04:00Z</dcterms:created>
  <dc:creator>weixi luo</dc:creator>
  <cp:lastModifiedBy>黄意雯</cp:lastModifiedBy>
  <dcterms:modified xsi:type="dcterms:W3CDTF">2026-05-14T12:19:07Z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eyJoZGlkIjoiMTdiYWQ1ZTUzZmJiMDlkN2MyODUwMGFmN2M1NjFhN2UiLCJ1c2VySWQiOiIxNjM3MTYyNjQ3In0=</vt:lpwstr>
  </property>
  <property fmtid="{D5CDD505-2E9C-101B-9397-08002B2CF9AE}" pid="3" name="KSOProductBuildVer">
    <vt:lpwstr>2052-12.1.0.23542</vt:lpwstr>
  </property>
  <property fmtid="{D5CDD505-2E9C-101B-9397-08002B2CF9AE}" pid="4" name="ICV">
    <vt:lpwstr>26573BFEEA6249E19418F65F82AE4FF9_12</vt:lpwstr>
  </property>
</Properties>
</file>