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Noto Sans SC" w:cs="Noto Sans SC" w:eastAsia="Noto Sans SC" w:hAnsi="Noto Sans SC"/>
          <w:b/>
          <w:bCs/>
          <w:color w:val="1A1A2E"/>
          <w:sz w:val="48"/>
          <w:szCs w:val="48"/>
        </w:rPr>
        <w:t xml:space="preserve">LOVOT 中国产品创新模拟</w:t>
      </w:r>
    </w:p>
    <w:p>
      <w:pPr>
        <w:spacing w:after="120"/>
        <w:jc w:val="center"/>
      </w:pPr>
      <w:r>
        <w:rPr>
          <w:rFonts w:ascii="Noto Sans SC" w:cs="Noto Sans SC" w:eastAsia="Noto Sans SC" w:hAnsi="Noto Sans SC"/>
          <w:color w:val="555555"/>
          <w:sz w:val="28"/>
          <w:szCs w:val="28"/>
        </w:rPr>
        <w:t xml:space="preserve">任务说明书</w:t>
      </w:r>
    </w:p>
    <w:p>
      <w:pPr>
        <w:spacing w:after="600"/>
        <w:jc w:val="center"/>
      </w:pPr>
      <w:r>
        <w:rPr>
          <w:rFonts w:ascii="Noto Sans SC" w:cs="Noto Sans SC" w:eastAsia="Noto Sans SC" w:hAnsi="Noto Sans SC"/>
          <w:color w:val="888888"/>
          <w:sz w:val="22"/>
          <w:szCs w:val="22"/>
        </w:rPr>
        <w:t xml:space="preserve">高管教育 商业模拟 · 决策指引</w:t>
      </w:r>
    </w:p>
    <w:p>
      <w:pPr>
        <w:spacing w:after="80"/>
        <w:jc w:val="center"/>
      </w:pPr>
      <w:r>
        <w:rPr>
          <w:rFonts w:ascii="Noto Sans SC" w:cs="Noto Sans SC" w:eastAsia="Noto Sans SC" w:hAnsi="Noto Sans SC"/>
          <w:color w:val="CCCCCC"/>
          <w:sz w:val="18"/>
          <w:szCs w:val="18"/>
        </w:rPr>
        <w:t xml:space="preserve">─────────────────────────</w:t>
      </w:r>
    </w:p>
    <w:p>
      <w:pPr>
        <w:spacing w:after="2400"/>
        <w:jc w:val="center"/>
      </w:pPr>
      <w:r>
        <w:rPr>
          <w:rFonts w:ascii="Noto Sans SC" w:cs="Noto Sans SC" w:eastAsia="Noto Sans SC" w:hAnsi="Noto Sans SC"/>
          <w:i/>
          <w:iCs/>
          <w:color w:val="999999"/>
          <w:sz w:val="18"/>
          <w:szCs w:val="18"/>
        </w:rPr>
        <w:t xml:space="preserve">请在模拟开始前通读本文档，确保理解每一轮的决策内容与评估标准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Noto Sans SC" w:cs="Noto Sans SC" w:eastAsia="Noto Sans SC" w:hAnsi="Noto Sans SC"/>
          <w:b/>
          <w:bCs/>
          <w:color w:val="1A1A2E"/>
          <w:sz w:val="32"/>
          <w:szCs w:val="32"/>
        </w:rPr>
        <w:t xml:space="preserve">1  模拟概述</w:t>
      </w: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1.1  角色与情境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各团队扮演 LOVOT 中国区产品创新团队。总部已决定将中国市场作为海外扩张的首要目标，但产品不能直接平移——中国市场的价格环境、竞争格局、消费者需求和渠道结构均要求对 LOVOT 进行本土化的产品创新改造。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团队需要在两轮决策中完成从市场定位到产品研发的全流程，最终产出一个可以计算利润的完整产品方案。</w:t>
      </w: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1.2  两轮时间线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时间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Round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上午 11:00–12:30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市场定位：选择目标市场、确定产品架构方向、撰写价值主张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午休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12:30–14:00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Round 1 结果不在午休时公布（保持悬念）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Round 1 复盘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14:00–14:35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公布 Round 1 结果，讲师引导复盘讨论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Round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14:35–15:45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产品研发：客户访谈、能力方案选择、定价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休息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15:45–16:00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Round 2 复盘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16:00–17:30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公布最终结果，利润排名，框架性复盘与迁移讨论</w:t>
            </w:r>
          </w:p>
        </w:tc>
      </w:tr>
    </w:tbl>
    <w:p>
      <w:pPr>
        <w:spacing w:after="80"/>
      </w:pP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1.3  总体目标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模拟的最终衡量指标是总利润。但利润是一系列决策质量的综合结果——市场选择是否合理、价值主张是否精准、访谈是否深入、选卡是否聚焦、定价是否恰当。没有任何单一环节可以独立决定成败，也没有任何单一环节的失误可以被其他环节完全弥补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Noto Sans SC" w:cs="Noto Sans SC" w:eastAsia="Noto Sans SC" w:hAnsi="Noto Sans SC"/>
          <w:b/>
          <w:bCs/>
          <w:color w:val="1A1A2E"/>
          <w:sz w:val="32"/>
          <w:szCs w:val="32"/>
        </w:rPr>
        <w:t xml:space="preserve">2  Round 1：市场定位</w:t>
      </w: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2.1  决策项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Round 1 包含三项决策，依次完成：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决策一：选择目标市场（格子）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从 12 个细分市场中选择一个作为目标。12 格由三个维度交叉构成：客户类型（ToC 个人消费者 / ToB 机构客户）× 竞争策略（差异化 / 成本领先）× 目标年龄段（老年 / 成人 / 儿童）。每个格子对应不同的市场规模、支付意愿分布和需求结构。案例手册 Part 2 提供了做出此项选择所需的市场背景。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决策二：选择产品架构方向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从三种架构方向中选择一种：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体验型（Experience）。</w:t>
      </w:r>
      <w:r>
        <w:rPr>
          <w:rFonts w:ascii="Noto Sans SC" w:cs="Noto Sans SC" w:eastAsia="Noto Sans SC" w:hAnsi="Noto Sans SC"/>
          <w:sz w:val="21"/>
          <w:szCs w:val="21"/>
        </w:rPr>
        <w:t xml:space="preserve">强调情感交互的深度和个性化——产品的核心价值在于与用户建立不可替代的情感连接。典型特征：交互维度投入重、功能覆盖面相对窄、目标人群精准但基数较小。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功能型（Function）。</w:t>
      </w:r>
      <w:r>
        <w:rPr>
          <w:rFonts w:ascii="Noto Sans SC" w:cs="Noto Sans SC" w:eastAsia="Noto Sans SC" w:hAnsi="Noto Sans SC"/>
          <w:sz w:val="21"/>
          <w:szCs w:val="21"/>
        </w:rPr>
        <w:t xml:space="preserve">强调实用功能的覆盖面和场景适配性——产品的核心价值在于“能帮用户做什么”。典型特征：多维度均有投入、功能丰富、面向更广人群但单点体验深度较浅。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混合型（Hybrid）。</w:t>
      </w:r>
      <w:r>
        <w:rPr>
          <w:rFonts w:ascii="Noto Sans SC" w:cs="Noto Sans SC" w:eastAsia="Noto Sans SC" w:hAnsi="Noto Sans SC"/>
          <w:sz w:val="21"/>
          <w:szCs w:val="21"/>
        </w:rPr>
        <w:t xml:space="preserve">兼顾情感深度和功能覆盖。灵活性高，但也面临“两头都不极致”的风险。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架构选择没有独立的分数加减——它的影响在于：评估系统会将架构方向作为判断价值主张一致性的上下文参照。选了体验型架构但 VP 通篇写功能卖点，两者之间的矛盾会被识别并影响评分。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决策三：撰写价值主张（VP）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以文本形式提交产品的价值主张。VP 不是营销文案，而是一组可检验的战略假设——它定义了产品的目标人群、要解决的问题和解决方式。VP 是 Round 1 中信息密度最高的产出，直接影响后续所有环节。</w:t>
      </w: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2.2  价值主张的评估标准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系统将从以下四个维度评估价值主张的质量：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目标人群是否清晰（WHO）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评估的核心不是人群有多大，而是人群是否可识别——能否用具体的标签（职业、年龄、家庭结构、生活场景、支付决策者）描述出来。“所有成年人”不是一个可识别的人群，“一线城市 30-40 岁独居女性白领”是。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人群定义越具体，后续的访谈对象选择和产品设计就越有锚点；定义越模糊，所有后续决策都缺乏方向。最优秀的 VP 不仅定义了核心用户，还说明了为什么这群人是主要的付费者，以及是否存在可扩展的相邻人群。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痛点是否普遍（PAIN）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评估的核心是痛点在目标人群中的普遍性和频率——是大多数人在大多数时候都会遇到的问题，还是少数人偶尔碰到的特殊情况？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一个好的痛点描述包含“问题 + 触发情境”：不是空泛的“感到孤独”，而是“独居老人在子女离家后的傍晚时段，社交活动结束、家中无人说话，持续性的沉默引发焦虑和失落”。痛点越具体、触发情境越普遍，价值主张的商业潜力越大。仅有情绪形容词（“更快乐”“更安心”）而缺乏具体情境的描述，说服力有限。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解法是否有因果逻辑（HOW）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评估的核心是因果链是否成立——从产品能力到痛点缓解之间，是否存在清晰的作用机制。“我们的产品更智能”不是因果逻辑，“通过主动感知用户归家动作并发出迎接声音，打破独居者进门后的沉默”是。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好的解法描述还应说明相对于现有替代方案（宠物、社交应用、传统玩具）的差异化来源。需要注意的是，解法必须在 LOVOT 的能力边界内可实现——如果方案依赖目前不具备的能力（如流利的语音对话），需要说明改造路径的可行性。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架构与 VP 是否一致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团队选择的产品架构方向（体验型 / 功能型 / 混合型）应当与 VP 的内在逻辑自洽。体验型架构搭配功能性卖点、或功能型架构搭配极窄的情感陪伴叙事，都会被识别为不一致。架构选择是 VP 的上下文——两者之间的一致性将影响评估结果。</w:t>
      </w: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2.3  Round 1 的结果与传递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Round 1 完成后，每个团队将看到以下结果反馈：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VP 评分（C / G / E）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系统对价值主张的三个维度分别打分（1-5 分）：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评估对象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C（Coverage）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WHO → 覆盖率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目标人群在该市场单元总人群中的覆盖比例。C 越高，VP 定义的人群越宽；C 越低，定位越窄越精准。C 不是“越高越好”——窄定位配合深体验可能优于宽定位配合浅体验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G（Generalizability）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PAIN → 痛点普遍性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痛点在目标人群中的普遍程度和频率。G 越高，说明这个痛点是大多数人经常遇到的；G 越低，痛点越小众或偶发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E（Effectiveness）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HOW → 解法有效性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解决方案对痛点的因果作用力和可交付性。E 越高，说明因果逻辑越清晰、解法越可行；E 越低，说明解法空泛或缺乏因果链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三个指标的分工不同。C 决定覆盖率——团队的 VP 锁定了多大比例的目标人群，这个信息将在结果页以覆盖率图示展示，帮助团队直观理解自己的定位宽窄。G 和 E 共同决定支付意愿的调整幅度——痛点越普遍（G 高），用户的付费动机越强；解法越有效（E 高），用户感知到的价值越大。两者叠加后，会在基准支付意愿的基础上产生上调或下调效果。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4 分是 VP Coach 引导后的正常水平——意味着 VP 经过讨论已达到合格线，对支付意愿既不加分也不减分。高于 4 分说明 VP 质量超出预期，会上调支付意愿；低于 4 分则会下调。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锦囊效果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每位团队成员在模拟开始时收到的能力锦囊，描述了团队的某项市场洞察或技术经验。如果锦囊内容与团队选择的市场方向高度契合，锦囊将独立提升该市场对产品的支付意愿——逻辑是：团队恰好拥有与目标市场相关的经验和洞察，这使得产品方案在目标市场中更具可信度和适配性。锦囊的匹配度是连续的（从完全不匹配到高度匹配），匹配度越高，支付意愿提升越大。这一效果与 VP 评分的 G/E 效果独立叠加——即使 VP 评分已经很高，匹配的锦囊仍然额外加分。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市场规模指标（SAM）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系统将展示团队所选市场格子的可服务市场规模（SAM）的档位参考。SAM 反映的是该市场的收入潜力——人群基数乘以人均支付意愿。需要注意的是，SAM 是市场的客观属性，由格子选择决定，不受 VP 质量影响。VP 影响的是团队能够从该市场中获取多大的份额，而非市场本身的大小。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传递给 Round 2 的战略上下文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Round 1 与 Round 2 之间的连接是叙事性的，而非数学性的。具体传递内容：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传递内容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来源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在 Round 2 中的作用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目标人群画像（WHO）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VP 文本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生成 Round 2 客户访谈的用户原型——WHO 越具体，访谈对象越有针对性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产品架构标签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团队选择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作为选卡方向的参考（非硬约束）——帮助团队在六个维度中判断重心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市场格子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团队选择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决定 Round 2 的场景背景和需求先验——不同格子的用户需求优先级不同</w:t>
            </w:r>
          </w:p>
        </w:tc>
      </w:tr>
    </w:tbl>
    <w:p>
      <w:pPr>
        <w:spacing w:after="80"/>
      </w:pP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Round 2 将独立计算利润。选卡完成后，系统根据产品能力组合重新匹配市场，得到“产品实际适配的支付意愿”。复盘时，Round 1 的预期（VP 定义的定位和调整后的支付意愿）与 Round 2 的实际（产品能力匹配的市场和支付意愿）将进行对比——两条线是否一致，是最核心的教学讨论点。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Noto Sans SC" w:cs="Noto Sans SC" w:eastAsia="Noto Sans SC" w:hAnsi="Noto Sans SC"/>
          <w:b/>
          <w:bCs/>
          <w:color w:val="1A1A2E"/>
          <w:sz w:val="32"/>
          <w:szCs w:val="32"/>
        </w:rPr>
        <w:t xml:space="preserve">3  Round 2：产品研发</w:t>
      </w: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3.1  决策流程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Round 2 包含三个环节，依次完成：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环节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形式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客户访谈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个人先行，团队汇总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基于 Round 1 的 WHO 画像，与 AI 生成的目标用户进行深度访谈。团队成员先各自访谈，再汇总洞察形成共识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能力方案选择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团队共同决策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在六个能力维度中选择具体方案（每个维度至少选一项，总数不设上限），受兼容性规则和成本预算约束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定价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团队共同决策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为改造后的产品设定售价。系统展示支付意愿参考值，最终定价由团队自主决定</w:t>
            </w:r>
          </w:p>
        </w:tc>
      </w:tr>
    </w:tbl>
    <w:p>
      <w:pPr>
        <w:spacing w:after="80"/>
      </w:pP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3.2  什么是好的客户访谈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访谈质量不以“问了多少问题”衡量，而以“获得了多深的洞察”衡量。以下是区分访谈质量的关键特征：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高质量访谈的特征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追问动机而非停留在表面需求。</w:t>
      </w:r>
      <w:r>
        <w:rPr>
          <w:rFonts w:ascii="Noto Sans SC" w:cs="Noto Sans SC" w:eastAsia="Noto Sans SC" w:hAnsi="Noto Sans SC"/>
          <w:sz w:val="21"/>
          <w:szCs w:val="21"/>
        </w:rPr>
        <w:t xml:space="preserve">用户说“希望它能说话”只是表面；追问“为什么需要它说话”可能得到“因为独居，晚上回家太安静”——后者才是可以指导产品设计的真实洞察。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区分“说的”和“真正在意的”。</w:t>
      </w:r>
      <w:r>
        <w:rPr>
          <w:rFonts w:ascii="Noto Sans SC" w:cs="Noto Sans SC" w:eastAsia="Noto Sans SC" w:hAnsi="Noto Sans SC"/>
          <w:sz w:val="21"/>
          <w:szCs w:val="21"/>
        </w:rPr>
        <w:t xml:space="preserve">家长可能说“我希望它能教英语”，但真正驱动购买的可能是“孩子不再缠着要手机”。访谈的价值在于穿透表层诉求，找到底层动机。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围绕具体场景而非抽象偏好。</w:t>
      </w:r>
      <w:r>
        <w:rPr>
          <w:rFonts w:ascii="Noto Sans SC" w:cs="Noto Sans SC" w:eastAsia="Noto Sans SC" w:hAnsi="Noto Sans SC"/>
          <w:sz w:val="21"/>
          <w:szCs w:val="21"/>
        </w:rPr>
        <w:t xml:space="preserve">“你觉得什么功能重要”是一个糟糕的问题——用户会给出社会期望答案。“描述一下你昨天晚上回家后的前 30 分钟”是一个好问题——它引出真实行为和未被满足的需求。</w:t>
      </w:r>
    </w:p>
    <w:p>
      <w:pPr>
        <w:spacing w:after="120" w:before="240"/>
      </w:pPr>
      <w:r>
        <w:rPr>
          <w:rFonts w:ascii="Noto Sans SC" w:cs="Noto Sans SC" w:eastAsia="Noto Sans SC" w:hAnsi="Noto Sans SC"/>
          <w:b/>
          <w:bCs/>
          <w:color w:val="34495E"/>
          <w:sz w:val="22"/>
          <w:szCs w:val="22"/>
        </w:rPr>
        <w:t xml:space="preserve">低质量访谈的特征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引导性提问。</w:t>
      </w:r>
      <w:r>
        <w:rPr>
          <w:rFonts w:ascii="Noto Sans SC" w:cs="Noto Sans SC" w:eastAsia="Noto Sans SC" w:hAnsi="Noto Sans SC"/>
          <w:sz w:val="21"/>
          <w:szCs w:val="21"/>
        </w:rPr>
        <w:t xml:space="preserve">“你是不是觉得健康监测很重要？”——用户很难说“不”，但这不代表健康监测真的是他们的优先需求。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问题过于宽泛。</w:t>
      </w:r>
      <w:r>
        <w:rPr>
          <w:rFonts w:ascii="Noto Sans SC" w:cs="Noto Sans SC" w:eastAsia="Noto Sans SC" w:hAnsi="Noto Sans SC"/>
          <w:sz w:val="21"/>
          <w:szCs w:val="21"/>
        </w:rPr>
        <w:t xml:space="preserve">“你对机器人有什么期望？”——得到的回答将和问题一样宽泛，无法指导具体的产品决策。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未追问。</w:t>
      </w:r>
      <w:r>
        <w:rPr>
          <w:rFonts w:ascii="Noto Sans SC" w:cs="Noto Sans SC" w:eastAsia="Noto Sans SC" w:hAnsi="Noto Sans SC"/>
          <w:sz w:val="21"/>
          <w:szCs w:val="21"/>
        </w:rPr>
        <w:t xml:space="preserve">用户给出一个回答后直接跳到下一个问题，没有沿着回答深挖。访谈的深度来自追问，而非问题的数量。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访谈质量的影响是多层次的：它决定了团队对需求优先级的判断精度（哪些是核心需求、哪些是加分项），决定了团队能否发现被行业共识忽视的真实需求（差异化的来源），也作为团队“理解力”的综合指标直接影响产品的市场表现。高质量访谈是杠杆最大的免费资源——它不消耗研发预算，但直接决定了研发预算的回报率。</w:t>
      </w: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3.3  能力方案选择的要点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选卡环节的核心决策逻辑可以概括为三句话：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不是越多越好。</w:t>
      </w:r>
      <w:r>
        <w:rPr>
          <w:rFonts w:ascii="Noto Sans SC" w:cs="Noto Sans SC" w:eastAsia="Noto Sans SC" w:hAnsi="Noto Sans SC"/>
          <w:sz w:val="21"/>
          <w:szCs w:val="21"/>
        </w:rPr>
        <w:t xml:space="preserve">每一项能力方案都伴随增量成本和系统复杂度。方案越多，总成本越高、风险越大。产品力的核心来自“在用户最在意的维度上做到位”，而非“在所有维度上都有覆盖”。一个在核心需求上精准命中的中等配置方案，市场表现往往优于面面俱到但缺乏焦点的高配方案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方向比档位更重要。</w:t>
      </w:r>
      <w:r>
        <w:rPr>
          <w:rFonts w:ascii="Noto Sans SC" w:cs="Noto Sans SC" w:eastAsia="Noto Sans SC" w:hAnsi="Noto Sans SC"/>
          <w:sz w:val="21"/>
          <w:szCs w:val="21"/>
        </w:rPr>
        <w:t xml:space="preserve">选对维度比选高档位更关键。如果访谈发现用户最在意安全性，那么在安全维度上投入中档方案的回报，可能远高于在交互维度上投入高档方案。研发投入的回报取决于投入方向与用户需求的匹配度，而非投入的绝对规模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注意兼容性约束。</w:t>
      </w:r>
      <w:r>
        <w:rPr>
          <w:rFonts w:ascii="Noto Sans SC" w:cs="Noto Sans SC" w:eastAsia="Noto Sans SC" w:hAnsi="Noto Sans SC"/>
          <w:sz w:val="21"/>
          <w:szCs w:val="21"/>
        </w:rPr>
        <w:t xml:space="preserve">部分方案之间存在依赖关系（A 需要 B 作为前置条件）和互斥关系（A 与 B 不能同时选择）。详见案例手册 Part 3 的兼容性约束表。选卡时需要进行系统性思考，而非逐卡独立评估。</w:t>
      </w: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3.4  定价的核心逻辑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定价环节面对一个基本的量价权衡：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定价越高，单台利润越大，但销量越少。</w:t>
      </w:r>
      <w:r>
        <w:rPr>
          <w:rFonts w:ascii="Noto Sans SC" w:cs="Noto Sans SC" w:eastAsia="Noto Sans SC" w:hAnsi="Noto Sans SC"/>
          <w:sz w:val="21"/>
          <w:szCs w:val="21"/>
        </w:rPr>
        <w:t xml:space="preserve">价格超出支付意愿的用户会放弃购买。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定价越低，销量越大，但单台利润越薄。</w:t>
      </w:r>
      <w:r>
        <w:rPr>
          <w:rFonts w:ascii="Noto Sans SC" w:cs="Noto Sans SC" w:eastAsia="Noto Sans SC" w:hAnsi="Noto Sans SC"/>
          <w:sz w:val="21"/>
          <w:szCs w:val="21"/>
        </w:rPr>
        <w:t xml:space="preserve">且更大的销量有助于摊薄固定成本。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最优定价是使总利润（= 销量 × 单台利润 − 固定成本总额）最大化的平衡点。几个需要注意的要素：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渠道费会截留售价的一部分。</w:t>
      </w:r>
      <w:r>
        <w:rPr>
          <w:rFonts w:ascii="Noto Sans SC" w:cs="Noto Sans SC" w:eastAsia="Noto Sans SC" w:hAnsi="Noto Sans SC"/>
          <w:sz w:val="21"/>
          <w:szCs w:val="21"/>
        </w:rPr>
        <w:t xml:space="preserve">不同客户类型的渠道费率不同——ToC 端较高，ToB 端较低。售价中被渠道截留的部分不构成团队的收入。这意味着即使定价等于用户支付意愿，到手收入也低于该数字。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最优定价通常低于支付意愿上限。</w:t>
      </w:r>
      <w:r>
        <w:rPr>
          <w:rFonts w:ascii="Noto Sans SC" w:cs="Noto Sans SC" w:eastAsia="Noto Sans SC" w:hAnsi="Noto Sans SC"/>
          <w:sz w:val="21"/>
          <w:szCs w:val="21"/>
        </w:rPr>
        <w:t xml:space="preserve">在典型场景中，最优定价大约落在用户支付意愿的六到九成区间。原因在于：略低于上限的定价能捕获更多边际用户，其带来的销量增量往往超过单台利润的损失。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好产品可以支撑更高的定价——但仅限于差异化市场。</w:t>
      </w:r>
      <w:r>
        <w:rPr>
          <w:rFonts w:ascii="Noto Sans SC" w:cs="Noto Sans SC" w:eastAsia="Noto Sans SC" w:hAnsi="Noto Sans SC"/>
          <w:sz w:val="21"/>
          <w:szCs w:val="21"/>
        </w:rPr>
        <w:t xml:space="preserve">在差异化策略的市场中，产品与需求匹配度高的方案可以让消费者对价格更宽容，支撑更高的最优定价点。但在成本策略的市场中，消费者的价格敏感度主要由预算约束决定，产品质量对价格容忍度的影响有限。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Noto Sans SC" w:cs="Noto Sans SC" w:eastAsia="Noto Sans SC" w:hAnsi="Noto Sans SC"/>
          <w:b/>
          <w:bCs/>
          <w:color w:val="1A1A2E"/>
          <w:sz w:val="32"/>
          <w:szCs w:val="32"/>
        </w:rPr>
        <w:t xml:space="preserve">4  考核目标</w:t>
      </w: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4.1  最终排名指标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各团队的最终排名以总利润为基准。总利润的构成为：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总利润 = 销量 ×（硬件单台利润 + 订阅长期价值）− 固定成本总额</w:t>
      </w:r>
      <w:r>
        <w:rPr>
          <w:rFonts w:ascii="Noto Sans SC" w:cs="Noto Sans SC" w:eastAsia="Noto Sans SC" w:hAnsi="Noto Sans SC"/>
          <w:sz w:val="21"/>
          <w:szCs w:val="21"/>
        </w:rPr>
        <w:t xml:space="preserve"/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其中硬件单台利润 = 产品售价 ×（1 − 渠道费率）− 单台变动成本；订阅长期价值取决于用户留存率（产品与需求的匹配度越高，留存越强）。固定成本总额包含基础运营投入和研发选择带来的一次性工程投入（研发人力、开模、认证等）——选择越多、档位越高，固定成本越大，回本所需的销量也越高。销量由产品吸引力和定价共同决定，单台变动成本由研发选择决定。</w:t>
      </w: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4.2  过程评估维度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利润是最终结果，但复盘讨论将关注驱动利润的过程决策质量。以下维度将在复盘中被重点审视：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1A1A2E"/>
                <w:sz w:val="19"/>
                <w:szCs w:val="19"/>
              </w:rPr>
              <w:t xml:space="preserve">关注点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战略一致性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Round 1 的定位（格子 + 架构 + VP）与 Round 2 的产品方案是否形成一致的战略叙事？还是“说的”和“做的”出现了脱节？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VP 质量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目标人群是否可识别？痛点是否有普遍性和具体触发情境？解法是否有因果逻辑？架构与 VP 是否自洽？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访谈深度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是否追问了表层需求背后的动机？是否发现了被行业共识忽视的真实需求？访谈洞察是否转化为了可操作的选卡方向？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选卡精准度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研发资源是否集中在用户最在意的维度上？是否存在“堆料”（高投入但方向不聚焦）或“错配”（投入方向与需求不一致）？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333333"/>
                <w:sz w:val="19"/>
                <w:szCs w:val="19"/>
              </w:rPr>
              <w:t xml:space="preserve">定价合理性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333333"/>
                <w:sz w:val="19"/>
                <w:szCs w:val="19"/>
              </w:rPr>
              <w:t xml:space="preserve">是否理解了量价权衡？定价是否考虑了渠道费的结构性影响？是否在“卖得贵”和“卖得多”之间找到了合理的平衡点？</w:t>
            </w:r>
          </w:p>
        </w:tc>
      </w:tr>
    </w:tbl>
    <w:p>
      <w:pPr>
        <w:spacing w:after="80"/>
      </w:pPr>
    </w:p>
    <w:p>
      <w:pPr>
        <w:pStyle w:val="Heading2"/>
        <w:spacing w:after="180" w:before="360"/>
      </w:pPr>
      <w:r>
        <w:rPr>
          <w:rFonts w:ascii="Noto Sans SC" w:cs="Noto Sans SC" w:eastAsia="Noto Sans SC" w:hAnsi="Noto Sans SC"/>
          <w:b/>
          <w:bCs/>
          <w:color w:val="2C3E50"/>
          <w:sz w:val="26"/>
          <w:szCs w:val="26"/>
        </w:rPr>
        <w:t xml:space="preserve">4.3  复盘的核心讨论框架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模拟结束后的复盘将围绕以下对比展开：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Round 1 线 vs Round 2 线。</w:t>
      </w:r>
      <w:r>
        <w:rPr>
          <w:rFonts w:ascii="Noto Sans SC" w:cs="Noto Sans SC" w:eastAsia="Noto Sans SC" w:hAnsi="Noto Sans SC"/>
          <w:sz w:val="21"/>
          <w:szCs w:val="21"/>
        </w:rPr>
        <w:t xml:space="preserve">Round 1 定义了“你说你要做什么”（目标市场 + 价值主张 + 预期支付意愿），Round 2 产出了“你实际做了什么”（产品能力组合 + 实际匹配的市场）。两条线一致说明战略执行力强——团队能够将战略意图转化为产品现实。两条线不一致是最好的教学讨论点：为什么跑偏了？是访谈发现了初始假设的错误并做了合理调整，还是执行过程中迷失了方向？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精准 vs 堆料。</w:t>
      </w:r>
      <w:r>
        <w:rPr>
          <w:rFonts w:ascii="Noto Sans SC" w:cs="Noto Sans SC" w:eastAsia="Noto Sans SC" w:hAnsi="Noto Sans SC"/>
          <w:sz w:val="21"/>
          <w:szCs w:val="21"/>
        </w:rPr>
        <w:t xml:space="preserve">花了两倍研发预算的团队，利润是否也是两倍？通常不是。复盘将对比“精准选卡”（少量方案但方向正确）和“堆料”（大量方案但缺乏焦点）两种策略的经济回报差异。</w:t>
      </w:r>
    </w:p>
    <w:p>
      <w:pPr>
        <w:spacing w:after="160" w:line="360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市场选择的路径差异。</w:t>
      </w:r>
      <w:r>
        <w:rPr>
          <w:rFonts w:ascii="Noto Sans SC" w:cs="Noto Sans SC" w:eastAsia="Noto Sans SC" w:hAnsi="Noto Sans SC"/>
          <w:sz w:val="21"/>
          <w:szCs w:val="21"/>
        </w:rPr>
        <w:t xml:space="preserve">选择差异化市场和成本市场的团队，利润来源的结构有何不同？ToB 和 ToC 的经济逻辑差异如何体现？同一个市场中不同团队的表现差异来自哪里？</w:t>
      </w:r>
    </w:p>
    <w:p>
      <w:pPr>
        <w:spacing w:after="160" w:line="360"/>
      </w:pPr>
      <w:r>
        <w:rPr>
          <w:rFonts w:ascii="Noto Sans SC" w:cs="Noto Sans SC" w:eastAsia="Noto Sans SC" w:hAnsi="Noto Sans SC"/>
          <w:sz w:val="21"/>
          <w:szCs w:val="21"/>
        </w:rPr>
        <w:t xml:space="preserve">模拟的教学目标不是找到“唯一正确答案”——12 个格子 × 3 种架构的每一种组合都可能产生好结果，前提是团队在整条决策链上保持了内在一致性和执行精度。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SC" w:cs="Noto Sans SC" w:eastAsia="Noto Sans SC" w:hAnsi="Noto Sans SC"/>
        <w:color w:val="AAAAAA"/>
        <w:sz w:val="16"/>
        <w:szCs w:val="16"/>
      </w:rPr>
      <w:t xml:space="preserve">— </w:t>
    </w:r>
    <w:r>
      <w:rPr>
        <w:rFonts w:ascii="Noto Sans SC" w:cs="Noto Sans SC" w:eastAsia="Noto Sans SC" w:hAnsi="Noto Sans SC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SC" w:cs="Noto Sans SC" w:eastAsia="Noto Sans SC" w:hAnsi="Noto Sans SC"/>
        <w:color w:val="AAAAAA"/>
        <w:sz w:val="16"/>
        <w:szCs w:val="16"/>
      </w:rPr>
      <w:t xml:space="preserve">高管教育 商业模拟 · LOVOT 案例手册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Noto Sans SC" w:cs="Noto Sans SC" w:eastAsia="Noto Sans SC" w:hAnsi="Noto Sans SC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Noto Sans SC" w:cs="Noto Sans SC" w:eastAsia="Noto Sans SC" w:hAnsi="Noto Sans S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2026-03-12T08:53:39.216Z</dcterms:created>
  <dcterms:modified xsi:type="dcterms:W3CDTF">2026-03-12T08:53:39.217Z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