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Arial" w:hAnsi="Arial" w:eastAsia="Microsoft YaHei"/>
          <w:b/>
          <w:color w:val="1F3A5F"/>
          <w:sz w:val="38"/>
        </w:rPr>
        <w:t>人工智能与未来企业</w:t>
      </w:r>
    </w:p>
    <w:p>
      <w:pPr>
        <w:spacing w:before="0" w:after="200" w:line="324" w:lineRule="auto"/>
      </w:pPr>
      <w:r>
        <w:rPr>
          <w:rFonts w:ascii="Arial" w:hAnsi="Arial" w:eastAsia="Microsoft YaHei"/>
          <w:b w:val="0"/>
          <w:color w:val="4C647A"/>
          <w:sz w:val="28"/>
        </w:rPr>
        <w:t>企业客户版课程大纲</w:t>
      </w:r>
    </w:p>
    <w:p>
      <w:pPr>
        <w:spacing w:before="0" w:after="240" w:line="324" w:lineRule="auto"/>
      </w:pPr>
      <w:r>
        <w:rPr>
          <w:rFonts w:ascii="Arial" w:hAnsi="Arial" w:eastAsia="Microsoft YaHei"/>
          <w:b w:val="0"/>
          <w:color w:val="555555"/>
          <w:sz w:val="21"/>
        </w:rPr>
        <w:t>杨蔚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EEF3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Arial" w:hAnsi="Arial" w:eastAsia="Microsoft YaHei"/>
                <w:color w:val="30475E"/>
                <w:sz w:val="21"/>
              </w:rPr>
              <w:t>面向企业管理团队的系统课程，围绕 AI 的技术逻辑、业务影响、组织配套与战略选择展开，适用于认知统一、场景识别与转型推进等多类培训场景。</w:t>
            </w:r>
          </w:p>
        </w:tc>
      </w:tr>
    </w:tbl>
    <w:p>
      <w:pPr>
        <w:spacing w:before="0" w:after="160" w:line="324" w:lineRule="auto"/>
      </w:pPr>
    </w:p>
    <w:p>
      <w:pPr>
        <w:spacing w:before="160" w:after="100" w:line="324" w:lineRule="auto"/>
      </w:pPr>
      <w:r>
        <w:rPr>
          <w:rFonts w:ascii="Arial" w:hAnsi="Arial" w:eastAsia="Microsoft YaHei"/>
          <w:b/>
          <w:color w:val="1F3A5F"/>
          <w:sz w:val="26"/>
        </w:rPr>
        <w:t>课程定位</w:t>
      </w:r>
    </w:p>
    <w:p>
      <w:pPr>
        <w:spacing w:before="0" w:after="100" w:line="324" w:lineRule="auto"/>
      </w:pPr>
      <w:r>
        <w:rPr>
          <w:rFonts w:ascii="Arial" w:hAnsi="Arial" w:eastAsia="Microsoft YaHei"/>
          <w:b w:val="0"/>
          <w:sz w:val="21"/>
        </w:rPr>
        <w:t>本课程面向企业管理者、创新负责人及核心业务团队，聚焦人工智能对经营管理、业务创新与组织运行所带来的系统性影响。课程并不局限于技术概念介绍，而是将机器学习、计算机视觉、生成式人工智能、大模型与智能体等关键技术，置于企业战略、价值链重组、流程再造和能力建设的框架中展开分析。</w:t>
      </w:r>
    </w:p>
    <w:p>
      <w:pPr>
        <w:spacing w:before="0" w:after="100" w:line="324" w:lineRule="auto"/>
      </w:pPr>
      <w:r>
        <w:rPr>
          <w:rFonts w:ascii="Arial" w:hAnsi="Arial" w:eastAsia="Microsoft YaHei"/>
          <w:b w:val="0"/>
          <w:sz w:val="21"/>
        </w:rPr>
        <w:t>课程设计遵循“技术能力—业务影响—组织配套—战略选择”的递进逻辑，帮助学员在理解技术边界与应用条件的基础上，进一步讨论行业竞争规则的变化、高价值场景的识别、流程与岗位的调整方式，以及企业在全球化与地缘政治约束下的中长期选择。</w:t>
      </w:r>
    </w:p>
    <w:p>
      <w:pPr>
        <w:spacing w:before="160" w:after="100" w:line="324" w:lineRule="auto"/>
      </w:pPr>
      <w:r>
        <w:rPr>
          <w:rFonts w:ascii="Arial" w:hAnsi="Arial" w:eastAsia="Microsoft YaHei"/>
          <w:b/>
          <w:color w:val="1F3A5F"/>
          <w:sz w:val="26"/>
        </w:rPr>
        <w:t>课程简介</w:t>
      </w:r>
    </w:p>
    <w:p>
      <w:pPr>
        <w:spacing w:before="0" w:after="100" w:line="324" w:lineRule="auto"/>
      </w:pPr>
      <w:r>
        <w:rPr>
          <w:rFonts w:ascii="Arial" w:hAnsi="Arial" w:eastAsia="Microsoft YaHei"/>
          <w:b w:val="0"/>
          <w:sz w:val="21"/>
        </w:rPr>
        <w:t>人工智能的发展正在持续改变企业的经营环境。对于企业而言，这种变化不仅体现为新工具和新应用的出现，更体现为信息处理方式、知识生产方式、业务协同方式与决策机制的调整。由此带来的，不仅是效率改善和成本优化，也包括产品与服务形态的重构、组织分工的变化，以及竞争优势来源的重新分布。</w:t>
      </w:r>
    </w:p>
    <w:p>
      <w:pPr>
        <w:spacing w:before="0" w:after="100" w:line="324" w:lineRule="auto"/>
      </w:pPr>
      <w:r>
        <w:rPr>
          <w:rFonts w:ascii="Arial" w:hAnsi="Arial" w:eastAsia="Microsoft YaHei"/>
          <w:b w:val="0"/>
          <w:sz w:val="21"/>
        </w:rPr>
        <w:t>基于上述背景，本课程将围绕三个相互关联的问题展开：第一，机器学习、计算机视觉、生成式人工智能和智能体分别对应哪些典型业务价值，其能力边界与适用条件是什么；第二，AI 将如何影响行业结构、价值链分工、商业模式与增长路径；第三，企业在推进 AI 过程中，应如何处理流程再造、人机协作、岗位能力调整、治理机制以及外部环境约束等问题。课程将结合国内外企业案例与模拟演练，帮助学员形成相对完整的分析框架与行动思路。</w:t>
      </w:r>
    </w:p>
    <w:p>
      <w:pPr>
        <w:spacing w:before="160" w:after="100" w:line="324" w:lineRule="auto"/>
      </w:pPr>
      <w:r>
        <w:rPr>
          <w:rFonts w:ascii="Arial" w:hAnsi="Arial" w:eastAsia="Microsoft YaHei"/>
          <w:b/>
          <w:color w:val="1F3A5F"/>
          <w:sz w:val="26"/>
        </w:rPr>
        <w:t>企业可获得的主要收获</w:t>
      </w:r>
    </w:p>
    <w:p>
      <w:pPr>
        <w:spacing w:before="0" w:after="100" w:line="324" w:lineRule="auto"/>
      </w:pPr>
      <w:r>
        <w:rPr>
          <w:rFonts w:ascii="Arial" w:hAnsi="Arial" w:eastAsia="Microsoft YaHei"/>
          <w:b w:val="0"/>
          <w:sz w:val="21"/>
        </w:rPr>
        <w:t>1. 形成关于 AI 技术路径与商业影响的共同认知，能够区分不同技术范式的能力特征、应用边界与资源要求。</w:t>
      </w:r>
    </w:p>
    <w:p>
      <w:pPr>
        <w:spacing w:before="0" w:after="100" w:line="324" w:lineRule="auto"/>
      </w:pPr>
      <w:r>
        <w:rPr>
          <w:rFonts w:ascii="Arial" w:hAnsi="Arial" w:eastAsia="Microsoft YaHei"/>
          <w:b w:val="0"/>
          <w:sz w:val="21"/>
        </w:rPr>
        <w:t>2. 从价值链、进入壁垒、规模与网络效应、数据与算力约束等维度，分析 AI 对行业竞争规则和企业优势来源的影响。</w:t>
      </w:r>
    </w:p>
    <w:p>
      <w:pPr>
        <w:spacing w:before="0" w:after="100" w:line="324" w:lineRule="auto"/>
      </w:pPr>
      <w:r>
        <w:rPr>
          <w:rFonts w:ascii="Arial" w:hAnsi="Arial" w:eastAsia="Microsoft YaHei"/>
          <w:b w:val="0"/>
          <w:sz w:val="21"/>
        </w:rPr>
        <w:t>3. 结合业务痛点、数据条件、流程成熟度、预期收益与实施难度，识别并排序适合本企业推进的重点场景。</w:t>
      </w:r>
    </w:p>
    <w:p>
      <w:pPr>
        <w:spacing w:before="0" w:after="100" w:line="324" w:lineRule="auto"/>
      </w:pPr>
      <w:r>
        <w:rPr>
          <w:rFonts w:ascii="Arial" w:hAnsi="Arial" w:eastAsia="Microsoft YaHei"/>
          <w:b w:val="0"/>
          <w:sz w:val="21"/>
        </w:rPr>
        <w:t>4. 将生成式 AI 与智能体放入具体流程与岗位讨论，理解其对工作流设计、人机协作、治理机制与质量控制的影响。</w:t>
      </w:r>
    </w:p>
    <w:p>
      <w:pPr>
        <w:spacing w:before="0" w:after="100" w:line="324" w:lineRule="auto"/>
      </w:pPr>
      <w:r>
        <w:rPr>
          <w:rFonts w:ascii="Arial" w:hAnsi="Arial" w:eastAsia="Microsoft YaHei"/>
          <w:b w:val="0"/>
          <w:sz w:val="21"/>
        </w:rPr>
        <w:t>5. 在组织结构、人才能力、跨部门协同和实施节奏等方面形成较为清晰的配套思路，并据此讨论可执行的转型方案。</w:t>
      </w:r>
    </w:p>
    <w:p>
      <w:pPr>
        <w:spacing w:before="160" w:after="100" w:line="324" w:lineRule="auto"/>
      </w:pPr>
      <w:r>
        <w:rPr>
          <w:rFonts w:ascii="Arial" w:hAnsi="Arial" w:eastAsia="Microsoft YaHei"/>
          <w:b/>
          <w:color w:val="1F3A5F"/>
          <w:sz w:val="26"/>
        </w:rPr>
        <w:t>适合对象与适用场景</w:t>
      </w:r>
    </w:p>
    <w:p>
      <w:pPr>
        <w:spacing w:before="0" w:after="100" w:line="324" w:lineRule="auto"/>
      </w:pPr>
      <w:r>
        <w:rPr>
          <w:rFonts w:ascii="Arial" w:hAnsi="Arial" w:eastAsia="Microsoft YaHei"/>
          <w:b w:val="0"/>
          <w:sz w:val="21"/>
        </w:rPr>
        <w:t>适合对象：董事长、CEO、总经理、业务部门负责人、战略与创新负责人、数字化/信息化负责人、核心中层管理团队。</w:t>
      </w:r>
    </w:p>
    <w:p>
      <w:pPr>
        <w:spacing w:before="0" w:after="100" w:line="324" w:lineRule="auto"/>
      </w:pPr>
      <w:r>
        <w:rPr>
          <w:rFonts w:ascii="Arial" w:hAnsi="Arial" w:eastAsia="Microsoft YaHei"/>
          <w:b w:val="0"/>
          <w:sz w:val="21"/>
        </w:rPr>
        <w:t>适用场景：管理层认知统一；AI 场景识别与优先级排序；战略与业务讨论；组织配套与流程调整；专题研讨或中高层工作坊。</w:t>
      </w:r>
    </w:p>
    <w:p>
      <w:pPr>
        <w:spacing w:before="200" w:after="100" w:line="324" w:lineRule="auto"/>
      </w:pPr>
      <w:r>
        <w:rPr>
          <w:rFonts w:ascii="Arial" w:hAnsi="Arial" w:eastAsia="Microsoft YaHei"/>
          <w:b/>
          <w:color w:val="1F3A5F"/>
          <w:sz w:val="26"/>
        </w:rPr>
        <w:t>课程安排</w:t>
      </w:r>
    </w:p>
    <w:p>
      <w:pPr>
        <w:spacing w:before="0" w:after="140" w:line="324" w:lineRule="auto"/>
      </w:pPr>
      <w:r>
        <w:rPr>
          <w:rFonts w:ascii="Arial" w:hAnsi="Arial" w:eastAsia="Microsoft YaHei"/>
          <w:b w:val="0"/>
          <w:sz w:val="21"/>
        </w:rPr>
        <w:t>课程采用两天结构，按照“技术逻辑—业务影响—组织配套—战略演练”的顺序推进。各模块既可作为完整课程使用，也可根据企业需求进行删减与重组。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时间安排</w:t>
            </w:r>
          </w:p>
        </w:tc>
        <w:tc>
          <w:tcPr>
            <w:tcW w:type="dxa" w:w="38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模块主题</w:t>
            </w:r>
          </w:p>
        </w:tc>
        <w:tc>
          <w:tcPr>
            <w:tcW w:type="dxa" w:w="61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2F3"/>
          </w:tcPr>
          <w:p>
            <w:r>
              <w:rPr>
                <w:rFonts w:ascii="Arial" w:hAnsi="Arial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第一天上午</w:t>
            </w:r>
          </w:p>
        </w:tc>
        <w:tc>
          <w:tcPr>
            <w:tcW w:type="dxa" w:w="38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模块一｜预测的红利——机器学习算法与企业经营优化</w:t>
            </w:r>
          </w:p>
        </w:tc>
        <w:tc>
          <w:tcPr>
            <w:tcW w:type="dxa" w:w="61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讨论“预测”如何改变决策方式，分析供需匹配、推荐、定价、风控与运营优化等场景中的算法价值、适用条件与实施边界。</w:t>
              <w:br/>
              <w:t>案例：字节跳动、抖音、中通、星巴克。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第一天上午</w:t>
            </w:r>
          </w:p>
        </w:tc>
        <w:tc>
          <w:tcPr>
            <w:tcW w:type="dxa" w:w="38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模块二｜感知的红利——计算机视觉与物理世界的数据化</w:t>
            </w:r>
          </w:p>
        </w:tc>
        <w:tc>
          <w:tcPr>
            <w:tcW w:type="dxa" w:w="61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讨论视觉识别如何将线下环境转化为可计算、可运营的问题，并分析其在制造、物流、零售、自动驾驶等场景中的商业条件与落地要求。</w:t>
              <w:br/>
              <w:t>案例：特斯拉、华为、商汤、沃尔玛、麦当劳、顺丰、发那科。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第一天下午</w:t>
            </w:r>
          </w:p>
        </w:tc>
        <w:tc>
          <w:tcPr>
            <w:tcW w:type="dxa" w:w="38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模块三｜生成的红利——大模型的技术特点与知识工作重构</w:t>
            </w:r>
          </w:p>
        </w:tc>
        <w:tc>
          <w:tcPr>
            <w:tcW w:type="dxa" w:w="61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介绍 Transformer 架构、上下文机制、幻觉、工具调用与部署方式，讨论其在知识沉淀、知识生产、专业服务与行业应用中的作用。</w:t>
              <w:br/>
              <w:t>案例：OpenAI、DeepSeek、Meta、Google、飞书、百度网盘、值得买、祁飞、袋鼠健康、飞利浦、Biotender/武田制药、协和/阿斯利康、华山医院/麻省总医院MGH、OpenEvidence、Cera Care、恒生电子。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第一天下午</w:t>
            </w:r>
          </w:p>
        </w:tc>
        <w:tc>
          <w:tcPr>
            <w:tcW w:type="dxa" w:w="38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模块四｜行动的红利——从 Chatbot 到 Agent（智能体）</w:t>
            </w:r>
          </w:p>
        </w:tc>
        <w:tc>
          <w:tcPr>
            <w:tcW w:type="dxa" w:w="61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分析智能体在任务分解、工具调用、记忆、协作与工作流自动化中的特征，并讨论其对数字劳动力、执行效率与组织边界的影响。</w:t>
              <w:br/>
              <w:t>案例：腾讯、云简业财、益普索、易路、Lexi、Aaru、Openclaw、Cluely、Unanimous AI。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第二天上午</w:t>
            </w:r>
          </w:p>
        </w:tc>
        <w:tc>
          <w:tcPr>
            <w:tcW w:type="dxa" w:w="38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模块五｜AI 时代的流程重构与组织协同</w:t>
            </w:r>
          </w:p>
        </w:tc>
        <w:tc>
          <w:tcPr>
            <w:tcW w:type="dxa" w:w="61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围绕流程再造、人机协作、岗位调整、人才培养与治理机制展开，讨论哪些环节适合“AI增强”，哪些环节适合自动化替代，以及组织如何形成新的协作方式。</w:t>
              <w:br/>
              <w:t>案例：麦当劳中国、飞利浦中国、理想汽车、捷豹路虎、金螳螂、第四范式。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第二天下午</w:t>
            </w:r>
          </w:p>
        </w:tc>
        <w:tc>
          <w:tcPr>
            <w:tcW w:type="dxa" w:w="38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模块六｜AI 时代的业务创新、全球化与外部约束</w:t>
            </w:r>
          </w:p>
        </w:tc>
        <w:tc>
          <w:tcPr>
            <w:tcW w:type="dxa" w:w="61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讨论 AI 对产品化、服务化、平台化与按结果付费等商业模式的影响，并延伸至具身智能、Global Native、数据主权、算力封锁与地缘政治约束下的战略选择。</w:t>
              <w:br/>
              <w:t>案例：Lovot、Limitless、Stream Ring、阶梯医疗、飞利浦中国。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第二天下午</w:t>
            </w:r>
          </w:p>
        </w:tc>
        <w:tc>
          <w:tcPr>
            <w:tcW w:type="dxa" w:w="388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模块七｜实战工坊——《未来独角兽：AI 创新战略模拟》</w:t>
            </w:r>
          </w:p>
        </w:tc>
        <w:tc>
          <w:tcPr>
            <w:tcW w:type="dxa" w:w="619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以中国市场的 AI 硬件创新为背景开展分组演练，从价值主张、数据条件、资源投入、实施节奏与里程碑等维度进行方案设计，并形成可迁移的分析框架。</w:t>
              <w:br/>
              <w:t>案例：综合运用前述案例与课堂材料。</w:t>
            </w:r>
          </w:p>
        </w:tc>
      </w:tr>
    </w:tbl>
    <w:p>
      <w:pPr>
        <w:spacing w:before="0" w:after="120" w:line="324" w:lineRule="auto"/>
      </w:pPr>
    </w:p>
    <w:p>
      <w:pPr>
        <w:spacing w:before="160" w:after="100" w:line="324" w:lineRule="auto"/>
      </w:pPr>
      <w:r>
        <w:rPr>
          <w:rFonts w:ascii="Arial" w:hAnsi="Arial" w:eastAsia="Microsoft YaHei"/>
          <w:b/>
          <w:color w:val="1F3A5F"/>
          <w:sz w:val="26"/>
        </w:rPr>
        <w:t>教学方式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sz w:val="21"/>
        </w:rPr>
        <w:t>主题讲授：围绕核心概念、分析框架与关键问题进行系统讲解。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sz w:val="21"/>
        </w:rPr>
        <w:t>案例讨论：结合国内外企业案例，讨论技术选择、业务模式、组织配套与实施条件。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sz w:val="21"/>
        </w:rPr>
        <w:t>情景推演与模拟：通过分组讨论或战略模拟，将课程内容转化为可迁移的判断框架与行动思路。</w:t>
      </w:r>
    </w:p>
    <w:p>
      <w:pPr>
        <w:spacing w:before="160" w:after="100" w:line="324" w:lineRule="auto"/>
      </w:pPr>
      <w:r>
        <w:rPr>
          <w:rFonts w:ascii="Arial" w:hAnsi="Arial" w:eastAsia="Microsoft YaHei"/>
          <w:b/>
          <w:color w:val="1F3A5F"/>
          <w:sz w:val="26"/>
        </w:rPr>
        <w:t>可定制方向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sz w:val="21"/>
        </w:rPr>
        <w:t>可根据企业需求对课程内容进行调整，例如强化管理层认知统一、聚焦特定业务场景、增加行业案例，或将课程进一步延伸为专题研讨/工作坊。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sz w:val="21"/>
        </w:rPr>
        <w:t>可重点覆盖的方向包括：制造与供应链、消费与零售、医疗健康、平台与互联网、出海与全球化、组织与人才升级等。</w:t>
      </w:r>
    </w:p>
    <w:p>
      <w:pPr>
        <w:spacing w:before="160" w:after="100" w:line="324" w:lineRule="auto"/>
      </w:pPr>
      <w:r>
        <w:rPr>
          <w:rFonts w:ascii="Arial" w:hAnsi="Arial" w:eastAsia="Microsoft YaHei"/>
          <w:b/>
          <w:color w:val="1F3A5F"/>
          <w:sz w:val="26"/>
        </w:rPr>
        <w:t>代表案例方向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议题方向</w:t>
            </w:r>
          </w:p>
        </w:tc>
        <w:tc>
          <w:tcPr>
            <w:tcW w:type="dxa" w:w="87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代表案例（完整保留）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机器学习与经营优化</w:t>
            </w:r>
          </w:p>
        </w:tc>
        <w:tc>
          <w:tcPr>
            <w:tcW w:type="dxa" w:w="87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字节跳动、抖音、中通、星巴克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视觉、自动驾驶与实体场景</w:t>
            </w:r>
          </w:p>
        </w:tc>
        <w:tc>
          <w:tcPr>
            <w:tcW w:type="dxa" w:w="87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特斯拉、华为、商汤、沃尔玛、麦当劳、顺丰、发那科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大模型与知识工作重构</w:t>
            </w:r>
          </w:p>
        </w:tc>
        <w:tc>
          <w:tcPr>
            <w:tcW w:type="dxa" w:w="87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OpenAI、DeepSeek、Meta、Google、飞书、百度网盘、值得买、祁飞、袋鼠健康、飞利浦、Biotender/武田制药、协和/阿斯利康、华山医院/麻省总医院MGH、OpenEvidence、Cera Care、恒生电子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智能体、数字员工与流程自动化</w:t>
            </w:r>
          </w:p>
        </w:tc>
        <w:tc>
          <w:tcPr>
            <w:tcW w:type="dxa" w:w="87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易路、益普索、云简业财、腾讯、Lexi、Aaru、Openclaw、Cluely、Unanimous AI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组织升级、人才建设与企业转型</w:t>
            </w:r>
          </w:p>
        </w:tc>
        <w:tc>
          <w:tcPr>
            <w:tcW w:type="dxa" w:w="87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麦当劳中国、飞利浦中国、理想汽车、捷豹路虎、金螳螂、第四范式</w:t>
            </w:r>
          </w:p>
        </w:tc>
      </w:tr>
      <w:tr>
        <w:tc>
          <w:tcPr>
            <w:tcW w:type="dxa" w:w="3168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智能硬件与前沿创新</w:t>
            </w:r>
          </w:p>
        </w:tc>
        <w:tc>
          <w:tcPr>
            <w:tcW w:type="dxa" w:w="8712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微软雅黑"/>
                <w:b w:val="0"/>
                <w:sz w:val="18"/>
              </w:rPr>
              <w:t>Lovot、Limitless、Stream Ring、阶梯医疗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Microsoft YaHei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