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116</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https://www.twitch.tv/p/fr-ca/legal/state-specific-privacy-disclosures/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State-Specific Privacy Disclosures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02/02/2023 Additional State-Specific Privacy Disclosures Last modified on February 2, 2023 This additional state-specific privacy disclosure page (“Disclosure”) supplements the Twitch Privacy Notice , which describes the personal information that we collect, the sources from which we collect it, the purposes for which we use it, the limited circumstances under which we share personal information, and with whom we share it.</w:t>
      </w:r>
    </w:p>
    <w:p>
      <w:pPr>
        <w:spacing w:lineRule="auto" w:after="0" w:before="0" w:line="240"/>
        <w:ind w:left="0"/>
        <w:jc w:val="left"/>
      </w:pPr>
      <w:r>
        <w:rPr>
          <w:rFonts w:cs="Arial" w:ascii="Arial" w:hAnsi="Arial" w:eastAsia="Arial"/>
          <w:sz w:val="20"/>
          <w:szCs w:val="20"/>
          <w:color w:val="#000000"/>
          <w:lang w:val="en-US" w:bidi="ar-SA" w:eastAsia="en-US"/>
        </w:rPr>
        <w:t xml:space="preserve">These additional disclosures are required by the California Privacy Rights Act and the Virginia Consumer Data Protection Act: 1 .</w:t>
      </w:r>
    </w:p>
    <w:p>
      <w:pPr>
        <w:spacing w:lineRule="auto" w:after="0" w:before="0" w:line="240"/>
        <w:ind w:left="0"/>
        <w:jc w:val="left"/>
      </w:pPr>
      <w:r>
        <w:rPr>
          <w:rFonts w:cs="Arial" w:ascii="Arial" w:hAnsi="Arial" w:eastAsia="Arial"/>
          <w:sz w:val="20"/>
          <w:szCs w:val="20"/>
          <w:color w:val="#000000"/>
          <w:lang w:val="en-US" w:bidi="ar-SA" w:eastAsia="en-US"/>
        </w:rPr>
        <w:t xml:space="preserve">Categories of Personal Information Collected The personal information that Twitch collects, or has collected from consumers in the twelve months prior to the effective date of this Disclosure, falls into the following categories established by the California Privacy Rights Act, depending on which Twitch Service is used.</w:t>
      </w:r>
    </w:p>
    <w:p>
      <w:pPr>
        <w:spacing w:lineRule="auto" w:after="0" w:before="0" w:line="240"/>
        <w:ind w:left="0"/>
        <w:jc w:val="left"/>
      </w:pPr>
      <w:r>
        <w:rPr>
          <w:rFonts w:cs="Arial" w:ascii="Arial" w:hAnsi="Arial" w:eastAsia="Arial"/>
          <w:sz w:val="20"/>
          <w:szCs w:val="20"/>
          <w:color w:val="#000000"/>
          <w:lang w:val="en-US" w:bidi="ar-SA" w:eastAsia="en-US"/>
        </w:rPr>
        <w:t xml:space="preserve">identifiers such as your name, alias, email, address, phone numbers, IP address, your Twitch account log-in information, or a government-issued identifier (which may be required for tax purposes if you have registered to receive payments from Twitch); personal information, such as payment information; information that may reveal your age, gender, race, sexual orientation, or other protected classifications, for example if you voluntarily disclose this information as part of your activity on Twitch; commercial information, such as purchase and content streaming activity; internet or other electronic network activity information, including content interaction information such as viewing history, browsing history, search history, and the content of messages, such as those you can send with chat; generalized geolocation data based on your IP address, such as your general jurisdiction to determine language; audio or visual information, such as video and audio recordings if you upload user-generated content; professional information, for example data related to your channel if you stream on Twitch; and inference data, such as information about your purchase and viewing preferences.</w:t>
      </w:r>
    </w:p>
    <w:p>
      <w:pPr>
        <w:spacing w:lineRule="auto" w:after="0" w:before="0" w:line="240"/>
        <w:ind w:left="0"/>
        <w:jc w:val="left"/>
      </w:pPr>
      <w:r>
        <w:rPr>
          <w:rFonts w:cs="Arial" w:ascii="Arial" w:hAnsi="Arial" w:eastAsia="Arial"/>
          <w:sz w:val="20"/>
          <w:szCs w:val="20"/>
          <w:color w:val="#000000"/>
          <w:lang w:val="en-US" w:bidi="ar-SA" w:eastAsia="en-US"/>
        </w:rPr>
        <w:t xml:space="preserve">2 .</w:t>
      </w:r>
    </w:p>
    <w:p>
      <w:pPr>
        <w:spacing w:lineRule="auto" w:after="0" w:before="0" w:line="240"/>
        <w:ind w:left="0"/>
        <w:jc w:val="left"/>
      </w:pPr>
      <w:r>
        <w:rPr>
          <w:rFonts w:cs="Arial" w:ascii="Arial" w:hAnsi="Arial" w:eastAsia="Arial"/>
          <w:sz w:val="20"/>
          <w:szCs w:val="20"/>
          <w:color w:val="#000000"/>
          <w:lang w:val="en-US" w:bidi="ar-SA" w:eastAsia="en-US"/>
        </w:rPr>
        <w:t xml:space="preserve">Categories of Personal Information Disclosed for a Business Purpose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