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If you choose to publish Branded Content on the Twitch Services you agree to use Twitch’s Branded Content tool, which provides a written disclosure to viewers that your live stream contains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