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19</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https://www.twitch.tv/p/en/legal/state-specific-privacy-disclosures/</w:t>
      </w:r>
    </w:p>
    <w:p>
      <w:pPr>
        <w:spacing w:lineRule="auto" w:after="0" w:before="0" w:line="240"/>
        <w:ind w:left="0"/>
        <w:jc w:val="left"/>
      </w:pPr>
      <w:r>
        <w:rPr>
          <w:rFonts w:cs="Arial" w:ascii="Arial" w:hAnsi="Arial" w:eastAsia="Arial"/>
          <w:sz w:val="20"/>
          <w:szCs w:val="20"/>
          <w:color w:val="#000000"/>
          <w:lang w:val="en-US" w:bidi="ar-SA" w:eastAsia="en-US"/>
        </w:rPr>
        <w:t xml:space="preserve">['discrimin']</w:t>
      </w:r>
    </w:p>
    <w:p>
      <w:pPr>
        <w:spacing w:lineRule="auto" w:after="0" w:before="0" w:line="240"/>
        <w:ind w:left="0"/>
        <w:jc w:val="left"/>
      </w:pPr>
      <w:r>
        <w:rPr>
          <w:rFonts w:cs="Arial" w:ascii="Arial" w:hAnsi="Arial" w:eastAsia="Arial"/>
          <w:sz w:val="20"/>
          <w:szCs w:val="20"/>
          <w:color w:val="#000000"/>
          <w:lang w:val="en-US" w:bidi="ar-SA" w:eastAsia="en-US"/>
        </w:rPr>
        <w:t xml:space="preserve">Depending upon your data choices, certain services may be limited or unavailable.</w:t>
      </w:r>
    </w:p>
    <w:p>
      <w:pPr>
        <w:spacing w:lineRule="auto" w:after="0" w:before="0" w:line="240"/>
        <w:ind w:left="0"/>
        <w:jc w:val="left"/>
      </w:pPr>
      <w:r>
        <w:rPr>
          <w:rFonts w:cs="Arial" w:ascii="Arial" w:hAnsi="Arial" w:eastAsia="Arial"/>
          <w:sz w:val="20"/>
          <w:szCs w:val="20"/>
          <w:color w:val="#000000"/>
          <w:lang w:val="en-US" w:bidi="ar-SA" w:eastAsia="en-US"/>
        </w:rPr>
        <w:t xml:space="preserve">Additionally, you may have the right to opt out of the processing of your personal data for targeted advertising, as defined by the Virginia Consumer Data Protection Act, or the sharing of your personal information for cross-context behavioral advertising, as defined by the California Privacy Rights Act.</w:t>
      </w:r>
    </w:p>
    <w:p>
      <w:pPr>
        <w:spacing w:lineRule="auto" w:after="0" w:before="0" w:line="240"/>
        <w:ind w:left="0"/>
        <w:jc w:val="left"/>
      </w:pPr>
      <w:r>
        <w:rPr>
          <w:rFonts w:cs="Arial" w:ascii="Arial" w:hAnsi="Arial" w:eastAsia="Arial"/>
          <w:sz w:val="20"/>
          <w:szCs w:val="20"/>
          <w:color w:val="#000000"/>
          <w:lang w:val="en-US" w:bidi="ar-SA" w:eastAsia="en-US"/>
        </w:rPr>
        <w:t xml:space="preserve">To do so, please visit Manage Consent Preferences in the Security and Privacy tab of your user settings at the bottom of that page.</w:t>
      </w:r>
    </w:p>
    <w:p>
      <w:pPr>
        <w:spacing w:lineRule="auto" w:after="0" w:before="0" w:line="240"/>
        <w:ind w:left="0"/>
        <w:jc w:val="left"/>
      </w:pPr>
      <w:r>
        <w:rPr>
          <w:rFonts w:cs="Arial" w:ascii="Arial" w:hAnsi="Arial" w:eastAsia="Arial"/>
          <w:sz w:val="20"/>
          <w:szCs w:val="20"/>
          <w:color w:val="#000000"/>
          <w:lang w:val="en-US" w:bidi="ar-SA" w:eastAsia="en-US"/>
        </w:rPr>
        <w:t xml:space="preserve">To disable interest-based ads provided by Amazon, please visit the Amazon Advertising Preferences page .</w:t>
      </w:r>
    </w:p>
    <w:p>
      <w:pPr>
        <w:spacing w:lineRule="auto" w:after="0" w:before="0" w:line="240"/>
        <w:ind w:left="0"/>
        <w:jc w:val="left"/>
      </w:pPr>
      <w:r>
        <w:rPr>
          <w:rFonts w:cs="Arial" w:ascii="Arial" w:hAnsi="Arial" w:eastAsia="Arial"/>
          <w:sz w:val="20"/>
          <w:szCs w:val="20"/>
          <w:color w:val="#000000"/>
          <w:lang w:val="en-US" w:bidi="ar-SA" w:eastAsia="en-US"/>
        </w:rPr>
        <w:t xml:space="preserve">Customers under 16 years old must opt-in to receive cross-context behavioral advertising.</w:t>
      </w:r>
    </w:p>
    <w:p>
      <w:pPr>
        <w:spacing w:lineRule="auto" w:after="0" w:before="0" w:line="240"/>
        <w:ind w:left="0"/>
        <w:jc w:val="left"/>
      </w:pPr>
      <w:r>
        <w:rPr>
          <w:rFonts w:cs="Arial" w:ascii="Arial" w:hAnsi="Arial" w:eastAsia="Arial"/>
          <w:sz w:val="20"/>
          <w:szCs w:val="20"/>
          <w:color w:val="#000000"/>
          <w:lang w:val="en-US" w:bidi="ar-SA" w:eastAsia="en-US"/>
        </w:rPr>
        <w:t xml:space="preserve">We will not discriminate against you for exercising your rights.</w:t>
      </w:r>
    </w:p>
    <w:p>
      <w:pPr>
        <w:spacing w:lineRule="auto" w:after="0" w:before="0" w:line="240"/>
        <w:ind w:left="0"/>
        <w:jc w:val="left"/>
      </w:pPr>
      <w:r>
        <w:rPr>
          <w:rFonts w:cs="Arial" w:ascii="Arial" w:hAnsi="Arial" w:eastAsia="Arial"/>
          <w:sz w:val="20"/>
          <w:szCs w:val="20"/>
          <w:color w:val="#000000"/>
          <w:lang w:val="en-US" w:bidi="ar-SA" w:eastAsia="en-US"/>
        </w:rPr>
        <w:t xml:space="preserve">5 .</w:t>
      </w:r>
    </w:p>
    <w:p>
      <w:pPr>
        <w:spacing w:lineRule="auto" w:after="0" w:before="0" w:line="240"/>
        <w:ind w:left="0"/>
        <w:jc w:val="left"/>
      </w:pPr>
      <w:r>
        <w:rPr>
          <w:rFonts w:cs="Arial" w:ascii="Arial" w:hAnsi="Arial" w:eastAsia="Arial"/>
          <w:sz w:val="20"/>
          <w:szCs w:val="20"/>
          <w:color w:val="#000000"/>
          <w:lang w:val="en-US" w:bidi="ar-SA" w:eastAsia="en-US"/>
        </w:rPr>
        <w:t xml:space="preserve">No Sale of Personal Information In the twelve months prior to the effective date of this Disclosure, Twitch has not sold any personal information of consumers, as those terms are defined under the California Privacy Rights Act.</w:t>
      </w:r>
    </w:p>
    <w:p>
      <w:pPr>
        <w:spacing w:lineRule="auto" w:after="0" w:before="0" w:line="240"/>
        <w:ind w:left="0"/>
        <w:jc w:val="left"/>
      </w:pPr>
      <w:r>
        <w:rPr>
          <w:rFonts w:cs="Arial" w:ascii="Arial" w:hAnsi="Arial" w:eastAsia="Arial"/>
          <w:sz w:val="20"/>
          <w:szCs w:val="20"/>
          <w:color w:val="#000000"/>
          <w:lang w:val="en-US" w:bidi="ar-SA" w:eastAsia="en-US"/>
        </w:rPr>
        <w:t xml:space="preserve">6 .</w:t>
      </w:r>
    </w:p>
    <w:p>
      <w:pPr>
        <w:spacing w:lineRule="auto" w:after="0" w:before="0" w:line="240"/>
        <w:ind w:left="0"/>
        <w:jc w:val="left"/>
      </w:pPr>
      <w:r>
        <w:rPr>
          <w:rFonts w:cs="Arial" w:ascii="Arial" w:hAnsi="Arial" w:eastAsia="Arial"/>
          <w:sz w:val="20"/>
          <w:szCs w:val="20"/>
          <w:color w:val="#000000"/>
          <w:lang w:val="en-US" w:bidi="ar-SA" w:eastAsia="en-US"/>
        </w:rPr>
        <w:t xml:space="preserve">California Privacy Rights Act Sensitive Personal Information Disclosure</w:t>
      </w:r>
    </w:p>
    <w:p>
      <w:pPr>
        <w:spacing w:lineRule="auto" w:after="0" w:before="0" w:line="240"/>
        <w:ind w:left="0"/>
        <w:jc w:val="left"/>
      </w:pPr>
      <w:r>
        <w:rPr>
          <w:rFonts w:cs="Arial" w:ascii="Arial" w:hAnsi="Arial" w:eastAsia="Arial"/>
          <w:sz w:val="20"/>
          <w:szCs w:val="20"/>
          <w:color w:val="#000000"/>
          <w:lang w:val="en-US" w:bidi="ar-SA" w:eastAsia="en-US"/>
        </w:rPr>
        <w:t xml:space="preserve">The categories of data that Twitch collects and discloses for a business purpose include “sensitive personal information” as defined under the California Privacy Rights Act.</w:t>
      </w:r>
    </w:p>
    <w:p>
      <w:pPr>
        <w:spacing w:lineRule="auto" w:after="0" w:before="0" w:line="240"/>
        <w:ind w:left="0"/>
        <w:jc w:val="left"/>
      </w:pPr>
      <w:r>
        <w:rPr>
          <w:rFonts w:cs="Arial" w:ascii="Arial" w:hAnsi="Arial" w:eastAsia="Arial"/>
          <w:sz w:val="20"/>
          <w:szCs w:val="20"/>
          <w:color w:val="#000000"/>
          <w:lang w:val="en-US" w:bidi="ar-SA" w:eastAsia="en-US"/>
        </w:rPr>
        <w:t xml:space="preserve">Twitch does not use or disclose sensitive personal information for any purpose not expressly permitted by the California Privacy Rights Act.</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