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23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If you choose to publish Branded Content on the Twitch Services you agree to use Twitch’s Branded Content tool, which provides a written disclosure to viewers that your live stream contains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