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61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https://www.twitch.tv/p/fr-ca/legal/terms-of-sale/</w:t>
      </w:r>
    </w:p>
    <w:p>
      <w:pPr>
        <w:spacing w:lineRule="auto" w:after="0" w:before="0" w:line="240"/>
        <w:ind w:left="0"/>
        <w:jc w:val="left"/>
      </w:pPr>
      <w:r>
        <w:rPr>
          <w:rFonts w:cs="Arial" w:ascii="Arial" w:hAnsi="Arial" w:eastAsia="Arial"/>
          <w:sz w:val="20"/>
          <w:szCs w:val="20"/>
          <w:color w:val="#000000"/>
          <w:lang w:val="en-US" w:bidi="ar-SA" w:eastAsia="en-US"/>
        </w:rPr>
        <w:t xml:space="preserve">['fraud', 'misrepresent']</w:t>
      </w:r>
    </w:p>
    <w:p>
      <w:pPr>
        <w:spacing w:lineRule="auto" w:after="0" w:before="0" w:line="240"/>
        <w:ind w:left="0"/>
        <w:jc w:val="left"/>
      </w:pPr>
      <w:r>
        <w:rPr>
          <w:rFonts w:cs="Arial" w:ascii="Arial" w:hAnsi="Arial" w:eastAsia="Arial"/>
          <w:sz w:val="20"/>
          <w:szCs w:val="20"/>
          <w:color w:val="#000000"/>
          <w:lang w:val="en-US" w:bidi="ar-SA" w:eastAsia="en-US"/>
        </w:rPr>
        <w:t xml:space="preserve">Cette politique de remboursement ne s'applique pas aux objets (que ce soit des jeux, objets en jeu ou d'autres biens numériques) obtenus à la suite de votre participation au programme Prime Gaming.</w:t>
      </w:r>
    </w:p>
    <w:p>
      <w:pPr>
        <w:spacing w:lineRule="auto" w:after="0" w:before="0" w:line="240"/>
        <w:ind w:left="0"/>
        <w:jc w:val="left"/>
      </w:pPr>
      <w:r>
        <w:rPr>
          <w:rFonts w:cs="Arial" w:ascii="Arial" w:hAnsi="Arial" w:eastAsia="Arial"/>
          <w:sz w:val="20"/>
          <w:szCs w:val="20"/>
          <w:color w:val="#000000"/>
          <w:lang w:val="en-US" w:bidi="ar-SA" w:eastAsia="en-US"/>
        </w:rPr>
        <w:t xml:space="preserve">b. EU, EEA &amp; UK Right of Withdrawal/Cancellation For residents of the European Union or the European Economic Area, or of the United Kingdom, who are acting as a Consumer, you may have a right to withdraw from or cancel the agreement for purchase of Ancillary Products and Services under these Terms of Sale within a specific cooling-off period.</w:t>
      </w:r>
    </w:p>
    <w:p>
      <w:pPr>
        <w:spacing w:lineRule="auto" w:after="0" w:before="0" w:line="240"/>
        <w:ind w:left="0"/>
        <w:jc w:val="left"/>
      </w:pPr>
      <w:r>
        <w:rPr>
          <w:rFonts w:cs="Arial" w:ascii="Arial" w:hAnsi="Arial" w:eastAsia="Arial"/>
          <w:sz w:val="20"/>
          <w:szCs w:val="20"/>
          <w:color w:val="#000000"/>
          <w:lang w:val="en-US" w:bidi="ar-SA" w:eastAsia="en-US"/>
        </w:rPr>
        <w:t xml:space="preserve">When and how this right may apply is explained in our EU, EEA &amp; UK Consumer Right of Withdrawal Information .</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Regional Pricing Twitch may implement regional pricing programs in order to help viewers support their favorite broadcasters.</w:t>
      </w:r>
    </w:p>
    <w:p>
      <w:pPr>
        <w:spacing w:lineRule="auto" w:after="0" w:before="0" w:line="240"/>
        <w:ind w:left="0"/>
        <w:jc w:val="left"/>
      </w:pPr>
      <w:r>
        <w:rPr>
          <w:rFonts w:cs="Arial" w:ascii="Arial" w:hAnsi="Arial" w:eastAsia="Arial"/>
          <w:sz w:val="20"/>
          <w:szCs w:val="20"/>
          <w:color w:val="#000000"/>
          <w:lang w:val="en-US" w:bidi="ar-SA" w:eastAsia="en-US"/>
        </w:rPr>
        <w:t xml:space="preserve">Twitch may determine your eligibility for regional pricing using information such as your IP address, payment method location, self-reported residence, and indicators of fraudulent activity (such as unusual transaction volume).</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will not misrepresent your place of residence (for example, by using a VPN) to fraudulently qualify for these pricing programs.</w:t>
      </w:r>
    </w:p>
    <w:p>
      <w:pPr>
        <w:spacing w:lineRule="auto" w:after="0" w:before="0" w:line="240"/>
        <w:ind w:left="0"/>
        <w:jc w:val="left"/>
      </w:pPr>
      <w:r>
        <w:rPr>
          <w:rFonts w:cs="Arial" w:ascii="Arial" w:hAnsi="Arial" w:eastAsia="Arial"/>
          <w:sz w:val="20"/>
          <w:szCs w:val="20"/>
          <w:color w:val="#000000"/>
          <w:lang w:val="en-US" w:bidi="ar-SA" w:eastAsia="en-US"/>
        </w:rPr>
        <w:t xml:space="preserve">11.</w:t>
      </w:r>
    </w:p>
    <w:p>
      <w:pPr>
        <w:spacing w:lineRule="auto" w:after="0" w:before="0" w:line="240"/>
        <w:ind w:left="0"/>
        <w:jc w:val="left"/>
      </w:pPr>
      <w:r>
        <w:rPr>
          <w:rFonts w:cs="Arial" w:ascii="Arial" w:hAnsi="Arial" w:eastAsia="Arial"/>
          <w:sz w:val="20"/>
          <w:szCs w:val="20"/>
          <w:color w:val="#000000"/>
          <w:lang w:val="en-US" w:bidi="ar-SA" w:eastAsia="en-US"/>
        </w:rPr>
        <w:t xml:space="preserve">Third-Party Terms Votre</w:t>
      </w:r>
    </w:p>
    <w:p>
      <w:pPr>
        <w:spacing w:lineRule="auto" w:after="0" w:before="0" w:line="240"/>
        <w:ind w:left="0"/>
        <w:jc w:val="left"/>
      </w:pPr>
      <w:r>
        <w:rPr>
          <w:rFonts w:cs="Arial" w:ascii="Arial" w:hAnsi="Arial" w:eastAsia="Arial"/>
          <w:sz w:val="20"/>
          <w:szCs w:val="20"/>
          <w:color w:val="#000000"/>
          <w:lang w:val="en-US" w:bidi="ar-SA" w:eastAsia="en-US"/>
        </w:rPr>
        <w:t xml:space="preserve">achat et la jouissance des Produits et services connexes peuvent être soumis à des dispositions légales supplémentaires de tierces parties.</w:t>
      </w:r>
    </w:p>
    <w:p>
      <w:pPr>
        <w:spacing w:lineRule="auto" w:after="0" w:before="0" w:line="240"/>
        <w:ind w:left="0"/>
        <w:jc w:val="left"/>
      </w:pPr>
      <w:r>
        <w:rPr>
          <w:rFonts w:cs="Arial" w:ascii="Arial" w:hAnsi="Arial" w:eastAsia="Arial"/>
          <w:sz w:val="20"/>
          <w:szCs w:val="20"/>
          <w:color w:val="#000000"/>
          <w:lang w:val="en-US" w:bidi="ar-SA" w:eastAsia="en-US"/>
        </w:rPr>
        <w:t xml:space="preserve">Par exemple, nous sommes susceptibles de publier les contrats de licence d'utilisation de développeurs et éditeurs tiers de jeux en ce qui concerne la vente des jeux numériques et de contenu de jeu sur les services Twitch.</w:t>
      </w:r>
    </w:p>
    <w:p>
      <w:pPr>
        <w:spacing w:lineRule="auto" w:after="0" w:before="0" w:line="240"/>
        <w:ind w:left="0"/>
        <w:jc w:val="left"/>
      </w:pPr>
      <w:r>
        <w:rPr>
          <w:rFonts w:cs="Arial" w:ascii="Arial" w:hAnsi="Arial" w:eastAsia="Arial"/>
          <w:sz w:val="20"/>
          <w:szCs w:val="20"/>
          <w:color w:val="#000000"/>
          <w:lang w:val="en-US" w:bidi="ar-SA" w:eastAsia="en-US"/>
        </w:rPr>
        <w:t xml:space="preserve">Vous devez respecter de telles dispositions juridiques tierces, et nous vous encourageons à les lire.</w:t>
      </w:r>
    </w:p>
    <w:p>
      <w:pPr>
        <w:spacing w:lineRule="auto" w:after="0" w:before="0" w:line="240"/>
        <w:ind w:left="0"/>
        <w:jc w:val="left"/>
      </w:pPr>
      <w:r>
        <w:rPr>
          <w:rFonts w:cs="Arial" w:ascii="Arial" w:hAnsi="Arial" w:eastAsia="Arial"/>
          <w:sz w:val="20"/>
          <w:szCs w:val="20"/>
          <w:color w:val="#000000"/>
          <w:lang w:val="en-US" w:bidi="ar-SA" w:eastAsia="en-US"/>
        </w:rPr>
        <w:t xml:space="preserve">12.</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