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misinformation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65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https://www.twitch.tv/p/fr-ca/legal/trademark/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['mislead']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Don’t modify or alter Twitch Brand Assets in any way, such as changing the color or design of our logos, app icons, or screen shots.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Please refer to the brand assets page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Don’t incorporate Twitch’s Brand Assets, or variants, in domain names, social media accounts, corporate names, app names, or as a part of any on-line or in person event (including community events or meet-ups), unless we have given express permission Don’t combine Twitch Brand Assets as part of a name of a product or service.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Don’t use Twitch Brand Assets in a way that suggests an affiliation, partnership, sponsorship or endorsement by or with Twitch.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Don’t include Twitch Brand Assets in editorial content that suggests it’s been authored by, or represents the views or opinions of, Twitch or any Twitch personnel or affiliate.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Don’t present Twitch Brand Assets in a manner that is misleading, defamatory, libelous, obscene, infringing or otherwise in a manner that violates the spirit of Twitch’s Community Guidelines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Don’t use Twitch Brand Assets on material that infringes the trademark, copyright or any other rights of any third party.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Don’t infringe, derogate, dilute, or impair the rights of Twitch in the Twitch Brand Assets.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Specific Usage Guidelines Logos We generally do not approve the use of the Twitch logos in third-party marketing materials.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This includes online and offline advertising collateral such as: Client and referral lists Sales presentations Print, broadcast, outdoor or online ads Product demos Signage Trade show booths Websites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It is acceptable to use the Glitch logo, if followed by your channel name, on social media accounts.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Please refer to the social media icon page .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