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71</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Twitch should not be used to incite, encourage, promote, facilitate, or organize hateful conduct or harassment, whether on or off Twitch.</w:t>
      </w:r>
    </w:p>
    <w:p>
      <w:pPr>
        <w:spacing w:lineRule="auto" w:after="0" w:before="0" w:line="240"/>
        <w:ind w:left="0"/>
        <w:jc w:val="left"/>
      </w:pPr>
      <w:r>
        <w:rPr>
          <w:rFonts w:cs="Arial" w:ascii="Arial" w:hAnsi="Arial" w:eastAsia="Arial"/>
          <w:sz w:val="20"/>
          <w:szCs w:val="20"/>
          <w:color w:val="#000000"/>
          <w:lang w:val="en-US" w:bidi="ar-SA" w:eastAsia="en-US"/>
        </w:rPr>
        <w:t xml:space="preserve">We will suspend communities, organizations, and individuals that do so.</w:t>
      </w:r>
    </w:p>
    <w:p>
      <w:pPr>
        <w:spacing w:lineRule="auto" w:after="0" w:before="0" w:line="240"/>
        <w:ind w:left="0"/>
        <w:jc w:val="left"/>
      </w:pPr>
      <w:r>
        <w:rPr>
          <w:rFonts w:cs="Arial" w:ascii="Arial" w:hAnsi="Arial" w:eastAsia="Arial"/>
          <w:sz w:val="20"/>
          <w:szCs w:val="20"/>
          <w:color w:val="#000000"/>
          <w:lang w:val="en-US" w:bidi="ar-SA" w:eastAsia="en-US"/>
        </w:rPr>
        <w:t xml:space="preserve">Learn More with our article on Hateful Conduct &amp; Harassment .</w:t>
      </w:r>
    </w:p>
    <w:p>
      <w:pPr>
        <w:spacing w:lineRule="auto" w:after="0" w:before="0" w:line="240"/>
        <w:ind w:left="0"/>
        <w:jc w:val="left"/>
      </w:pPr>
      <w:r>
        <w:rPr>
          <w:rFonts w:cs="Arial" w:ascii="Arial" w:hAnsi="Arial" w:eastAsia="Arial"/>
          <w:sz w:val="20"/>
          <w:szCs w:val="20"/>
          <w:color w:val="#000000"/>
          <w:lang w:val="en-US" w:bidi="ar-SA" w:eastAsia="en-US"/>
        </w:rPr>
        <w:t xml:space="preserve">Why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We recognize that harassment against Twitch community members can sometimes originate from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Our desire to moderate verifiable off-Twitch harassment stems from our belief that ignoring conduct when we are able to verify and attribute it to a Twitch account compromises one of our most important goals: every Twitch user can bring their whole authentic selves to the Twitch community without fear of harassment.</w:t>
      </w:r>
    </w:p>
    <w:p>
      <w:pPr>
        <w:spacing w:lineRule="auto" w:after="0" w:before="0" w:line="240"/>
        <w:ind w:left="0"/>
        <w:jc w:val="left"/>
      </w:pPr>
      <w:r>
        <w:rPr>
          <w:rFonts w:cs="Arial" w:ascii="Arial" w:hAnsi="Arial" w:eastAsia="Arial"/>
          <w:sz w:val="20"/>
          <w:szCs w:val="20"/>
          <w:color w:val="#000000"/>
          <w:lang w:val="en-US" w:bidi="ar-SA" w:eastAsia="en-US"/>
        </w:rPr>
        <w:t xml:space="preserve">How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Reporters of harassment must submit links to evidence with their report.</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will only take action if: The links provided are verifiable The content can be directly tied to the reported Twitch user The target of harassment is another Twitch user, group of Twitch users, or</w:t>
      </w:r>
    </w:p>
    <w:p>
      <w:pPr>
        <w:spacing w:lineRule="auto" w:after="0" w:before="0" w:line="240"/>
        <w:ind w:left="0"/>
        <w:jc w:val="left"/>
      </w:pPr>
      <w:r>
        <w:rPr>
          <w:rFonts w:cs="Arial" w:ascii="Arial" w:hAnsi="Arial" w:eastAsia="Arial"/>
          <w:sz w:val="20"/>
          <w:szCs w:val="20"/>
          <w:color w:val="#000000"/>
          <w:lang w:val="en-US" w:bidi="ar-SA" w:eastAsia="en-US"/>
        </w:rPr>
        <w:t xml:space="preserve">Twitch employees</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determines the conduct violates our policies Twitch will not actively monitor other websites or services for violations of our Community Guidelines, nor will we be acting on off-Twitch content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Learn more about our policies on hateful conduct or harassment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