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2E848088" w14:textId="77777777" w:rsidR="00000000" w:rsidRDefault="00000000">
      <w:pPr>
        <w:spacing w:line="360" w:lineRule="auto"/>
        <w:ind w:firstLineChars="200" w:firstLine="566"/>
      </w:pPr>
      <w:r>
        <w:rPr>
          <w:sz w:val="28"/>
          <w:szCs w:val="28"/>
        </w:rPr>
        <w:t>类号</w:t>
      </w:r>
      <w:r>
        <w:rPr>
          <w:sz w:val="28"/>
          <w:szCs w:val="28"/>
        </w:rPr>
        <w:t xml:space="preserve"> </w:t>
      </w:r>
      <w:r>
        <w:rPr>
          <w:sz w:val="28"/>
          <w:szCs w:val="28"/>
          <w:u w:val="single"/>
        </w:rPr>
        <w:t xml:space="preserve">               </w:t>
      </w:r>
      <w:r>
        <w:rPr>
          <w:sz w:val="28"/>
          <w:szCs w:val="28"/>
        </w:rPr>
        <w:t xml:space="preserve">          U D C </w:t>
      </w:r>
      <w:r>
        <w:rPr>
          <w:sz w:val="28"/>
          <w:szCs w:val="28"/>
          <w:u w:val="single"/>
        </w:rPr>
        <w:t xml:space="preserve">                 </w:t>
      </w:r>
    </w:p>
    <w:p w14:paraId="2C439B67" w14:textId="77777777" w:rsidR="00000000" w:rsidRDefault="00000000">
      <w:pPr>
        <w:spacing w:line="360" w:lineRule="auto"/>
        <w:ind w:firstLineChars="196" w:firstLine="555"/>
        <w:rPr>
          <w:sz w:val="28"/>
          <w:szCs w:val="28"/>
          <w:u w:val="single"/>
        </w:rPr>
      </w:pPr>
      <w:r>
        <w:rPr>
          <w:sz w:val="28"/>
          <w:szCs w:val="28"/>
        </w:rPr>
        <w:t>密</w:t>
      </w:r>
      <w:r>
        <w:rPr>
          <w:sz w:val="28"/>
          <w:szCs w:val="28"/>
        </w:rPr>
        <w:t xml:space="preserve">  </w:t>
      </w:r>
      <w:r>
        <w:rPr>
          <w:sz w:val="28"/>
          <w:szCs w:val="28"/>
        </w:rPr>
        <w:t>级</w:t>
      </w:r>
      <w:r>
        <w:rPr>
          <w:sz w:val="28"/>
          <w:szCs w:val="28"/>
        </w:rPr>
        <w:t xml:space="preserve"> </w:t>
      </w:r>
      <w:r>
        <w:rPr>
          <w:sz w:val="28"/>
          <w:szCs w:val="28"/>
          <w:u w:val="single"/>
        </w:rPr>
        <w:t xml:space="preserve">               </w:t>
      </w:r>
      <w:r>
        <w:rPr>
          <w:sz w:val="28"/>
          <w:szCs w:val="28"/>
        </w:rPr>
        <w:t xml:space="preserve">          </w:t>
      </w:r>
      <w:r>
        <w:rPr>
          <w:spacing w:val="10"/>
          <w:sz w:val="28"/>
          <w:szCs w:val="28"/>
        </w:rPr>
        <w:t>编</w:t>
      </w:r>
      <w:r>
        <w:rPr>
          <w:spacing w:val="10"/>
          <w:sz w:val="28"/>
          <w:szCs w:val="28"/>
        </w:rPr>
        <w:t xml:space="preserve"> </w:t>
      </w:r>
      <w:r>
        <w:rPr>
          <w:spacing w:val="10"/>
          <w:sz w:val="28"/>
          <w:szCs w:val="28"/>
        </w:rPr>
        <w:t>号</w:t>
      </w:r>
      <w:r>
        <w:rPr>
          <w:sz w:val="28"/>
          <w:szCs w:val="28"/>
        </w:rPr>
        <w:t xml:space="preserve"> </w:t>
      </w:r>
      <w:r>
        <w:rPr>
          <w:sz w:val="28"/>
          <w:szCs w:val="28"/>
          <w:u w:val="single"/>
        </w:rPr>
        <w:t xml:space="preserve">                 </w:t>
      </w:r>
    </w:p>
    <w:p w14:paraId="38AD8886" w14:textId="77777777" w:rsidR="00000000" w:rsidRDefault="00000000">
      <w:pPr>
        <w:ind w:firstLineChars="196" w:firstLine="555"/>
        <w:rPr>
          <w:rFonts w:eastAsia="楷体_GB2312"/>
          <w:sz w:val="28"/>
          <w:u w:val="single"/>
        </w:rPr>
      </w:pPr>
    </w:p>
    <w:p w14:paraId="745B48CE" w14:textId="77777777" w:rsidR="00000000" w:rsidRDefault="00000000">
      <w:pPr>
        <w:ind w:firstLineChars="87" w:firstLine="631"/>
        <w:rPr>
          <w:rFonts w:eastAsia="楷体_GB2312"/>
          <w:sz w:val="28"/>
          <w:u w:val="single"/>
        </w:rPr>
      </w:pPr>
      <w:r>
        <w:rPr>
          <w:rFonts w:eastAsia="黑体"/>
          <w:b/>
          <w:spacing w:val="20"/>
          <w:sz w:val="72"/>
        </w:rPr>
        <w:pict w14:anchorId="54FFEC5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i1025" type="#_x0000_t75" style="width:57.75pt;height:57pt;mso-wrap-style:square;mso-position-horizontal-relative:page;mso-position-vertical-relative:page">
            <v:imagedata r:id="rId7" o:title="科大校徽"/>
          </v:shape>
        </w:pict>
      </w:r>
      <w:r>
        <w:rPr>
          <w:rFonts w:eastAsia="黑体"/>
          <w:b/>
          <w:spacing w:val="20"/>
          <w:sz w:val="72"/>
        </w:rPr>
        <w:t xml:space="preserve"> </w:t>
      </w:r>
      <w:r>
        <w:object w:dxaOrig="11968" w:dyaOrig="2521" w14:anchorId="791ACF8C">
          <v:shape id="Object 2" o:spid="_x0000_i1026" type="#_x0000_t75" style="width:189.75pt;height:45pt;mso-wrap-style:square;mso-position-horizontal-relative:page;mso-position-vertical-relative:page" o:ole="">
            <v:imagedata r:id="rId8" o:title=""/>
          </v:shape>
          <o:OLEObject Type="Embed" ProgID="PBrush" ShapeID="Object 2" DrawAspect="Content" ObjectID="_1838534689" r:id="rId9"/>
        </w:object>
      </w:r>
    </w:p>
    <w:p w14:paraId="6D04F5A7" w14:textId="77777777" w:rsidR="00000000" w:rsidRDefault="00000000">
      <w:pPr>
        <w:pStyle w:val="20"/>
      </w:pPr>
    </w:p>
    <w:p w14:paraId="7250FA61" w14:textId="77777777" w:rsidR="00000000" w:rsidRDefault="00000000">
      <w:pPr>
        <w:spacing w:line="240" w:lineRule="atLeast"/>
        <w:ind w:firstLine="0"/>
        <w:jc w:val="center"/>
        <w:rPr>
          <w:rFonts w:eastAsia="黑体"/>
          <w:b/>
          <w:bCs/>
          <w:spacing w:val="20"/>
          <w:sz w:val="72"/>
        </w:rPr>
      </w:pPr>
      <w:r>
        <w:rPr>
          <w:rFonts w:eastAsia="黑体" w:hint="eastAsia"/>
          <w:b/>
          <w:spacing w:val="20"/>
          <w:sz w:val="72"/>
          <w:szCs w:val="72"/>
        </w:rPr>
        <w:t>专业硕士</w:t>
      </w:r>
      <w:r>
        <w:rPr>
          <w:rFonts w:eastAsia="黑体"/>
          <w:b/>
          <w:spacing w:val="20"/>
          <w:sz w:val="72"/>
          <w:szCs w:val="72"/>
        </w:rPr>
        <w:t>学位论文</w:t>
      </w:r>
    </w:p>
    <w:p w14:paraId="27A25F0A" w14:textId="77777777" w:rsidR="00000000" w:rsidRDefault="00000000">
      <w:pPr>
        <w:pStyle w:val="20"/>
      </w:pPr>
    </w:p>
    <w:p w14:paraId="1B24C998" w14:textId="77777777" w:rsidR="00000000" w:rsidRDefault="00000000">
      <w:pPr>
        <w:autoSpaceDE w:val="0"/>
        <w:autoSpaceDN w:val="0"/>
        <w:adjustRightInd w:val="0"/>
        <w:ind w:firstLine="0"/>
        <w:jc w:val="center"/>
        <w:rPr>
          <w:rFonts w:ascii="宋体" w:hAnsi="宋体" w:hint="eastAsia"/>
          <w:b/>
          <w:sz w:val="36"/>
          <w:szCs w:val="36"/>
        </w:rPr>
      </w:pPr>
      <w:r>
        <w:rPr>
          <w:rFonts w:ascii="宋体" w:hAnsi="宋体" w:hint="eastAsia"/>
          <w:b/>
          <w:sz w:val="36"/>
          <w:szCs w:val="36"/>
        </w:rPr>
        <w:t>轻资产运营模式下M公司财务风险管理研究</w:t>
      </w:r>
    </w:p>
    <w:p w14:paraId="6D568037" w14:textId="77777777" w:rsidR="00000000" w:rsidRDefault="00000000">
      <w:pPr>
        <w:pStyle w:val="20"/>
        <w:rPr>
          <w:szCs w:val="36"/>
        </w:rPr>
      </w:pPr>
    </w:p>
    <w:p w14:paraId="2A81C06F" w14:textId="77777777" w:rsidR="00000000" w:rsidRDefault="00000000">
      <w:pPr>
        <w:pStyle w:val="afff9"/>
        <w:ind w:firstLine="0"/>
        <w:rPr>
          <w:rFonts w:cs="Times New Roman"/>
          <w:szCs w:val="30"/>
        </w:rPr>
      </w:pPr>
      <w:r>
        <w:rPr>
          <w:rFonts w:ascii="Segoe UI" w:eastAsia="Segoe UI" w:hAnsi="Segoe UI" w:cs="Segoe UI"/>
          <w:szCs w:val="30"/>
          <w:shd w:val="clear" w:color="auto" w:fill="FFFFFF"/>
        </w:rPr>
        <w:t>Research on Financial Risk Management of M Company under the Light Asset Operation Mode</w:t>
      </w:r>
    </w:p>
    <w:tbl>
      <w:tblPr>
        <w:tblpPr w:leftFromText="180" w:rightFromText="180" w:vertAnchor="text" w:horzAnchor="page" w:tblpX="2334" w:tblpY="183"/>
        <w:tblW w:w="7346" w:type="dxa"/>
        <w:tblInd w:w="0" w:type="dxa"/>
        <w:tblLayout w:type="fixed"/>
        <w:tblCellMar>
          <w:left w:w="56" w:type="dxa"/>
          <w:right w:w="56" w:type="dxa"/>
        </w:tblCellMar>
        <w:tblLook w:val="0000" w:firstRow="0" w:lastRow="0" w:firstColumn="0" w:lastColumn="0" w:noHBand="0" w:noVBand="0"/>
      </w:tblPr>
      <w:tblGrid>
        <w:gridCol w:w="2072"/>
        <w:gridCol w:w="5274"/>
      </w:tblGrid>
      <w:tr w:rsidR="00000000" w14:paraId="4D3F7A7E" w14:textId="77777777">
        <w:trPr>
          <w:trHeight w:hRule="exact" w:val="680"/>
        </w:trPr>
        <w:tc>
          <w:tcPr>
            <w:tcW w:w="2072" w:type="dxa"/>
            <w:vAlign w:val="center"/>
          </w:tcPr>
          <w:p w14:paraId="4EC01EF1" w14:textId="77777777" w:rsidR="00000000" w:rsidRDefault="00000000">
            <w:pPr>
              <w:pStyle w:val="afffff2"/>
              <w:rPr>
                <w:rFonts w:ascii="Times New Roman" w:cs="Times New Roman"/>
              </w:rPr>
            </w:pPr>
            <w:r>
              <w:rPr>
                <w:rFonts w:ascii="Times New Roman" w:cs="Times New Roman"/>
              </w:rPr>
              <w:t>学位申请人：</w:t>
            </w:r>
          </w:p>
        </w:tc>
        <w:tc>
          <w:tcPr>
            <w:tcW w:w="5274" w:type="dxa"/>
            <w:tcBorders>
              <w:bottom w:val="single" w:sz="4" w:space="0" w:color="auto"/>
            </w:tcBorders>
            <w:vAlign w:val="center"/>
          </w:tcPr>
          <w:p w14:paraId="3B6FDB5E" w14:textId="77777777" w:rsidR="00000000" w:rsidRDefault="00000000">
            <w:pPr>
              <w:pStyle w:val="afffff3"/>
              <w:rPr>
                <w:rFonts w:ascii="Times New Roman" w:cs="Times New Roman"/>
              </w:rPr>
            </w:pPr>
            <w:r>
              <w:rPr>
                <w:rFonts w:ascii="Times New Roman" w:cs="Times New Roman" w:hint="eastAsia"/>
              </w:rPr>
              <w:t>黄玉刚</w:t>
            </w:r>
          </w:p>
        </w:tc>
      </w:tr>
      <w:tr w:rsidR="00000000" w14:paraId="34449260" w14:textId="77777777">
        <w:trPr>
          <w:trHeight w:hRule="exact" w:val="680"/>
        </w:trPr>
        <w:tc>
          <w:tcPr>
            <w:tcW w:w="2072" w:type="dxa"/>
            <w:vAlign w:val="center"/>
          </w:tcPr>
          <w:p w14:paraId="174B0958" w14:textId="77777777" w:rsidR="00000000" w:rsidRDefault="00000000">
            <w:pPr>
              <w:pStyle w:val="afffff2"/>
              <w:rPr>
                <w:rFonts w:ascii="Times New Roman" w:cs="Times New Roman"/>
              </w:rPr>
            </w:pPr>
            <w:r>
              <w:rPr>
                <w:rFonts w:ascii="Times New Roman" w:cs="Times New Roman"/>
              </w:rPr>
              <w:t>指导教师：</w:t>
            </w:r>
          </w:p>
        </w:tc>
        <w:tc>
          <w:tcPr>
            <w:tcW w:w="5274" w:type="dxa"/>
            <w:tcBorders>
              <w:top w:val="single" w:sz="4" w:space="0" w:color="auto"/>
              <w:bottom w:val="single" w:sz="4" w:space="0" w:color="auto"/>
            </w:tcBorders>
            <w:vAlign w:val="center"/>
          </w:tcPr>
          <w:p w14:paraId="34B23914" w14:textId="77777777" w:rsidR="00000000" w:rsidRDefault="00000000">
            <w:pPr>
              <w:pStyle w:val="afffff3"/>
              <w:rPr>
                <w:rFonts w:ascii="Times New Roman" w:cs="Times New Roman"/>
              </w:rPr>
            </w:pPr>
            <w:r>
              <w:rPr>
                <w:rFonts w:ascii="Times New Roman" w:cs="Times New Roman" w:hint="eastAsia"/>
              </w:rPr>
              <w:t>蔡洁</w:t>
            </w:r>
            <w:r>
              <w:rPr>
                <w:rFonts w:ascii="Times New Roman" w:cs="Times New Roman" w:hint="eastAsia"/>
              </w:rPr>
              <w:t xml:space="preserve"> </w:t>
            </w:r>
            <w:r>
              <w:rPr>
                <w:rFonts w:ascii="Times New Roman" w:cs="Times New Roman" w:hint="eastAsia"/>
              </w:rPr>
              <w:t>教授</w:t>
            </w:r>
          </w:p>
        </w:tc>
      </w:tr>
      <w:tr w:rsidR="00000000" w14:paraId="0AC7F5B0" w14:textId="77777777">
        <w:trPr>
          <w:trHeight w:hRule="exact" w:val="680"/>
        </w:trPr>
        <w:tc>
          <w:tcPr>
            <w:tcW w:w="2072" w:type="dxa"/>
            <w:vAlign w:val="center"/>
          </w:tcPr>
          <w:p w14:paraId="45B04C1C" w14:textId="77777777" w:rsidR="00000000" w:rsidRDefault="00000000">
            <w:pPr>
              <w:pStyle w:val="afffff2"/>
              <w:rPr>
                <w:rFonts w:ascii="Times New Roman" w:cs="Times New Roman"/>
              </w:rPr>
            </w:pPr>
            <w:r>
              <w:rPr>
                <w:rFonts w:ascii="Times New Roman" w:cs="Times New Roman" w:hint="eastAsia"/>
              </w:rPr>
              <w:t>专业学位类别</w:t>
            </w:r>
          </w:p>
        </w:tc>
        <w:tc>
          <w:tcPr>
            <w:tcW w:w="5274" w:type="dxa"/>
            <w:tcBorders>
              <w:top w:val="single" w:sz="4" w:space="0" w:color="auto"/>
              <w:bottom w:val="single" w:sz="4" w:space="0" w:color="auto"/>
            </w:tcBorders>
            <w:vAlign w:val="center"/>
          </w:tcPr>
          <w:p w14:paraId="1764A2D8" w14:textId="77777777" w:rsidR="00000000" w:rsidRDefault="00000000">
            <w:pPr>
              <w:pStyle w:val="afffff3"/>
              <w:rPr>
                <w:rFonts w:ascii="Times New Roman" w:cs="Times New Roman" w:hint="eastAsia"/>
                <w:highlight w:val="black"/>
              </w:rPr>
            </w:pPr>
            <w:r>
              <w:rPr>
                <w:rFonts w:ascii="Times New Roman" w:cs="Times New Roman" w:hint="eastAsia"/>
              </w:rPr>
              <w:t>会计</w:t>
            </w:r>
          </w:p>
        </w:tc>
      </w:tr>
      <w:tr w:rsidR="00000000" w14:paraId="39A0A1B0" w14:textId="77777777">
        <w:trPr>
          <w:trHeight w:hRule="exact" w:val="680"/>
        </w:trPr>
        <w:tc>
          <w:tcPr>
            <w:tcW w:w="2072" w:type="dxa"/>
            <w:vAlign w:val="center"/>
          </w:tcPr>
          <w:p w14:paraId="342923C6" w14:textId="77777777" w:rsidR="00000000" w:rsidRDefault="00000000">
            <w:pPr>
              <w:pStyle w:val="afffff2"/>
              <w:rPr>
                <w:rFonts w:ascii="Times New Roman" w:cs="Times New Roman"/>
              </w:rPr>
            </w:pPr>
            <w:r>
              <w:rPr>
                <w:rFonts w:ascii="Times New Roman" w:cs="Times New Roman" w:hint="eastAsia"/>
              </w:rPr>
              <w:t>专业领域</w:t>
            </w:r>
            <w:r>
              <w:rPr>
                <w:rFonts w:ascii="Times New Roman" w:cs="Times New Roman"/>
              </w:rPr>
              <w:t>：</w:t>
            </w:r>
          </w:p>
        </w:tc>
        <w:tc>
          <w:tcPr>
            <w:tcW w:w="5274" w:type="dxa"/>
            <w:tcBorders>
              <w:top w:val="single" w:sz="4" w:space="0" w:color="auto"/>
              <w:bottom w:val="single" w:sz="4" w:space="0" w:color="auto"/>
            </w:tcBorders>
            <w:vAlign w:val="center"/>
          </w:tcPr>
          <w:p w14:paraId="294E3DAB" w14:textId="77777777" w:rsidR="00000000" w:rsidRDefault="00000000">
            <w:pPr>
              <w:pStyle w:val="afffff3"/>
              <w:rPr>
                <w:rFonts w:ascii="Times New Roman" w:cs="Times New Roman"/>
              </w:rPr>
            </w:pPr>
            <w:r>
              <w:rPr>
                <w:rFonts w:ascii="Times New Roman" w:cs="Times New Roman" w:hint="eastAsia"/>
              </w:rPr>
              <w:t>会计</w:t>
            </w:r>
          </w:p>
        </w:tc>
      </w:tr>
      <w:tr w:rsidR="00000000" w14:paraId="165146F6" w14:textId="77777777">
        <w:trPr>
          <w:trHeight w:hRule="exact" w:val="680"/>
        </w:trPr>
        <w:tc>
          <w:tcPr>
            <w:tcW w:w="2072" w:type="dxa"/>
            <w:vAlign w:val="center"/>
          </w:tcPr>
          <w:p w14:paraId="6267AB3C" w14:textId="77777777" w:rsidR="00000000" w:rsidRDefault="00000000">
            <w:pPr>
              <w:pStyle w:val="afffff2"/>
              <w:rPr>
                <w:rFonts w:ascii="Times New Roman" w:cs="Times New Roman"/>
              </w:rPr>
            </w:pPr>
            <w:r>
              <w:rPr>
                <w:rFonts w:ascii="Times New Roman" w:cs="Times New Roman"/>
              </w:rPr>
              <w:t>学位类别：</w:t>
            </w:r>
          </w:p>
        </w:tc>
        <w:tc>
          <w:tcPr>
            <w:tcW w:w="5274" w:type="dxa"/>
            <w:tcBorders>
              <w:top w:val="single" w:sz="4" w:space="0" w:color="auto"/>
              <w:bottom w:val="single" w:sz="4" w:space="0" w:color="auto"/>
            </w:tcBorders>
            <w:vAlign w:val="center"/>
          </w:tcPr>
          <w:p w14:paraId="3E2115E2" w14:textId="77777777" w:rsidR="00000000" w:rsidRDefault="00000000">
            <w:pPr>
              <w:pStyle w:val="afffff3"/>
              <w:rPr>
                <w:rFonts w:ascii="Times New Roman" w:cs="Times New Roman"/>
              </w:rPr>
            </w:pPr>
            <w:r>
              <w:rPr>
                <w:rFonts w:ascii="Times New Roman" w:cs="Times New Roman" w:hint="eastAsia"/>
              </w:rPr>
              <w:t>会计硕士专业学位</w:t>
            </w:r>
          </w:p>
        </w:tc>
      </w:tr>
    </w:tbl>
    <w:p w14:paraId="471C0643" w14:textId="77777777" w:rsidR="00000000" w:rsidRDefault="00000000">
      <w:pPr>
        <w:rPr>
          <w:rFonts w:eastAsia="黑体"/>
          <w:sz w:val="28"/>
          <w:u w:val="single"/>
        </w:rPr>
      </w:pPr>
    </w:p>
    <w:p w14:paraId="19290957" w14:textId="77777777" w:rsidR="00000000" w:rsidRDefault="00000000">
      <w:pPr>
        <w:ind w:firstLine="0"/>
        <w:rPr>
          <w:rFonts w:eastAsia="黑体"/>
          <w:sz w:val="28"/>
          <w:u w:val="single"/>
        </w:rPr>
      </w:pPr>
    </w:p>
    <w:p w14:paraId="56580FA4" w14:textId="77777777" w:rsidR="00000000" w:rsidRDefault="00000000">
      <w:pPr>
        <w:ind w:firstLine="0"/>
        <w:rPr>
          <w:rFonts w:eastAsia="黑体"/>
          <w:sz w:val="28"/>
          <w:u w:val="single"/>
        </w:rPr>
      </w:pPr>
    </w:p>
    <w:p w14:paraId="0B5CF9E5" w14:textId="77777777" w:rsidR="00000000" w:rsidRDefault="00000000">
      <w:pPr>
        <w:rPr>
          <w:rFonts w:eastAsia="黑体"/>
          <w:sz w:val="28"/>
          <w:u w:val="single"/>
        </w:rPr>
      </w:pPr>
    </w:p>
    <w:p w14:paraId="08EB8E93" w14:textId="77777777" w:rsidR="00000000" w:rsidRDefault="00000000">
      <w:pPr>
        <w:rPr>
          <w:rFonts w:eastAsia="黑体"/>
          <w:sz w:val="28"/>
          <w:u w:val="single"/>
        </w:rPr>
      </w:pPr>
    </w:p>
    <w:p w14:paraId="4FC962B6" w14:textId="77777777" w:rsidR="00000000" w:rsidRDefault="00000000">
      <w:pPr>
        <w:rPr>
          <w:rFonts w:eastAsia="黑体"/>
          <w:sz w:val="28"/>
          <w:u w:val="single"/>
        </w:rPr>
      </w:pPr>
    </w:p>
    <w:p w14:paraId="7BDCBAA1" w14:textId="77777777" w:rsidR="00000000" w:rsidRDefault="00000000">
      <w:pPr>
        <w:rPr>
          <w:rFonts w:eastAsia="黑体"/>
          <w:sz w:val="28"/>
          <w:u w:val="single"/>
        </w:rPr>
      </w:pPr>
    </w:p>
    <w:p w14:paraId="5DF09C83" w14:textId="77777777" w:rsidR="00000000" w:rsidRDefault="00000000">
      <w:pPr>
        <w:rPr>
          <w:rFonts w:eastAsia="黑体"/>
          <w:sz w:val="28"/>
          <w:u w:val="single"/>
        </w:rPr>
      </w:pPr>
    </w:p>
    <w:p w14:paraId="72B12853" w14:textId="77777777" w:rsidR="00000000" w:rsidRDefault="00000000">
      <w:pPr>
        <w:rPr>
          <w:rFonts w:eastAsia="黑体"/>
          <w:sz w:val="28"/>
          <w:u w:val="single"/>
        </w:rPr>
      </w:pPr>
    </w:p>
    <w:p w14:paraId="1164F716" w14:textId="77777777" w:rsidR="00000000" w:rsidRDefault="00000000">
      <w:pPr>
        <w:ind w:firstLine="0"/>
        <w:rPr>
          <w:rFonts w:eastAsia="黑体"/>
          <w:sz w:val="28"/>
          <w:u w:val="single"/>
        </w:rPr>
      </w:pPr>
    </w:p>
    <w:p w14:paraId="6967AF14" w14:textId="77777777" w:rsidR="00000000" w:rsidRDefault="00000000">
      <w:pPr>
        <w:pStyle w:val="aff1"/>
        <w:ind w:firstLine="0"/>
        <w:rPr>
          <w:rFonts w:ascii="Times New Roman" w:cs="Times New Roman" w:hint="eastAsia"/>
        </w:rPr>
      </w:pPr>
      <w:r>
        <w:rPr>
          <w:rFonts w:ascii="Times New Roman" w:cs="Times New Roman" w:hint="eastAsia"/>
        </w:rPr>
        <w:t>2026</w:t>
      </w:r>
      <w:r>
        <w:rPr>
          <w:rFonts w:ascii="Times New Roman" w:cs="Times New Roman"/>
        </w:rPr>
        <w:t>年</w:t>
      </w:r>
      <w:r>
        <w:rPr>
          <w:rFonts w:ascii="Times New Roman" w:cs="Times New Roman" w:hint="eastAsia"/>
        </w:rPr>
        <w:t>06</w:t>
      </w:r>
      <w:r>
        <w:rPr>
          <w:rFonts w:ascii="Times New Roman" w:cs="Times New Roman" w:hint="eastAsia"/>
        </w:rPr>
        <w:t>月</w:t>
      </w:r>
    </w:p>
    <w:p w14:paraId="49B472EC" w14:textId="77777777" w:rsidR="00000000" w:rsidRDefault="00000000">
      <w:pPr>
        <w:pStyle w:val="aff1"/>
        <w:ind w:firstLine="0"/>
        <w:rPr>
          <w:rFonts w:ascii="Times New Roman" w:cs="Times New Roman" w:hint="eastAsia"/>
        </w:rPr>
      </w:pPr>
    </w:p>
    <w:p w14:paraId="2AA9ADB7" w14:textId="77777777" w:rsidR="00000000" w:rsidRDefault="00000000">
      <w:pPr>
        <w:pStyle w:val="aff1"/>
        <w:ind w:firstLine="0"/>
        <w:rPr>
          <w:rFonts w:ascii="Times New Roman" w:cs="Times New Roman" w:hint="eastAsia"/>
        </w:rPr>
      </w:pPr>
    </w:p>
    <w:p w14:paraId="4A7A0120" w14:textId="77777777" w:rsidR="00000000" w:rsidRDefault="00000000">
      <w:pPr>
        <w:pStyle w:val="aff1"/>
        <w:ind w:firstLine="0"/>
        <w:rPr>
          <w:rFonts w:ascii="Times New Roman" w:cs="Times New Roman" w:hint="eastAsia"/>
        </w:rPr>
      </w:pPr>
    </w:p>
    <w:p w14:paraId="4589F294" w14:textId="77777777" w:rsidR="00000000" w:rsidRDefault="00000000">
      <w:pPr>
        <w:pStyle w:val="aff1"/>
        <w:ind w:firstLineChars="100" w:firstLine="324"/>
        <w:rPr>
          <w:b/>
          <w:bCs/>
          <w:sz w:val="32"/>
        </w:rPr>
      </w:pPr>
      <w:r>
        <w:rPr>
          <w:rFonts w:hAnsi="宋体"/>
          <w:b/>
          <w:bCs/>
          <w:sz w:val="32"/>
        </w:rPr>
        <w:t>独创性声明</w:t>
      </w:r>
    </w:p>
    <w:p w14:paraId="582BFC51" w14:textId="77777777" w:rsidR="00000000" w:rsidRDefault="00000000">
      <w:pPr>
        <w:pStyle w:val="a9"/>
        <w:spacing w:line="400" w:lineRule="exact"/>
        <w:ind w:firstLineChars="200" w:firstLine="486"/>
        <w:rPr>
          <w:sz w:val="24"/>
          <w:szCs w:val="24"/>
        </w:rPr>
      </w:pPr>
      <w:r>
        <w:rPr>
          <w:sz w:val="24"/>
          <w:szCs w:val="24"/>
        </w:rPr>
        <w:t>本人声明，所呈交的论文是我个人在导师指导下</w:t>
      </w:r>
      <w:r>
        <w:rPr>
          <w:color w:val="000000"/>
          <w:sz w:val="24"/>
          <w:szCs w:val="24"/>
        </w:rPr>
        <w:t>完成的</w:t>
      </w:r>
      <w:r>
        <w:rPr>
          <w:sz w:val="24"/>
          <w:szCs w:val="24"/>
        </w:rPr>
        <w:t>研究工作及取得的研究成果。据我所知，文中除了特别加以标注和致谢的地方外，不包含其他人已经发表或撰写过的研究成果，也不包含为获得河南科技大学或其它教育机构的其他学位或证书而使用过的材料。与我一同工作的同志对本研究所做的任何贡献均已在论文中作了明确的说明并表示了谢意。</w:t>
      </w:r>
    </w:p>
    <w:p w14:paraId="2A7BA67D" w14:textId="77777777" w:rsidR="00000000" w:rsidRDefault="00000000">
      <w:pPr>
        <w:spacing w:line="400" w:lineRule="exact"/>
        <w:rPr>
          <w:szCs w:val="24"/>
        </w:rPr>
      </w:pPr>
    </w:p>
    <w:p w14:paraId="64AED4F0" w14:textId="77777777" w:rsidR="00000000" w:rsidRDefault="00000000">
      <w:pPr>
        <w:spacing w:line="400" w:lineRule="exact"/>
        <w:ind w:firstLine="465"/>
        <w:rPr>
          <w:szCs w:val="24"/>
          <w:u w:val="single"/>
        </w:rPr>
      </w:pPr>
      <w:r>
        <w:rPr>
          <w:szCs w:val="24"/>
        </w:rPr>
        <w:t xml:space="preserve">                                        </w:t>
      </w:r>
      <w:r>
        <w:rPr>
          <w:szCs w:val="24"/>
        </w:rPr>
        <w:t>研究生签名：</w:t>
      </w:r>
      <w:r>
        <w:rPr>
          <w:szCs w:val="24"/>
          <w:u w:val="single"/>
        </w:rPr>
        <w:t xml:space="preserve">             </w:t>
      </w:r>
    </w:p>
    <w:p w14:paraId="222BD8A0" w14:textId="77777777" w:rsidR="00000000" w:rsidRDefault="00000000">
      <w:pPr>
        <w:spacing w:line="400" w:lineRule="exact"/>
        <w:ind w:firstLineChars="2161" w:firstLine="5338"/>
        <w:rPr>
          <w:szCs w:val="24"/>
          <w:u w:val="single"/>
        </w:rPr>
      </w:pPr>
      <w:r>
        <w:rPr>
          <w:spacing w:val="2"/>
          <w:szCs w:val="24"/>
        </w:rPr>
        <w:t>日</w:t>
      </w:r>
      <w:r>
        <w:rPr>
          <w:spacing w:val="2"/>
          <w:szCs w:val="24"/>
        </w:rPr>
        <w:t xml:space="preserve">      </w:t>
      </w:r>
      <w:r>
        <w:rPr>
          <w:spacing w:val="2"/>
          <w:szCs w:val="24"/>
        </w:rPr>
        <w:t>期</w:t>
      </w:r>
      <w:r>
        <w:rPr>
          <w:szCs w:val="24"/>
        </w:rPr>
        <w:t>：</w:t>
      </w:r>
      <w:r>
        <w:rPr>
          <w:szCs w:val="24"/>
          <w:u w:val="single"/>
        </w:rPr>
        <w:t xml:space="preserve">             </w:t>
      </w:r>
    </w:p>
    <w:p w14:paraId="07223903" w14:textId="77777777" w:rsidR="00000000" w:rsidRDefault="00000000">
      <w:pPr>
        <w:rPr>
          <w:u w:val="single"/>
        </w:rPr>
      </w:pPr>
    </w:p>
    <w:p w14:paraId="46F1D51F" w14:textId="77777777" w:rsidR="00000000" w:rsidRDefault="00000000">
      <w:pPr>
        <w:rPr>
          <w:u w:val="single"/>
        </w:rPr>
      </w:pPr>
    </w:p>
    <w:p w14:paraId="4689E678" w14:textId="77777777" w:rsidR="00000000" w:rsidRDefault="00000000">
      <w:pPr>
        <w:rPr>
          <w:u w:val="single"/>
        </w:rPr>
      </w:pPr>
    </w:p>
    <w:p w14:paraId="335B6C20" w14:textId="77777777" w:rsidR="00000000" w:rsidRDefault="00000000">
      <w:pPr>
        <w:rPr>
          <w:u w:val="single"/>
        </w:rPr>
      </w:pPr>
    </w:p>
    <w:p w14:paraId="554FDBFE" w14:textId="77777777" w:rsidR="00000000" w:rsidRDefault="00000000">
      <w:pPr>
        <w:rPr>
          <w:u w:val="single"/>
        </w:rPr>
      </w:pPr>
    </w:p>
    <w:p w14:paraId="73B78D57" w14:textId="77777777" w:rsidR="00000000" w:rsidRDefault="00000000">
      <w:pPr>
        <w:spacing w:beforeLines="50" w:before="207" w:afterLines="100" w:after="415" w:line="400" w:lineRule="exact"/>
        <w:ind w:firstLine="0"/>
        <w:jc w:val="center"/>
        <w:rPr>
          <w:b/>
          <w:bCs/>
          <w:sz w:val="32"/>
        </w:rPr>
      </w:pPr>
      <w:r>
        <w:rPr>
          <w:rFonts w:hAnsi="宋体"/>
          <w:b/>
          <w:bCs/>
          <w:sz w:val="32"/>
        </w:rPr>
        <w:t>关于论文使用授权的说明</w:t>
      </w:r>
    </w:p>
    <w:p w14:paraId="63B63C4A" w14:textId="77777777" w:rsidR="00000000" w:rsidRDefault="00000000">
      <w:pPr>
        <w:pStyle w:val="a9"/>
        <w:spacing w:line="400" w:lineRule="exact"/>
        <w:ind w:firstLineChars="200" w:firstLine="486"/>
        <w:rPr>
          <w:sz w:val="24"/>
          <w:szCs w:val="24"/>
        </w:rPr>
      </w:pPr>
      <w:r>
        <w:rPr>
          <w:sz w:val="24"/>
          <w:szCs w:val="24"/>
        </w:rPr>
        <w:t>本人完全了解河南科技大学有关保留、使用学位论文的规定，即：学校拥有对所有学位论文的复制权、传播权、汇编权及其它使用权（特殊情况需要保密的论文应提前说明，但在解密后应遵守此规定）。</w:t>
      </w:r>
    </w:p>
    <w:p w14:paraId="6133BC1F" w14:textId="77777777" w:rsidR="00000000" w:rsidRDefault="00000000">
      <w:pPr>
        <w:pStyle w:val="a9"/>
        <w:spacing w:line="400" w:lineRule="exact"/>
        <w:ind w:firstLineChars="200" w:firstLine="486"/>
        <w:rPr>
          <w:sz w:val="24"/>
          <w:szCs w:val="24"/>
        </w:rPr>
      </w:pPr>
      <w:r>
        <w:rPr>
          <w:sz w:val="24"/>
          <w:szCs w:val="24"/>
        </w:rPr>
        <w:t>需要保密的论文请填写：本学位论文在</w:t>
      </w:r>
      <w:r>
        <w:rPr>
          <w:sz w:val="24"/>
          <w:szCs w:val="24"/>
          <w:u w:val="single"/>
        </w:rPr>
        <w:t xml:space="preserve">      </w:t>
      </w:r>
      <w:r>
        <w:rPr>
          <w:sz w:val="24"/>
          <w:szCs w:val="24"/>
        </w:rPr>
        <w:t>年</w:t>
      </w:r>
      <w:r>
        <w:rPr>
          <w:sz w:val="24"/>
          <w:szCs w:val="24"/>
          <w:u w:val="single"/>
        </w:rPr>
        <w:t xml:space="preserve">    </w:t>
      </w:r>
      <w:r>
        <w:rPr>
          <w:sz w:val="24"/>
          <w:szCs w:val="24"/>
        </w:rPr>
        <w:t>月至</w:t>
      </w:r>
      <w:r>
        <w:rPr>
          <w:sz w:val="24"/>
          <w:szCs w:val="24"/>
          <w:u w:val="single"/>
        </w:rPr>
        <w:t xml:space="preserve">     </w:t>
      </w:r>
      <w:r>
        <w:rPr>
          <w:sz w:val="24"/>
          <w:szCs w:val="24"/>
        </w:rPr>
        <w:t>年</w:t>
      </w:r>
      <w:r>
        <w:rPr>
          <w:sz w:val="24"/>
          <w:szCs w:val="24"/>
          <w:u w:val="single"/>
        </w:rPr>
        <w:t xml:space="preserve">    </w:t>
      </w:r>
      <w:r>
        <w:rPr>
          <w:sz w:val="24"/>
          <w:szCs w:val="24"/>
        </w:rPr>
        <w:t>月期间需要保密，解密后适用本授权书。（需要保密的学位论文无须向图书馆提供论文的电子文档）</w:t>
      </w:r>
    </w:p>
    <w:p w14:paraId="18C4D7EB" w14:textId="77777777" w:rsidR="00000000" w:rsidRDefault="00000000">
      <w:pPr>
        <w:pStyle w:val="a9"/>
        <w:spacing w:line="400" w:lineRule="exact"/>
        <w:ind w:firstLineChars="200" w:firstLine="486"/>
        <w:rPr>
          <w:sz w:val="24"/>
          <w:szCs w:val="24"/>
        </w:rPr>
      </w:pPr>
    </w:p>
    <w:p w14:paraId="529C0000" w14:textId="77777777" w:rsidR="00000000" w:rsidRDefault="00000000">
      <w:pPr>
        <w:pStyle w:val="a9"/>
        <w:spacing w:line="400" w:lineRule="exact"/>
        <w:ind w:firstLineChars="1255" w:firstLine="3050"/>
        <w:rPr>
          <w:sz w:val="24"/>
          <w:szCs w:val="24"/>
        </w:rPr>
      </w:pPr>
      <w:r>
        <w:rPr>
          <w:sz w:val="24"/>
          <w:szCs w:val="24"/>
        </w:rPr>
        <w:t>研究生签名：</w:t>
      </w:r>
      <w:r>
        <w:rPr>
          <w:sz w:val="24"/>
          <w:szCs w:val="24"/>
          <w:u w:val="single"/>
        </w:rPr>
        <w:t xml:space="preserve">           </w:t>
      </w:r>
      <w:r>
        <w:rPr>
          <w:sz w:val="24"/>
          <w:szCs w:val="24"/>
        </w:rPr>
        <w:t>导师签名：</w:t>
      </w:r>
      <w:r>
        <w:rPr>
          <w:sz w:val="24"/>
          <w:szCs w:val="24"/>
          <w:u w:val="single"/>
        </w:rPr>
        <w:t xml:space="preserve">            </w:t>
      </w:r>
    </w:p>
    <w:p w14:paraId="45B8F197" w14:textId="77777777" w:rsidR="00000000" w:rsidRDefault="00000000">
      <w:pPr>
        <w:pStyle w:val="a9"/>
        <w:spacing w:line="400" w:lineRule="exact"/>
        <w:ind w:firstLineChars="2400" w:firstLine="5832"/>
        <w:jc w:val="center"/>
        <w:rPr>
          <w:sz w:val="24"/>
          <w:szCs w:val="24"/>
        </w:rPr>
        <w:sectPr w:rsidR="00000000">
          <w:headerReference w:type="even" r:id="rId10"/>
          <w:headerReference w:type="default" r:id="rId11"/>
          <w:footerReference w:type="even" r:id="rId12"/>
          <w:footnotePr>
            <w:numRestart w:val="eachPage"/>
          </w:footnotePr>
          <w:pgSz w:w="11909" w:h="16834"/>
          <w:pgMar w:top="1701" w:right="1701" w:bottom="1418" w:left="1701" w:header="1304" w:footer="1021" w:gutter="0"/>
          <w:pgNumType w:fmt="upperRoman" w:start="1"/>
          <w:cols w:space="720"/>
          <w:docGrid w:type="linesAndChars" w:linePitch="415" w:charSpace="614"/>
        </w:sectPr>
      </w:pPr>
      <w:r>
        <w:rPr>
          <w:sz w:val="24"/>
          <w:szCs w:val="24"/>
        </w:rPr>
        <w:t>日</w:t>
      </w:r>
      <w:r>
        <w:rPr>
          <w:sz w:val="24"/>
          <w:szCs w:val="24"/>
        </w:rPr>
        <w:t xml:space="preserve">    </w:t>
      </w:r>
      <w:r>
        <w:rPr>
          <w:sz w:val="24"/>
          <w:szCs w:val="24"/>
        </w:rPr>
        <w:t>期：</w:t>
      </w:r>
    </w:p>
    <w:p w14:paraId="631915C7" w14:textId="77777777" w:rsidR="00000000" w:rsidRDefault="00000000">
      <w:pPr>
        <w:pStyle w:val="afff2"/>
        <w:spacing w:beforeLines="100" w:before="415" w:afterLines="50" w:after="207" w:line="400" w:lineRule="exact"/>
        <w:rPr>
          <w:rFonts w:ascii="Times New Roman"/>
        </w:rPr>
      </w:pPr>
      <w:r>
        <w:rPr>
          <w:rFonts w:ascii="Times New Roman"/>
        </w:rPr>
        <w:lastRenderedPageBreak/>
        <w:t>摘</w:t>
      </w:r>
      <w:r>
        <w:rPr>
          <w:rFonts w:ascii="Times New Roman" w:hint="eastAsia"/>
        </w:rPr>
        <w:t xml:space="preserve"> </w:t>
      </w:r>
      <w:r>
        <w:rPr>
          <w:rFonts w:ascii="Times New Roman"/>
        </w:rPr>
        <w:t>要</w:t>
      </w:r>
    </w:p>
    <w:p w14:paraId="54657106" w14:textId="77777777" w:rsidR="00000000" w:rsidRDefault="00000000">
      <w:pPr>
        <w:widowControl/>
        <w:rPr>
          <w:rFonts w:ascii="宋体" w:hAnsi="宋体" w:cs="宋体"/>
          <w:szCs w:val="24"/>
        </w:rPr>
      </w:pPr>
      <w:r>
        <w:rPr>
          <w:rFonts w:ascii="宋体" w:hAnsi="宋体" w:cs="宋体" w:hint="eastAsia"/>
          <w:szCs w:val="24"/>
        </w:rPr>
        <w:t>随着经济全球化的深入发展和电子商务的广泛普及，国外服装品牌纷纷涌入中国市场，致使中国服装企业生存压力空前巨大。同时，</w:t>
      </w:r>
      <w:r>
        <w:rPr>
          <w:rFonts w:ascii="宋体" w:hAnsi="宋体" w:cs="宋体"/>
          <w:szCs w:val="24"/>
        </w:rPr>
        <w:t>中国经济已进入</w:t>
      </w:r>
      <w:r>
        <w:rPr>
          <w:rFonts w:ascii="宋体" w:hAnsi="宋体" w:cs="宋体" w:hint="eastAsia"/>
          <w:szCs w:val="24"/>
        </w:rPr>
        <w:t>“</w:t>
      </w:r>
      <w:r>
        <w:rPr>
          <w:rFonts w:ascii="宋体" w:hAnsi="宋体" w:cs="宋体"/>
          <w:szCs w:val="24"/>
        </w:rPr>
        <w:t>品质消费时代</w:t>
      </w:r>
      <w:r>
        <w:rPr>
          <w:rFonts w:ascii="宋体" w:hAnsi="宋体" w:cs="宋体" w:hint="eastAsia"/>
          <w:szCs w:val="24"/>
        </w:rPr>
        <w:t>”，</w:t>
      </w:r>
      <w:r>
        <w:rPr>
          <w:rFonts w:ascii="宋体" w:hAnsi="宋体" w:cs="宋体"/>
          <w:szCs w:val="24"/>
        </w:rPr>
        <w:t>居民对生活品质的追求不断升级，反映在服装消费上，就是对品类多样性、款式新颖度、面料舒适度的要求越来越高。这一市场趋势正</w:t>
      </w:r>
      <w:r>
        <w:rPr>
          <w:rFonts w:ascii="宋体" w:hAnsi="宋体" w:cs="宋体" w:hint="eastAsia"/>
          <w:szCs w:val="24"/>
        </w:rPr>
        <w:t>推动着</w:t>
      </w:r>
      <w:r>
        <w:rPr>
          <w:rFonts w:ascii="宋体" w:hAnsi="宋体" w:cs="宋体"/>
          <w:szCs w:val="24"/>
        </w:rPr>
        <w:t>本土服装品牌加速调整战略，从过去的</w:t>
      </w:r>
      <w:r>
        <w:rPr>
          <w:rFonts w:ascii="宋体" w:hAnsi="宋体" w:cs="宋体" w:hint="eastAsia"/>
          <w:szCs w:val="24"/>
        </w:rPr>
        <w:t>“</w:t>
      </w:r>
      <w:r>
        <w:rPr>
          <w:rFonts w:ascii="宋体" w:hAnsi="宋体" w:cs="宋体"/>
          <w:szCs w:val="24"/>
        </w:rPr>
        <w:t>规模扩张</w:t>
      </w:r>
      <w:r>
        <w:rPr>
          <w:rFonts w:ascii="宋体" w:hAnsi="宋体" w:cs="宋体" w:hint="eastAsia"/>
          <w:szCs w:val="24"/>
        </w:rPr>
        <w:t>”</w:t>
      </w:r>
      <w:r>
        <w:rPr>
          <w:rFonts w:ascii="宋体" w:hAnsi="宋体" w:cs="宋体"/>
          <w:szCs w:val="24"/>
        </w:rPr>
        <w:t>转向</w:t>
      </w:r>
      <w:r>
        <w:rPr>
          <w:rFonts w:ascii="宋体" w:hAnsi="宋体" w:cs="宋体" w:hint="eastAsia"/>
          <w:szCs w:val="24"/>
        </w:rPr>
        <w:t>“</w:t>
      </w:r>
      <w:r>
        <w:rPr>
          <w:rFonts w:ascii="宋体" w:hAnsi="宋体" w:cs="宋体"/>
          <w:szCs w:val="24"/>
        </w:rPr>
        <w:t>价值深耕</w:t>
      </w:r>
      <w:r>
        <w:rPr>
          <w:rFonts w:ascii="宋体" w:hAnsi="宋体" w:cs="宋体" w:hint="eastAsia"/>
          <w:szCs w:val="24"/>
        </w:rPr>
        <w:t>”</w:t>
      </w:r>
      <w:r>
        <w:rPr>
          <w:rFonts w:ascii="宋体" w:hAnsi="宋体" w:cs="宋体"/>
          <w:szCs w:val="24"/>
        </w:rPr>
        <w:t>。在此形势下，</w:t>
      </w:r>
      <w:r>
        <w:rPr>
          <w:rFonts w:ascii="宋体" w:hAnsi="宋体" w:cs="宋体" w:hint="eastAsia"/>
          <w:szCs w:val="24"/>
        </w:rPr>
        <w:t>许多企业逐渐</w:t>
      </w:r>
      <w:r>
        <w:rPr>
          <w:rFonts w:ascii="宋体" w:hAnsi="宋体" w:cs="宋体"/>
          <w:szCs w:val="24"/>
        </w:rPr>
        <w:t>剥离工厂、产线等固定资产负担，将核心资源聚焦于品牌运营、设计研发等高利润领域</w:t>
      </w:r>
      <w:r>
        <w:rPr>
          <w:rFonts w:ascii="宋体" w:hAnsi="宋体" w:cs="宋体" w:hint="eastAsia"/>
          <w:szCs w:val="24"/>
        </w:rPr>
        <w:t>，试图通过轻资产运营模式开辟新的发展路径的企业越来越多。作为一种新兴的经营策略，轻资产运营模式注重</w:t>
      </w:r>
      <w:r>
        <w:rPr>
          <w:rFonts w:ascii="宋体" w:hAnsi="宋体" w:cs="宋体"/>
          <w:szCs w:val="24"/>
        </w:rPr>
        <w:t>研品牌发、</w:t>
      </w:r>
      <w:r>
        <w:rPr>
          <w:rFonts w:ascii="宋体" w:hAnsi="宋体" w:cs="宋体" w:hint="eastAsia"/>
          <w:szCs w:val="24"/>
        </w:rPr>
        <w:t>营销</w:t>
      </w:r>
      <w:r>
        <w:rPr>
          <w:rFonts w:ascii="宋体" w:hAnsi="宋体" w:cs="宋体"/>
          <w:szCs w:val="24"/>
        </w:rPr>
        <w:t>管理等关键领域，</w:t>
      </w:r>
      <w:r>
        <w:rPr>
          <w:rFonts w:ascii="宋体" w:hAnsi="宋体" w:cs="宋体" w:hint="eastAsia"/>
          <w:szCs w:val="24"/>
        </w:rPr>
        <w:t>大幅减少了企业在设备购置、生产制造等环节的投入和经营成本，即在</w:t>
      </w:r>
      <w:r>
        <w:rPr>
          <w:rFonts w:ascii="宋体" w:hAnsi="宋体" w:cs="宋体"/>
          <w:szCs w:val="24"/>
        </w:rPr>
        <w:t>产业链分工中助力企业实现</w:t>
      </w:r>
      <w:r>
        <w:rPr>
          <w:rFonts w:ascii="宋体" w:hAnsi="宋体" w:cs="宋体" w:hint="eastAsia"/>
          <w:szCs w:val="24"/>
        </w:rPr>
        <w:t>了</w:t>
      </w:r>
      <w:r>
        <w:rPr>
          <w:rFonts w:ascii="宋体" w:hAnsi="宋体" w:cs="宋体"/>
          <w:szCs w:val="24"/>
        </w:rPr>
        <w:t>从低附加值环节迈向高附加值环节</w:t>
      </w:r>
      <w:r>
        <w:rPr>
          <w:rFonts w:ascii="宋体" w:hAnsi="宋体" w:cs="宋体" w:hint="eastAsia"/>
          <w:szCs w:val="24"/>
        </w:rPr>
        <w:t>的升级</w:t>
      </w:r>
      <w:r>
        <w:rPr>
          <w:rFonts w:ascii="宋体" w:hAnsi="宋体" w:cs="宋体"/>
          <w:szCs w:val="24"/>
        </w:rPr>
        <w:t>。然而，</w:t>
      </w:r>
      <w:r>
        <w:rPr>
          <w:rFonts w:ascii="宋体" w:hAnsi="宋体" w:cs="宋体" w:hint="eastAsia"/>
          <w:szCs w:val="24"/>
        </w:rPr>
        <w:t>由于</w:t>
      </w:r>
      <w:r>
        <w:rPr>
          <w:rFonts w:ascii="宋体" w:hAnsi="宋体" w:cs="宋体"/>
          <w:szCs w:val="24"/>
        </w:rPr>
        <w:t>目前我国服装企业轻资产运营模式尚处于初步探索阶段，多数企业转型历程较短，加之经济下行压力，</w:t>
      </w:r>
      <w:r>
        <w:rPr>
          <w:rFonts w:ascii="宋体" w:hAnsi="宋体" w:cs="宋体" w:hint="eastAsia"/>
          <w:szCs w:val="24"/>
        </w:rPr>
        <w:t>转型阵痛引发的各类问题显著放大了财务风险，若不及时识别与管控，必将危及企业的经营稳定性与可持续发展前景。</w:t>
      </w:r>
    </w:p>
    <w:p w14:paraId="52ADC513" w14:textId="77777777" w:rsidR="00000000" w:rsidRDefault="00000000">
      <w:pPr>
        <w:widowControl/>
        <w:rPr>
          <w:rFonts w:ascii="宋体" w:hAnsi="宋体" w:cs="宋体"/>
          <w:szCs w:val="24"/>
        </w:rPr>
      </w:pPr>
      <w:r>
        <w:rPr>
          <w:rFonts w:ascii="宋体" w:hAnsi="宋体" w:cs="宋体"/>
          <w:szCs w:val="24"/>
        </w:rPr>
        <w:t>财务风险管理一般涵盖三个关键步骤，即风险识别、风险评价以及风险控制。</w:t>
      </w:r>
      <w:r>
        <w:rPr>
          <w:rFonts w:ascii="宋体" w:hAnsi="宋体" w:cs="宋体" w:hint="eastAsia"/>
          <w:szCs w:val="24"/>
        </w:rPr>
        <w:t>鉴于此，本文以劳动分工理论、微笑曲线理论及全面风险管理理论为联合分析框架，选取服装行业龙头企业M公司作为研究样本，综合运用文献研究法、案例研究法和财务比率分析法开展系统性的财务风险研究。首先，通过梳理国内外研究成果，对轻资产、轻资产运营模式、财务风险以及财务风险管理的核心概念进行理论界定，构建研究的理论框架。其次，从服装行业整体发展现状切入，聚焦M公司个体，通过东方财富网、企业公开年报等多源数据，从筹资、投资、营运和收益分配四个维度，运用传统财务指标分析方法，识别其在轻资产运营模式下潜在的财务风险点。再次，遵循数据可获得性、指标适用性和体系全面性原则，筛选15个财务指标构建M公司财务风险评价指标体系，</w:t>
      </w:r>
      <w:r>
        <w:rPr>
          <w:rFonts w:ascii="宋体" w:hAnsi="宋体" w:cs="宋体"/>
          <w:szCs w:val="24"/>
        </w:rPr>
        <w:t>并运用熵权-TOPSIS</w:t>
      </w:r>
      <w:r>
        <w:rPr>
          <w:rFonts w:ascii="宋体" w:hAnsi="宋体" w:cs="宋体" w:hint="eastAsia"/>
          <w:szCs w:val="24"/>
        </w:rPr>
        <w:t>法</w:t>
      </w:r>
      <w:r>
        <w:rPr>
          <w:rFonts w:ascii="宋体" w:hAnsi="宋体" w:cs="宋体"/>
          <w:szCs w:val="24"/>
        </w:rPr>
        <w:t>对其财务风险进行综合量化</w:t>
      </w:r>
      <w:r>
        <w:rPr>
          <w:rFonts w:ascii="宋体" w:hAnsi="宋体" w:cs="宋体" w:hint="eastAsia"/>
          <w:szCs w:val="24"/>
        </w:rPr>
        <w:t>评价</w:t>
      </w:r>
      <w:r>
        <w:rPr>
          <w:rFonts w:ascii="宋体" w:hAnsi="宋体" w:cs="宋体"/>
          <w:szCs w:val="24"/>
        </w:rPr>
        <w:t>。</w:t>
      </w:r>
    </w:p>
    <w:p w14:paraId="6F6E5832" w14:textId="77777777" w:rsidR="00000000" w:rsidRDefault="00000000">
      <w:pPr>
        <w:widowControl/>
        <w:rPr>
          <w:rFonts w:ascii="宋体" w:hAnsi="宋体" w:cs="宋体"/>
          <w:szCs w:val="24"/>
        </w:rPr>
      </w:pPr>
      <w:r>
        <w:rPr>
          <w:rFonts w:ascii="宋体" w:hAnsi="宋体" w:cs="宋体" w:hint="eastAsia"/>
          <w:szCs w:val="24"/>
        </w:rPr>
        <w:t>研究结果表明：M公司从2020-2024年的财务安全度都存在着较大的波动，其中2022年则降至最低，持续多年的财务风险对企业后续发展必将带来较大的负面影响。由此，本文结合轻资产运营模式的财务风险特点，提出了防范财务风险的对策：在融资风险防范方面，有针对性地提出拓宽不同来源的筹集资金渠道、改变筹资结构、增加流动资产比例等来提高企业短期偿债能力，加强资产结构管理；在投资风险防范方面，建议加强投资项目全生命周期管理、合理控制</w:t>
      </w:r>
      <w:r>
        <w:rPr>
          <w:rFonts w:ascii="宋体" w:hAnsi="宋体" w:cs="宋体" w:hint="eastAsia"/>
          <w:szCs w:val="24"/>
        </w:rPr>
        <w:lastRenderedPageBreak/>
        <w:t>投资成本和费用、不断增加研发投资比重；在营运风险防范方面，建议在改善存货管理、建立高效应收账款管理机制、提高企业整体经营业绩的基础上开展供应链风险控制；在收益分配风险防范方面，建议调整股票股利政策，根据企业现金状况，动态调整分配比例，提高企业财务稳健性，同时探索现金和股票分红相结合的多样化支付形式，寻求股东回报与留存再投资需求彼此之间的平衡。本文努力为实行轻资产运营模式的企业提供理论和实践参考，助力它们在轻资产转型中健康发展。</w:t>
      </w:r>
    </w:p>
    <w:p w14:paraId="773A5E63" w14:textId="77777777" w:rsidR="00000000" w:rsidRDefault="00000000">
      <w:pPr>
        <w:pStyle w:val="afff3"/>
        <w:ind w:firstLineChars="200" w:firstLine="486"/>
        <w:rPr>
          <w:rFonts w:ascii="Arial" w:eastAsia="Arial" w:hAnsi="Arial" w:cs="Arial" w:hint="eastAsia"/>
          <w:szCs w:val="24"/>
          <w:shd w:val="clear" w:color="auto" w:fill="FFFFFF"/>
        </w:rPr>
      </w:pPr>
    </w:p>
    <w:p w14:paraId="1543EF48" w14:textId="77777777" w:rsidR="00000000" w:rsidRDefault="00000000">
      <w:pPr>
        <w:pStyle w:val="afff3"/>
        <w:ind w:firstLineChars="200" w:firstLine="486"/>
        <w:rPr>
          <w:rFonts w:ascii="Arial" w:eastAsia="Arial" w:hAnsi="Arial" w:cs="Arial" w:hint="eastAsia"/>
          <w:szCs w:val="24"/>
          <w:shd w:val="clear" w:color="auto" w:fill="FFFFFF"/>
        </w:rPr>
      </w:pPr>
    </w:p>
    <w:p w14:paraId="6A3F659C" w14:textId="77777777" w:rsidR="00000000" w:rsidRDefault="00000000">
      <w:pPr>
        <w:widowControl/>
        <w:wordWrap w:val="0"/>
        <w:spacing w:line="400" w:lineRule="exact"/>
        <w:ind w:firstLine="0"/>
        <w:jc w:val="left"/>
      </w:pPr>
      <w:r>
        <w:rPr>
          <w:rStyle w:val="CharChar"/>
          <w:b/>
          <w:kern w:val="0"/>
          <w:sz w:val="28"/>
          <w:szCs w:val="28"/>
        </w:rPr>
        <w:t>关键词：</w:t>
      </w:r>
      <w:r>
        <w:rPr>
          <w:rFonts w:ascii="宋体" w:hAnsi="宋体" w:cs="宋体" w:hint="eastAsia"/>
          <w:kern w:val="0"/>
          <w:szCs w:val="24"/>
          <w:lang w:bidi="ar"/>
        </w:rPr>
        <w:t>轻资产运营模式；财务风险；服装行业；</w:t>
      </w:r>
      <w:r>
        <w:rPr>
          <w:rFonts w:ascii="宋体" w:hAnsi="宋体" w:cs="宋体"/>
          <w:szCs w:val="24"/>
        </w:rPr>
        <w:t>熵权</w:t>
      </w:r>
      <w:r>
        <w:rPr>
          <w:rFonts w:ascii="宋体" w:hAnsi="宋体" w:cs="宋体" w:hint="eastAsia"/>
          <w:szCs w:val="24"/>
        </w:rPr>
        <w:t>-TOPSIS</w:t>
      </w:r>
      <w:r>
        <w:rPr>
          <w:rFonts w:ascii="宋体" w:hAnsi="宋体" w:cs="宋体"/>
          <w:szCs w:val="24"/>
        </w:rPr>
        <w:t>法</w:t>
      </w:r>
    </w:p>
    <w:p w14:paraId="1D2A0451" w14:textId="77777777" w:rsidR="00000000" w:rsidRDefault="00000000">
      <w:pPr>
        <w:pStyle w:val="aff9"/>
        <w:rPr>
          <w:rFonts w:ascii="Times New Roman" w:hAnsi="Times New Roman"/>
        </w:rPr>
      </w:pPr>
      <w:r>
        <w:rPr>
          <w:rStyle w:val="CharChar"/>
          <w:rFonts w:ascii="Times New Roman"/>
        </w:rPr>
        <w:t>论文类型：</w:t>
      </w:r>
      <w:r>
        <w:rPr>
          <w:rStyle w:val="Char6"/>
          <w:rFonts w:ascii="Times New Roman" w:hAnsi="Times New Roman" w:hint="eastAsia"/>
          <w:b w:val="0"/>
        </w:rPr>
        <w:t>应用类</w:t>
      </w:r>
    </w:p>
    <w:p w14:paraId="6FF44774" w14:textId="77777777" w:rsidR="00000000" w:rsidRDefault="00000000">
      <w:pPr>
        <w:pStyle w:val="aff9"/>
        <w:rPr>
          <w:rStyle w:val="Char6"/>
          <w:rFonts w:ascii="Times New Roman" w:hAnsi="Times New Roman" w:hint="eastAsia"/>
          <w:b w:val="0"/>
        </w:rPr>
        <w:sectPr w:rsidR="00000000">
          <w:headerReference w:type="even" r:id="rId13"/>
          <w:headerReference w:type="default" r:id="rId14"/>
          <w:footerReference w:type="even" r:id="rId15"/>
          <w:footerReference w:type="default" r:id="rId16"/>
          <w:footnotePr>
            <w:numRestart w:val="eachPage"/>
          </w:footnotePr>
          <w:pgSz w:w="11909" w:h="16834"/>
          <w:pgMar w:top="1701" w:right="1701" w:bottom="1418" w:left="1701" w:header="1304" w:footer="1021" w:gutter="0"/>
          <w:pgNumType w:fmt="upperRoman"/>
          <w:cols w:space="720"/>
          <w:docGrid w:type="linesAndChars" w:linePitch="415" w:charSpace="614"/>
        </w:sectPr>
      </w:pPr>
      <w:r>
        <w:rPr>
          <w:rStyle w:val="CharChar"/>
          <w:rFonts w:ascii="Times New Roman"/>
        </w:rPr>
        <w:t>选题来源：</w:t>
      </w:r>
      <w:r>
        <w:rPr>
          <w:rStyle w:val="Char6"/>
          <w:rFonts w:ascii="Times New Roman" w:hAnsi="Times New Roman" w:hint="eastAsia"/>
          <w:b w:val="0"/>
        </w:rPr>
        <w:t>其他</w:t>
      </w:r>
    </w:p>
    <w:p w14:paraId="0966178B" w14:textId="77777777" w:rsidR="00000000" w:rsidRDefault="00000000">
      <w:pPr>
        <w:pStyle w:val="afff8"/>
        <w:spacing w:beforeLines="100" w:before="415" w:afterLines="50" w:after="207" w:line="400" w:lineRule="exact"/>
      </w:pPr>
      <w:r>
        <w:lastRenderedPageBreak/>
        <w:t>ABSTRACT</w:t>
      </w:r>
    </w:p>
    <w:p w14:paraId="2CA1E047" w14:textId="77777777" w:rsidR="00000000" w:rsidRDefault="00000000">
      <w:pPr>
        <w:spacing w:line="400" w:lineRule="exact"/>
        <w:ind w:firstLineChars="200" w:firstLine="486"/>
        <w:rPr>
          <w:rFonts w:hint="eastAsia"/>
        </w:rPr>
      </w:pPr>
      <w:r>
        <w:rPr>
          <w:rFonts w:hint="eastAsia"/>
        </w:rPr>
        <w:t>With the deepening of economic globalization and the widespread adoption of e-commerce, foreign apparel brands have flooded the Chinese market, creating unprecedented survival pressure for domestic enterprises. Concurrently, China's economy has entered an era of "quality consumption." As residents' pursuit of living standards upgrades, demands for apparel consumption</w:t>
      </w:r>
      <w:r>
        <w:rPr>
          <w:rFonts w:hint="eastAsia"/>
        </w:rPr>
        <w:t>—</w:t>
      </w:r>
      <w:r>
        <w:rPr>
          <w:rFonts w:hint="eastAsia"/>
        </w:rPr>
        <w:t>specifically regarding category diversity, style novelty, and fabric comfort</w:t>
      </w:r>
      <w:r>
        <w:rPr>
          <w:rFonts w:hint="eastAsia"/>
        </w:rPr>
        <w:t>—</w:t>
      </w:r>
      <w:r>
        <w:rPr>
          <w:rFonts w:hint="eastAsia"/>
        </w:rPr>
        <w:t>have intensified. This market trend is driving local brands to accelerate strategic adjustments, shifting from "scale expansion" to "value deepening." Under this context, an increasing number of enterprises are shedding fixed asset burdens such as factories and production lines, focusing core resources on high-profit sectors like brand operation and R&amp;D. This "Asset-light Operation Mode" serves as an emerging strategy that emphasizes key areas like R&amp;D and marketing, significantly reducing investment and operating costs in equipment and manufacturing. It facilitates an upgrade from low-value-added to high-value-added links in the industrial chain. However, as this mode is still in the exploratory stage in China and the transition period is short, coupled with downward economic pressure, the pains of transformation have significantly amplified financial risks. If not identified and controlled promptly, these risks will jeopardize operational stability and sustainable development.</w:t>
      </w:r>
    </w:p>
    <w:p w14:paraId="5925C0C9" w14:textId="77777777" w:rsidR="00000000" w:rsidRDefault="00000000">
      <w:pPr>
        <w:spacing w:line="400" w:lineRule="exact"/>
        <w:ind w:firstLineChars="200" w:firstLine="486"/>
        <w:rPr>
          <w:rFonts w:hint="eastAsia"/>
        </w:rPr>
      </w:pPr>
      <w:r>
        <w:rPr>
          <w:rFonts w:hint="eastAsia"/>
        </w:rPr>
        <w:t xml:space="preserve">Financial risk management generally encompasses three key steps: risk identification, risk evaluation, and risk control. Accordingly, this paper establishes a joint analytical framework based on the Division of Labor Theory, the Smile Curve Theory, and Comprehensive Risk Management Theory. Selecting Company M, a leading apparel enterprise, as a case study, this research employs literature review, case study, and financial ratio analysis methods. First, by reviewing domestic and international literature, the study defines core concepts such as asset-light operation and financial risk to construct a theoretical framework. Second, starting from the industry status and focusing on Company M, the study utilizes multi-source data (e.g., East Money, annual reports) to identify potential financial risks across four dimensions: financing, investment, operations, and profit distribution. Third, adhering to principles of data availability and system comprehensiveness, 15 financial indicators were selected to build an evaluation system. The Entropy Weight-TOPSIS method was then </w:t>
      </w:r>
      <w:r>
        <w:rPr>
          <w:rFonts w:hint="eastAsia"/>
        </w:rPr>
        <w:lastRenderedPageBreak/>
        <w:t>applied to quantitatively evaluate the financial risks.</w:t>
      </w:r>
    </w:p>
    <w:p w14:paraId="1861B351" w14:textId="77777777" w:rsidR="00000000" w:rsidRDefault="00000000">
      <w:pPr>
        <w:spacing w:line="400" w:lineRule="exact"/>
        <w:ind w:firstLineChars="200" w:firstLine="486"/>
        <w:rPr>
          <w:rFonts w:hint="eastAsia"/>
        </w:rPr>
      </w:pPr>
      <w:r>
        <w:rPr>
          <w:rFonts w:hint="eastAsia"/>
        </w:rPr>
        <w:t>The research results show that M Company's financial security fluctuated significantly from 2020 to 2024, reaching its lowest point in 2022. Sustained financial risks over the years will inevitably exert considerable negative impacts on the subsequent development of the enterprise. Accordingly, in view of the financial risk characteristics of asset-light operations, this paper puts forward countermeasures for preventing financial risks:In terms of financing risk prevention, it specifically proposes expanding financing channels from diverse sources, optimizing the financing structure, and increasing the proportion of current assets to enhance the enterprise's short-term solvency and strengthen asset structure management.For investment risk control, it suggests establishing a full life-cycle management system for investment projects, reasonably controlling investment costs and expenses, and continuously raising the proportion of R&amp;D investment while guarding against project investment risks.Regarding operational risk prevention, it recommends conducting supply chain risk control on the basis of improving inventory management, establishing an efficient accounts receivable management mechanism, and enhancing the enterprise's overall operating performance.As for income distribution risk prevention, it is necessary to adjust the stock dividend policy, dynamically adjust the distribution ratio according to the enterprise's cash position to improve financial soundness, explore diversified payment forms such as cash dividends and stock dividends, and strike a balance between shareholder returns and retained reinvestment needs.</w:t>
      </w:r>
    </w:p>
    <w:p w14:paraId="7728EB29" w14:textId="77777777" w:rsidR="00000000" w:rsidRDefault="00000000">
      <w:pPr>
        <w:spacing w:line="400" w:lineRule="exact"/>
        <w:ind w:firstLineChars="200" w:firstLine="486"/>
        <w:rPr>
          <w:color w:val="000000"/>
          <w:szCs w:val="24"/>
        </w:rPr>
      </w:pPr>
      <w:r>
        <w:rPr>
          <w:rFonts w:hint="eastAsia"/>
        </w:rPr>
        <w:t>This paper strives to provide theoretical and practical references for enterprises implementing asset-light operations, helping them achieve sound development in the process of asset-light transformation.</w:t>
      </w:r>
    </w:p>
    <w:p w14:paraId="77D281B2" w14:textId="77777777" w:rsidR="00000000" w:rsidRDefault="00000000">
      <w:pPr>
        <w:spacing w:beforeLines="100" w:before="415" w:line="400" w:lineRule="exact"/>
        <w:ind w:firstLine="0"/>
        <w:rPr>
          <w:rStyle w:val="Chara"/>
        </w:rPr>
      </w:pPr>
      <w:r>
        <w:rPr>
          <w:rStyle w:val="CharChar0"/>
          <w:b/>
          <w:bCs/>
        </w:rPr>
        <w:t>K</w:t>
      </w:r>
      <w:r>
        <w:rPr>
          <w:rStyle w:val="CharChar0"/>
          <w:rFonts w:hint="eastAsia"/>
          <w:b/>
          <w:bCs/>
        </w:rPr>
        <w:t xml:space="preserve">EY </w:t>
      </w:r>
      <w:r>
        <w:rPr>
          <w:rStyle w:val="CharChar0"/>
          <w:b/>
          <w:bCs/>
        </w:rPr>
        <w:t>W</w:t>
      </w:r>
      <w:r>
        <w:rPr>
          <w:rStyle w:val="CharChar0"/>
          <w:rFonts w:hint="eastAsia"/>
          <w:b/>
          <w:bCs/>
        </w:rPr>
        <w:t>ORDS</w:t>
      </w:r>
      <w:r>
        <w:rPr>
          <w:rStyle w:val="CharChar0"/>
          <w:b/>
          <w:bCs/>
        </w:rPr>
        <w:t>:</w:t>
      </w:r>
      <w:r>
        <w:t xml:space="preserve"> </w:t>
      </w:r>
      <w:r>
        <w:rPr>
          <w:rStyle w:val="Chara"/>
          <w:rFonts w:hint="eastAsia"/>
        </w:rPr>
        <w:t>Light asset operation mode; Financial risk; Clothing industry; Entropy weight-topsis method</w:t>
      </w:r>
    </w:p>
    <w:p w14:paraId="61C688F7" w14:textId="77777777" w:rsidR="00000000" w:rsidRDefault="00000000">
      <w:pPr>
        <w:spacing w:beforeLines="50" w:before="207" w:line="400" w:lineRule="exact"/>
        <w:ind w:firstLine="0"/>
      </w:pPr>
      <w:r>
        <w:rPr>
          <w:rStyle w:val="CharChar0"/>
          <w:b/>
          <w:bCs/>
        </w:rPr>
        <w:t xml:space="preserve">Dissertation </w:t>
      </w:r>
      <w:r>
        <w:rPr>
          <w:rStyle w:val="CharChar0"/>
          <w:rFonts w:hint="eastAsia"/>
          <w:b/>
          <w:bCs/>
        </w:rPr>
        <w:t>t</w:t>
      </w:r>
      <w:r>
        <w:rPr>
          <w:rStyle w:val="CharChar0"/>
          <w:b/>
          <w:bCs/>
        </w:rPr>
        <w:t>ype:</w:t>
      </w:r>
      <w:r>
        <w:rPr>
          <w:b/>
          <w:bCs/>
        </w:rPr>
        <w:t xml:space="preserve"> </w:t>
      </w:r>
      <w:r>
        <w:rPr>
          <w:rStyle w:val="Char9"/>
          <w:rFonts w:hint="eastAsia"/>
        </w:rPr>
        <w:t>Application category</w:t>
      </w:r>
    </w:p>
    <w:p w14:paraId="18815CF3" w14:textId="77777777" w:rsidR="00000000" w:rsidRDefault="00000000">
      <w:pPr>
        <w:spacing w:beforeLines="50" w:before="207" w:line="400" w:lineRule="exact"/>
        <w:ind w:firstLine="0"/>
        <w:rPr>
          <w:rStyle w:val="Char8"/>
          <w:rFonts w:hint="eastAsia"/>
        </w:rPr>
        <w:sectPr w:rsidR="00000000">
          <w:headerReference w:type="even" r:id="rId17"/>
          <w:headerReference w:type="default" r:id="rId18"/>
          <w:footerReference w:type="even" r:id="rId19"/>
          <w:footerReference w:type="default" r:id="rId20"/>
          <w:footnotePr>
            <w:numRestart w:val="eachPage"/>
          </w:footnotePr>
          <w:pgSz w:w="11909" w:h="16834"/>
          <w:pgMar w:top="1701" w:right="1701" w:bottom="1418" w:left="1701" w:header="1304" w:footer="1021" w:gutter="0"/>
          <w:pgNumType w:fmt="upperRoman"/>
          <w:cols w:space="720"/>
          <w:docGrid w:type="linesAndChars" w:linePitch="415" w:charSpace="614"/>
        </w:sectPr>
      </w:pPr>
      <w:r>
        <w:rPr>
          <w:rStyle w:val="Char8"/>
          <w:b/>
          <w:bCs/>
        </w:rPr>
        <w:t xml:space="preserve">Subject </w:t>
      </w:r>
      <w:r>
        <w:rPr>
          <w:rStyle w:val="Char8"/>
          <w:rFonts w:hint="eastAsia"/>
          <w:b/>
          <w:bCs/>
        </w:rPr>
        <w:t>s</w:t>
      </w:r>
      <w:r>
        <w:rPr>
          <w:rStyle w:val="Char8"/>
          <w:b/>
          <w:bCs/>
        </w:rPr>
        <w:t>ource:</w:t>
      </w:r>
      <w:r>
        <w:rPr>
          <w:rStyle w:val="Char8"/>
        </w:rPr>
        <w:t xml:space="preserve"> </w:t>
      </w:r>
      <w:r>
        <w:rPr>
          <w:rStyle w:val="Char8"/>
          <w:rFonts w:hint="eastAsia"/>
        </w:rPr>
        <w:t>Other</w:t>
      </w:r>
    </w:p>
    <w:p w14:paraId="35D79B5D" w14:textId="77777777" w:rsidR="00000000" w:rsidRDefault="00000000">
      <w:pPr>
        <w:pStyle w:val="TOC1"/>
        <w:tabs>
          <w:tab w:val="right" w:leader="dot" w:pos="8507"/>
        </w:tabs>
        <w:jc w:val="center"/>
        <w:rPr>
          <w:rStyle w:val="Char8"/>
          <w:rFonts w:hint="eastAsia"/>
          <w:sz w:val="32"/>
          <w:szCs w:val="32"/>
        </w:rPr>
      </w:pPr>
    </w:p>
    <w:p w14:paraId="2B700465" w14:textId="77777777" w:rsidR="00000000" w:rsidRDefault="00000000">
      <w:pPr>
        <w:pStyle w:val="TOC1"/>
        <w:tabs>
          <w:tab w:val="right" w:leader="dot" w:pos="8507"/>
        </w:tabs>
        <w:jc w:val="center"/>
        <w:rPr>
          <w:rStyle w:val="Char8"/>
          <w:rFonts w:hint="eastAsia"/>
          <w:sz w:val="32"/>
          <w:szCs w:val="32"/>
        </w:rPr>
      </w:pPr>
      <w:r>
        <w:rPr>
          <w:rStyle w:val="Char8"/>
          <w:rFonts w:hint="eastAsia"/>
          <w:sz w:val="32"/>
          <w:szCs w:val="32"/>
        </w:rPr>
        <w:t>目 录</w:t>
      </w:r>
    </w:p>
    <w:p w14:paraId="036566B8" w14:textId="77777777" w:rsidR="00000000" w:rsidRDefault="00000000">
      <w:pPr>
        <w:pStyle w:val="TOC1"/>
        <w:tabs>
          <w:tab w:val="right" w:leader="dot" w:pos="8507"/>
        </w:tabs>
      </w:pPr>
      <w:r>
        <w:rPr>
          <w:rStyle w:val="Char8"/>
          <w:rFonts w:hint="eastAsia"/>
        </w:rPr>
        <w:fldChar w:fldCharType="begin"/>
      </w:r>
      <w:r>
        <w:rPr>
          <w:rStyle w:val="Char8"/>
          <w:rFonts w:hint="eastAsia"/>
        </w:rPr>
        <w:instrText xml:space="preserve">TOC \o "1-3" \h \u </w:instrText>
      </w:r>
      <w:r>
        <w:rPr>
          <w:rStyle w:val="Char8"/>
          <w:rFonts w:hint="eastAsia"/>
        </w:rPr>
        <w:fldChar w:fldCharType="separate"/>
      </w:r>
      <w:hyperlink w:anchor="_Toc6565" w:history="1">
        <w:r>
          <w:rPr>
            <w:rFonts w:hint="eastAsia"/>
          </w:rPr>
          <w:t>第一章 绪论</w:t>
        </w:r>
        <w:r>
          <w:tab/>
        </w:r>
        <w:fldSimple w:instr=" PAGEREF _Toc6565 \h ">
          <w:r>
            <w:t>1</w:t>
          </w:r>
        </w:fldSimple>
      </w:hyperlink>
    </w:p>
    <w:p w14:paraId="64225405" w14:textId="77777777" w:rsidR="00000000" w:rsidRDefault="00000000">
      <w:pPr>
        <w:pStyle w:val="TOC2"/>
        <w:tabs>
          <w:tab w:val="right" w:leader="dot" w:pos="8507"/>
        </w:tabs>
        <w:ind w:firstLine="260"/>
      </w:pPr>
      <w:hyperlink w:anchor="_Toc26811" w:history="1">
        <w:r>
          <w:rPr>
            <w:rFonts w:hint="eastAsia"/>
          </w:rPr>
          <w:t>第一节</w:t>
        </w:r>
        <w:r>
          <w:rPr>
            <w:rFonts w:hint="eastAsia"/>
          </w:rPr>
          <w:t xml:space="preserve"> </w:t>
        </w:r>
        <w:r>
          <w:t>研究背景和研究意义</w:t>
        </w:r>
        <w:r>
          <w:tab/>
        </w:r>
        <w:fldSimple w:instr=" PAGEREF _Toc26811 \h ">
          <w:r>
            <w:t>1</w:t>
          </w:r>
        </w:fldSimple>
      </w:hyperlink>
    </w:p>
    <w:p w14:paraId="13FE1FFB" w14:textId="77777777" w:rsidR="00000000" w:rsidRDefault="00000000">
      <w:pPr>
        <w:pStyle w:val="TOC3"/>
        <w:tabs>
          <w:tab w:val="right" w:leader="dot" w:pos="8507"/>
        </w:tabs>
        <w:ind w:firstLine="520"/>
      </w:pPr>
      <w:hyperlink w:anchor="_Toc10806" w:history="1">
        <w:r>
          <w:rPr>
            <w:rFonts w:hint="eastAsia"/>
          </w:rPr>
          <w:t>一、</w:t>
        </w:r>
        <w:r>
          <w:rPr>
            <w:rFonts w:hint="eastAsia"/>
          </w:rPr>
          <w:t xml:space="preserve"> </w:t>
        </w:r>
        <w:r>
          <w:rPr>
            <w:rFonts w:hint="eastAsia"/>
          </w:rPr>
          <w:t>研究背景</w:t>
        </w:r>
        <w:r>
          <w:tab/>
        </w:r>
        <w:fldSimple w:instr=" PAGEREF _Toc10806 \h ">
          <w:r>
            <w:t>1</w:t>
          </w:r>
        </w:fldSimple>
      </w:hyperlink>
    </w:p>
    <w:p w14:paraId="171DA3B2" w14:textId="77777777" w:rsidR="00000000" w:rsidRDefault="00000000">
      <w:pPr>
        <w:pStyle w:val="TOC3"/>
        <w:tabs>
          <w:tab w:val="right" w:leader="dot" w:pos="8507"/>
        </w:tabs>
        <w:ind w:firstLine="520"/>
      </w:pPr>
      <w:hyperlink w:anchor="_Toc10816" w:history="1">
        <w:r>
          <w:rPr>
            <w:rFonts w:hint="eastAsia"/>
          </w:rPr>
          <w:t>二、</w:t>
        </w:r>
        <w:r>
          <w:rPr>
            <w:rFonts w:hint="eastAsia"/>
          </w:rPr>
          <w:t xml:space="preserve"> </w:t>
        </w:r>
        <w:r>
          <w:rPr>
            <w:rFonts w:hint="eastAsia"/>
          </w:rPr>
          <w:t>研究意义</w:t>
        </w:r>
        <w:r>
          <w:tab/>
        </w:r>
        <w:fldSimple w:instr=" PAGEREF _Toc10816 \h ">
          <w:r>
            <w:t>2</w:t>
          </w:r>
        </w:fldSimple>
      </w:hyperlink>
    </w:p>
    <w:p w14:paraId="671DB063" w14:textId="77777777" w:rsidR="00000000" w:rsidRDefault="00000000">
      <w:pPr>
        <w:pStyle w:val="TOC2"/>
        <w:tabs>
          <w:tab w:val="right" w:leader="dot" w:pos="8507"/>
        </w:tabs>
        <w:ind w:firstLine="260"/>
      </w:pPr>
      <w:hyperlink w:anchor="_Toc10915" w:history="1">
        <w:r>
          <w:rPr>
            <w:rFonts w:hint="eastAsia"/>
          </w:rPr>
          <w:t>第二节</w:t>
        </w:r>
        <w:r>
          <w:rPr>
            <w:rFonts w:hint="eastAsia"/>
          </w:rPr>
          <w:t xml:space="preserve"> </w:t>
        </w:r>
        <w:r>
          <w:t>国内外文献综述</w:t>
        </w:r>
        <w:r>
          <w:tab/>
        </w:r>
        <w:fldSimple w:instr=" PAGEREF _Toc10915 \h ">
          <w:r>
            <w:t>2</w:t>
          </w:r>
        </w:fldSimple>
      </w:hyperlink>
    </w:p>
    <w:p w14:paraId="7904C62A" w14:textId="77777777" w:rsidR="00000000" w:rsidRDefault="00000000">
      <w:pPr>
        <w:pStyle w:val="TOC3"/>
        <w:tabs>
          <w:tab w:val="right" w:leader="dot" w:pos="8507"/>
        </w:tabs>
        <w:ind w:firstLine="520"/>
      </w:pPr>
      <w:hyperlink w:anchor="_Toc32299" w:history="1">
        <w:r>
          <w:rPr>
            <w:rFonts w:hint="eastAsia"/>
          </w:rPr>
          <w:t>一、</w:t>
        </w:r>
        <w:r>
          <w:rPr>
            <w:rFonts w:hint="eastAsia"/>
          </w:rPr>
          <w:t xml:space="preserve"> </w:t>
        </w:r>
        <w:r>
          <w:rPr>
            <w:rFonts w:hint="eastAsia"/>
          </w:rPr>
          <w:t>轻资产概念相关研究</w:t>
        </w:r>
        <w:r>
          <w:tab/>
        </w:r>
        <w:fldSimple w:instr=" PAGEREF _Toc32299 \h ">
          <w:r>
            <w:t>2</w:t>
          </w:r>
        </w:fldSimple>
      </w:hyperlink>
    </w:p>
    <w:p w14:paraId="4733314B" w14:textId="77777777" w:rsidR="00000000" w:rsidRDefault="00000000">
      <w:pPr>
        <w:pStyle w:val="TOC3"/>
        <w:tabs>
          <w:tab w:val="right" w:leader="dot" w:pos="8507"/>
        </w:tabs>
        <w:ind w:firstLine="520"/>
      </w:pPr>
      <w:hyperlink w:anchor="_Toc17137" w:history="1">
        <w:r>
          <w:rPr>
            <w:rFonts w:hint="eastAsia"/>
          </w:rPr>
          <w:t>二、</w:t>
        </w:r>
        <w:r>
          <w:rPr>
            <w:rFonts w:hint="eastAsia"/>
          </w:rPr>
          <w:t xml:space="preserve"> </w:t>
        </w:r>
        <w:r>
          <w:rPr>
            <w:rFonts w:hint="eastAsia"/>
          </w:rPr>
          <w:t>轻资产运营模式相关研究</w:t>
        </w:r>
        <w:r>
          <w:tab/>
        </w:r>
        <w:fldSimple w:instr=" PAGEREF _Toc17137 \h ">
          <w:r>
            <w:t>4</w:t>
          </w:r>
        </w:fldSimple>
      </w:hyperlink>
    </w:p>
    <w:p w14:paraId="11F6E3CA" w14:textId="77777777" w:rsidR="00000000" w:rsidRDefault="00000000">
      <w:pPr>
        <w:pStyle w:val="TOC3"/>
        <w:tabs>
          <w:tab w:val="right" w:leader="dot" w:pos="8507"/>
        </w:tabs>
        <w:ind w:firstLine="520"/>
      </w:pPr>
      <w:hyperlink w:anchor="_Toc15924" w:history="1">
        <w:r>
          <w:rPr>
            <w:rFonts w:hint="eastAsia"/>
          </w:rPr>
          <w:t>三、</w:t>
        </w:r>
        <w:r>
          <w:rPr>
            <w:rFonts w:hint="eastAsia"/>
          </w:rPr>
          <w:t xml:space="preserve"> </w:t>
        </w:r>
        <w:r>
          <w:rPr>
            <w:rFonts w:hint="eastAsia"/>
          </w:rPr>
          <w:t>财务风险相关研究</w:t>
        </w:r>
        <w:r>
          <w:tab/>
        </w:r>
        <w:fldSimple w:instr=" PAGEREF _Toc15924 \h ">
          <w:r>
            <w:t>5</w:t>
          </w:r>
        </w:fldSimple>
      </w:hyperlink>
    </w:p>
    <w:p w14:paraId="478D722E" w14:textId="77777777" w:rsidR="00000000" w:rsidRDefault="00000000">
      <w:pPr>
        <w:pStyle w:val="TOC3"/>
        <w:tabs>
          <w:tab w:val="right" w:leader="dot" w:pos="8507"/>
        </w:tabs>
        <w:ind w:firstLine="520"/>
      </w:pPr>
      <w:hyperlink w:anchor="_Toc6298" w:history="1">
        <w:r>
          <w:rPr>
            <w:rFonts w:hint="eastAsia"/>
          </w:rPr>
          <w:t>四、</w:t>
        </w:r>
        <w:r>
          <w:rPr>
            <w:rFonts w:hint="eastAsia"/>
          </w:rPr>
          <w:t xml:space="preserve"> </w:t>
        </w:r>
        <w:r>
          <w:rPr>
            <w:rFonts w:hint="eastAsia"/>
          </w:rPr>
          <w:t>轻资产运营模式对企业财务风险影响相关研究</w:t>
        </w:r>
        <w:r>
          <w:tab/>
        </w:r>
        <w:fldSimple w:instr=" PAGEREF _Toc6298 \h ">
          <w:r>
            <w:t>9</w:t>
          </w:r>
        </w:fldSimple>
      </w:hyperlink>
    </w:p>
    <w:p w14:paraId="18623896" w14:textId="77777777" w:rsidR="00000000" w:rsidRDefault="00000000">
      <w:pPr>
        <w:pStyle w:val="TOC3"/>
        <w:tabs>
          <w:tab w:val="right" w:leader="dot" w:pos="8507"/>
        </w:tabs>
        <w:ind w:firstLine="520"/>
      </w:pPr>
      <w:hyperlink w:anchor="_Toc27146" w:history="1">
        <w:r>
          <w:rPr>
            <w:rFonts w:hint="eastAsia"/>
          </w:rPr>
          <w:t>五、</w:t>
        </w:r>
        <w:r>
          <w:rPr>
            <w:rFonts w:hint="eastAsia"/>
          </w:rPr>
          <w:t xml:space="preserve"> </w:t>
        </w:r>
        <w:r>
          <w:rPr>
            <w:rFonts w:hint="eastAsia"/>
          </w:rPr>
          <w:t>文献评述</w:t>
        </w:r>
        <w:r>
          <w:tab/>
        </w:r>
        <w:fldSimple w:instr=" PAGEREF _Toc27146 \h ">
          <w:r>
            <w:t>11</w:t>
          </w:r>
        </w:fldSimple>
      </w:hyperlink>
    </w:p>
    <w:p w14:paraId="0B219F39" w14:textId="77777777" w:rsidR="00000000" w:rsidRDefault="00000000">
      <w:pPr>
        <w:pStyle w:val="TOC2"/>
        <w:tabs>
          <w:tab w:val="right" w:leader="dot" w:pos="8507"/>
        </w:tabs>
        <w:ind w:firstLine="260"/>
      </w:pPr>
      <w:hyperlink w:anchor="_Toc17477" w:history="1">
        <w:r>
          <w:rPr>
            <w:rFonts w:hint="eastAsia"/>
          </w:rPr>
          <w:t>第三节</w:t>
        </w:r>
        <w:r>
          <w:rPr>
            <w:rFonts w:hint="eastAsia"/>
          </w:rPr>
          <w:t xml:space="preserve"> </w:t>
        </w:r>
        <w:r>
          <w:t>研究内容与研究方法</w:t>
        </w:r>
        <w:r>
          <w:tab/>
        </w:r>
        <w:fldSimple w:instr=" PAGEREF _Toc17477 \h ">
          <w:r>
            <w:t>11</w:t>
          </w:r>
        </w:fldSimple>
      </w:hyperlink>
    </w:p>
    <w:p w14:paraId="23E6012F" w14:textId="77777777" w:rsidR="00000000" w:rsidRDefault="00000000">
      <w:pPr>
        <w:pStyle w:val="TOC3"/>
        <w:tabs>
          <w:tab w:val="right" w:leader="dot" w:pos="8507"/>
        </w:tabs>
        <w:ind w:firstLine="520"/>
      </w:pPr>
      <w:hyperlink w:anchor="_Toc14497" w:history="1">
        <w:r>
          <w:rPr>
            <w:rFonts w:hint="eastAsia"/>
          </w:rPr>
          <w:t>一、</w:t>
        </w:r>
        <w:r>
          <w:rPr>
            <w:rFonts w:hint="eastAsia"/>
          </w:rPr>
          <w:t xml:space="preserve"> </w:t>
        </w:r>
        <w:r>
          <w:rPr>
            <w:rFonts w:hint="eastAsia"/>
          </w:rPr>
          <w:t>研究内容</w:t>
        </w:r>
        <w:r>
          <w:tab/>
        </w:r>
        <w:fldSimple w:instr=" PAGEREF _Toc14497 \h ">
          <w:r>
            <w:t>11</w:t>
          </w:r>
        </w:fldSimple>
      </w:hyperlink>
    </w:p>
    <w:p w14:paraId="49C839BF" w14:textId="77777777" w:rsidR="00000000" w:rsidRDefault="00000000">
      <w:pPr>
        <w:pStyle w:val="TOC3"/>
        <w:tabs>
          <w:tab w:val="right" w:leader="dot" w:pos="8507"/>
        </w:tabs>
        <w:ind w:firstLine="520"/>
      </w:pPr>
      <w:hyperlink w:anchor="_Toc18006" w:history="1">
        <w:r>
          <w:rPr>
            <w:rFonts w:hint="eastAsia"/>
          </w:rPr>
          <w:t>二、</w:t>
        </w:r>
        <w:r>
          <w:rPr>
            <w:rFonts w:hint="eastAsia"/>
          </w:rPr>
          <w:t xml:space="preserve"> </w:t>
        </w:r>
        <w:r>
          <w:rPr>
            <w:rFonts w:hint="eastAsia"/>
          </w:rPr>
          <w:t>研究方法</w:t>
        </w:r>
        <w:r>
          <w:tab/>
        </w:r>
        <w:fldSimple w:instr=" PAGEREF _Toc18006 \h ">
          <w:r>
            <w:t>12</w:t>
          </w:r>
        </w:fldSimple>
      </w:hyperlink>
    </w:p>
    <w:p w14:paraId="215C2DC7" w14:textId="77777777" w:rsidR="00000000" w:rsidRDefault="00000000">
      <w:pPr>
        <w:pStyle w:val="TOC1"/>
        <w:tabs>
          <w:tab w:val="right" w:leader="dot" w:pos="8507"/>
        </w:tabs>
      </w:pPr>
      <w:hyperlink w:anchor="_Toc16645" w:history="1">
        <w:r>
          <w:t>第二章 相关概念及理论基础</w:t>
        </w:r>
        <w:r>
          <w:tab/>
        </w:r>
        <w:fldSimple w:instr=" PAGEREF _Toc16645 \h ">
          <w:r>
            <w:t>15</w:t>
          </w:r>
        </w:fldSimple>
      </w:hyperlink>
    </w:p>
    <w:p w14:paraId="6854F984" w14:textId="77777777" w:rsidR="00000000" w:rsidRDefault="00000000">
      <w:pPr>
        <w:pStyle w:val="TOC2"/>
        <w:tabs>
          <w:tab w:val="right" w:leader="dot" w:pos="8507"/>
        </w:tabs>
        <w:ind w:firstLine="260"/>
      </w:pPr>
      <w:hyperlink w:anchor="_Toc30974" w:history="1">
        <w:r>
          <w:rPr>
            <w:rFonts w:hint="eastAsia"/>
          </w:rPr>
          <w:t>第一节</w:t>
        </w:r>
        <w:r>
          <w:rPr>
            <w:rFonts w:hint="eastAsia"/>
          </w:rPr>
          <w:t xml:space="preserve"> </w:t>
        </w:r>
        <w:r>
          <w:t>概念界定</w:t>
        </w:r>
        <w:r>
          <w:tab/>
        </w:r>
        <w:fldSimple w:instr=" PAGEREF _Toc30974 \h ">
          <w:r>
            <w:t>15</w:t>
          </w:r>
        </w:fldSimple>
      </w:hyperlink>
    </w:p>
    <w:p w14:paraId="1EF52F12" w14:textId="77777777" w:rsidR="00000000" w:rsidRDefault="00000000">
      <w:pPr>
        <w:pStyle w:val="TOC3"/>
        <w:tabs>
          <w:tab w:val="right" w:leader="dot" w:pos="8507"/>
        </w:tabs>
        <w:ind w:firstLine="520"/>
      </w:pPr>
      <w:hyperlink w:anchor="_Toc24243" w:history="1">
        <w:r>
          <w:rPr>
            <w:rFonts w:hint="eastAsia"/>
          </w:rPr>
          <w:t>一、</w:t>
        </w:r>
        <w:r>
          <w:rPr>
            <w:rFonts w:hint="eastAsia"/>
          </w:rPr>
          <w:t xml:space="preserve"> </w:t>
        </w:r>
        <w:r>
          <w:rPr>
            <w:rFonts w:hint="eastAsia"/>
          </w:rPr>
          <w:t>轻资产</w:t>
        </w:r>
        <w:r>
          <w:tab/>
        </w:r>
        <w:fldSimple w:instr=" PAGEREF _Toc24243 \h ">
          <w:r>
            <w:t>15</w:t>
          </w:r>
        </w:fldSimple>
      </w:hyperlink>
    </w:p>
    <w:p w14:paraId="3F1B9184" w14:textId="77777777" w:rsidR="00000000" w:rsidRDefault="00000000">
      <w:pPr>
        <w:pStyle w:val="TOC3"/>
        <w:tabs>
          <w:tab w:val="right" w:leader="dot" w:pos="8507"/>
        </w:tabs>
        <w:ind w:firstLine="520"/>
      </w:pPr>
      <w:hyperlink w:anchor="_Toc13222" w:history="1">
        <w:r>
          <w:rPr>
            <w:rFonts w:hint="eastAsia"/>
          </w:rPr>
          <w:t>二、</w:t>
        </w:r>
        <w:r>
          <w:rPr>
            <w:rFonts w:hint="eastAsia"/>
          </w:rPr>
          <w:t xml:space="preserve"> </w:t>
        </w:r>
        <w:r>
          <w:t>轻资产运营</w:t>
        </w:r>
        <w:r>
          <w:rPr>
            <w:rFonts w:hint="eastAsia"/>
          </w:rPr>
          <w:t>模式</w:t>
        </w:r>
        <w:r>
          <w:tab/>
        </w:r>
        <w:fldSimple w:instr=" PAGEREF _Toc13222 \h ">
          <w:r>
            <w:t>15</w:t>
          </w:r>
        </w:fldSimple>
      </w:hyperlink>
    </w:p>
    <w:p w14:paraId="1FAA55D6" w14:textId="77777777" w:rsidR="00000000" w:rsidRDefault="00000000">
      <w:pPr>
        <w:pStyle w:val="TOC3"/>
        <w:tabs>
          <w:tab w:val="right" w:leader="dot" w:pos="8507"/>
        </w:tabs>
        <w:ind w:firstLine="520"/>
      </w:pPr>
      <w:hyperlink w:anchor="_Toc21957" w:history="1">
        <w:r>
          <w:rPr>
            <w:rFonts w:hint="eastAsia"/>
            <w:bCs/>
          </w:rPr>
          <w:t>三、</w:t>
        </w:r>
        <w:r>
          <w:rPr>
            <w:rFonts w:hint="eastAsia"/>
            <w:bCs/>
          </w:rPr>
          <w:t xml:space="preserve"> </w:t>
        </w:r>
        <w:r>
          <w:rPr>
            <w:rFonts w:hint="eastAsia"/>
            <w:bCs/>
          </w:rPr>
          <w:t>财务风险</w:t>
        </w:r>
        <w:r>
          <w:tab/>
        </w:r>
        <w:fldSimple w:instr=" PAGEREF _Toc21957 \h ">
          <w:r>
            <w:t>17</w:t>
          </w:r>
        </w:fldSimple>
      </w:hyperlink>
    </w:p>
    <w:p w14:paraId="64ABC742" w14:textId="77777777" w:rsidR="00000000" w:rsidRDefault="00000000">
      <w:pPr>
        <w:pStyle w:val="TOC3"/>
        <w:tabs>
          <w:tab w:val="right" w:leader="dot" w:pos="8507"/>
        </w:tabs>
        <w:ind w:firstLine="520"/>
      </w:pPr>
      <w:hyperlink w:anchor="_Toc13044" w:history="1">
        <w:r>
          <w:rPr>
            <w:rFonts w:hint="eastAsia"/>
            <w:bCs/>
          </w:rPr>
          <w:t>四、</w:t>
        </w:r>
        <w:r>
          <w:rPr>
            <w:rFonts w:hint="eastAsia"/>
            <w:bCs/>
          </w:rPr>
          <w:t xml:space="preserve"> </w:t>
        </w:r>
        <w:r>
          <w:rPr>
            <w:rFonts w:hint="eastAsia"/>
            <w:bCs/>
          </w:rPr>
          <w:t>财务风险管理</w:t>
        </w:r>
        <w:r>
          <w:tab/>
        </w:r>
        <w:fldSimple w:instr=" PAGEREF _Toc13044 \h ">
          <w:r>
            <w:t>18</w:t>
          </w:r>
        </w:fldSimple>
      </w:hyperlink>
    </w:p>
    <w:p w14:paraId="2D082AFC" w14:textId="77777777" w:rsidR="00000000" w:rsidRDefault="00000000">
      <w:pPr>
        <w:pStyle w:val="TOC2"/>
        <w:tabs>
          <w:tab w:val="right" w:leader="dot" w:pos="8507"/>
        </w:tabs>
        <w:ind w:firstLine="260"/>
      </w:pPr>
      <w:hyperlink w:anchor="_Toc7540" w:history="1">
        <w:r>
          <w:rPr>
            <w:rFonts w:cs="宋体" w:hint="eastAsia"/>
            <w:lang w:bidi="ar"/>
          </w:rPr>
          <w:t>第二节</w:t>
        </w:r>
        <w:r>
          <w:rPr>
            <w:rFonts w:cs="宋体" w:hint="eastAsia"/>
            <w:lang w:bidi="ar"/>
          </w:rPr>
          <w:t xml:space="preserve"> </w:t>
        </w:r>
        <w:r>
          <w:t>理论基础</w:t>
        </w:r>
        <w:r>
          <w:tab/>
        </w:r>
        <w:fldSimple w:instr=" PAGEREF _Toc7540 \h ">
          <w:r>
            <w:t>19</w:t>
          </w:r>
        </w:fldSimple>
      </w:hyperlink>
    </w:p>
    <w:p w14:paraId="2D65D0A0" w14:textId="77777777" w:rsidR="00000000" w:rsidRDefault="00000000">
      <w:pPr>
        <w:pStyle w:val="TOC3"/>
        <w:tabs>
          <w:tab w:val="right" w:leader="dot" w:pos="8507"/>
        </w:tabs>
        <w:ind w:firstLine="520"/>
      </w:pPr>
      <w:hyperlink w:anchor="_Toc12731" w:history="1">
        <w:r>
          <w:rPr>
            <w:rFonts w:hint="eastAsia"/>
            <w:bCs/>
          </w:rPr>
          <w:t>一、</w:t>
        </w:r>
        <w:r>
          <w:rPr>
            <w:rFonts w:hint="eastAsia"/>
            <w:bCs/>
          </w:rPr>
          <w:t xml:space="preserve"> </w:t>
        </w:r>
        <w:r>
          <w:t>劳动分工理论</w:t>
        </w:r>
        <w:r>
          <w:tab/>
        </w:r>
        <w:fldSimple w:instr=" PAGEREF _Toc12731 \h ">
          <w:r>
            <w:t>19</w:t>
          </w:r>
        </w:fldSimple>
      </w:hyperlink>
    </w:p>
    <w:p w14:paraId="3601641D" w14:textId="77777777" w:rsidR="00000000" w:rsidRDefault="00000000">
      <w:pPr>
        <w:pStyle w:val="TOC3"/>
        <w:tabs>
          <w:tab w:val="right" w:leader="dot" w:pos="8507"/>
        </w:tabs>
        <w:ind w:firstLine="520"/>
      </w:pPr>
      <w:hyperlink w:anchor="_Toc11201" w:history="1">
        <w:r>
          <w:rPr>
            <w:rFonts w:hint="eastAsia"/>
          </w:rPr>
          <w:t>二、</w:t>
        </w:r>
        <w:r>
          <w:rPr>
            <w:rFonts w:hint="eastAsia"/>
          </w:rPr>
          <w:t xml:space="preserve"> </w:t>
        </w:r>
        <w:r>
          <w:t>微笑曲线理论</w:t>
        </w:r>
        <w:r>
          <w:tab/>
        </w:r>
        <w:fldSimple w:instr=" PAGEREF _Toc11201 \h ">
          <w:r>
            <w:t>19</w:t>
          </w:r>
        </w:fldSimple>
      </w:hyperlink>
    </w:p>
    <w:p w14:paraId="6E6A8C24" w14:textId="77777777" w:rsidR="00000000" w:rsidRDefault="00000000">
      <w:pPr>
        <w:pStyle w:val="TOC3"/>
        <w:tabs>
          <w:tab w:val="right" w:leader="dot" w:pos="8507"/>
        </w:tabs>
        <w:ind w:firstLine="520"/>
      </w:pPr>
      <w:hyperlink w:anchor="_Toc17038" w:history="1">
        <w:r>
          <w:rPr>
            <w:rFonts w:hint="eastAsia"/>
          </w:rPr>
          <w:t>三、</w:t>
        </w:r>
        <w:r>
          <w:rPr>
            <w:rFonts w:hint="eastAsia"/>
          </w:rPr>
          <w:t xml:space="preserve"> </w:t>
        </w:r>
        <w:r>
          <w:rPr>
            <w:rFonts w:hint="eastAsia"/>
          </w:rPr>
          <w:t>全面</w:t>
        </w:r>
        <w:r>
          <w:t>风险管理理论</w:t>
        </w:r>
        <w:r>
          <w:tab/>
        </w:r>
        <w:fldSimple w:instr=" PAGEREF _Toc17038 \h ">
          <w:r>
            <w:t>21</w:t>
          </w:r>
        </w:fldSimple>
      </w:hyperlink>
    </w:p>
    <w:p w14:paraId="088F3898" w14:textId="77777777" w:rsidR="00000000" w:rsidRDefault="00000000">
      <w:pPr>
        <w:pStyle w:val="TOC1"/>
        <w:tabs>
          <w:tab w:val="right" w:leader="dot" w:pos="8507"/>
        </w:tabs>
      </w:pPr>
      <w:hyperlink w:anchor="_Toc13119" w:history="1">
        <w:r>
          <w:t>第三章 M公司概况及轻资产运营模式现状分析</w:t>
        </w:r>
        <w:r>
          <w:tab/>
        </w:r>
        <w:fldSimple w:instr=" PAGEREF _Toc13119 \h ">
          <w:r>
            <w:t>23</w:t>
          </w:r>
        </w:fldSimple>
      </w:hyperlink>
    </w:p>
    <w:p w14:paraId="797AC7E7" w14:textId="77777777" w:rsidR="00000000" w:rsidRDefault="00000000">
      <w:pPr>
        <w:pStyle w:val="TOC2"/>
        <w:tabs>
          <w:tab w:val="right" w:leader="dot" w:pos="8507"/>
        </w:tabs>
        <w:ind w:firstLine="260"/>
      </w:pPr>
      <w:hyperlink w:anchor="_Toc14034" w:history="1">
        <w:r>
          <w:rPr>
            <w:rFonts w:hint="eastAsia"/>
          </w:rPr>
          <w:t>第一节</w:t>
        </w:r>
        <w:r>
          <w:rPr>
            <w:rFonts w:hint="eastAsia"/>
          </w:rPr>
          <w:t xml:space="preserve"> </w:t>
        </w:r>
        <w:r>
          <w:t>行业概况</w:t>
        </w:r>
        <w:r>
          <w:tab/>
        </w:r>
        <w:fldSimple w:instr=" PAGEREF _Toc14034 \h ">
          <w:r>
            <w:t>23</w:t>
          </w:r>
        </w:fldSimple>
      </w:hyperlink>
    </w:p>
    <w:p w14:paraId="7653DAF5" w14:textId="77777777" w:rsidR="00000000" w:rsidRDefault="00000000">
      <w:pPr>
        <w:pStyle w:val="TOC3"/>
        <w:tabs>
          <w:tab w:val="right" w:leader="dot" w:pos="8507"/>
        </w:tabs>
        <w:ind w:firstLine="520"/>
      </w:pPr>
      <w:hyperlink w:anchor="_Toc3158" w:history="1">
        <w:r>
          <w:rPr>
            <w:rFonts w:hint="eastAsia"/>
          </w:rPr>
          <w:t>一、</w:t>
        </w:r>
        <w:r>
          <w:rPr>
            <w:rFonts w:hint="eastAsia"/>
          </w:rPr>
          <w:t xml:space="preserve"> </w:t>
        </w:r>
        <w:r>
          <w:rPr>
            <w:rFonts w:hint="eastAsia"/>
          </w:rPr>
          <w:t>服装行业发展现状</w:t>
        </w:r>
        <w:r>
          <w:tab/>
        </w:r>
        <w:fldSimple w:instr=" PAGEREF _Toc3158 \h ">
          <w:r>
            <w:t>23</w:t>
          </w:r>
        </w:fldSimple>
      </w:hyperlink>
    </w:p>
    <w:p w14:paraId="0A03D488" w14:textId="77777777" w:rsidR="00000000" w:rsidRDefault="00000000">
      <w:pPr>
        <w:pStyle w:val="TOC3"/>
        <w:tabs>
          <w:tab w:val="right" w:leader="dot" w:pos="8507"/>
        </w:tabs>
        <w:ind w:firstLine="520"/>
      </w:pPr>
      <w:hyperlink w:anchor="_Toc1925" w:history="1">
        <w:r>
          <w:rPr>
            <w:rFonts w:hint="eastAsia"/>
          </w:rPr>
          <w:t>二、</w:t>
        </w:r>
        <w:r>
          <w:rPr>
            <w:rFonts w:hint="eastAsia"/>
          </w:rPr>
          <w:t xml:space="preserve"> </w:t>
        </w:r>
        <w:r>
          <w:rPr>
            <w:rFonts w:hint="eastAsia"/>
          </w:rPr>
          <w:t>轻资产运营模式在服装行业的应用</w:t>
        </w:r>
        <w:r>
          <w:tab/>
        </w:r>
        <w:fldSimple w:instr=" PAGEREF _Toc1925 \h ">
          <w:r>
            <w:t>23</w:t>
          </w:r>
        </w:fldSimple>
      </w:hyperlink>
    </w:p>
    <w:p w14:paraId="4FFD0BB2" w14:textId="77777777" w:rsidR="00000000" w:rsidRDefault="00000000">
      <w:pPr>
        <w:pStyle w:val="TOC2"/>
        <w:tabs>
          <w:tab w:val="right" w:leader="dot" w:pos="8507"/>
        </w:tabs>
        <w:ind w:firstLine="260"/>
      </w:pPr>
      <w:hyperlink w:anchor="_Toc3447" w:history="1">
        <w:r>
          <w:rPr>
            <w:rFonts w:hint="eastAsia"/>
          </w:rPr>
          <w:t>第二节</w:t>
        </w:r>
        <w:r>
          <w:rPr>
            <w:rFonts w:hint="eastAsia"/>
          </w:rPr>
          <w:t xml:space="preserve"> </w:t>
        </w:r>
        <w:r>
          <w:t>M</w:t>
        </w:r>
        <w:r>
          <w:t>公司概况</w:t>
        </w:r>
        <w:r>
          <w:tab/>
        </w:r>
        <w:fldSimple w:instr=" PAGEREF _Toc3447 \h ">
          <w:r>
            <w:t>24</w:t>
          </w:r>
        </w:fldSimple>
      </w:hyperlink>
    </w:p>
    <w:p w14:paraId="39B67E89" w14:textId="77777777" w:rsidR="00000000" w:rsidRDefault="00000000">
      <w:pPr>
        <w:pStyle w:val="TOC3"/>
        <w:tabs>
          <w:tab w:val="right" w:leader="dot" w:pos="8507"/>
        </w:tabs>
        <w:ind w:firstLine="520"/>
      </w:pPr>
      <w:hyperlink w:anchor="_Toc5395" w:history="1">
        <w:r>
          <w:rPr>
            <w:rFonts w:hint="eastAsia"/>
          </w:rPr>
          <w:t>一、</w:t>
        </w:r>
        <w:r>
          <w:rPr>
            <w:rFonts w:hint="eastAsia"/>
          </w:rPr>
          <w:t xml:space="preserve"> M</w:t>
        </w:r>
        <w:r>
          <w:rPr>
            <w:rFonts w:hint="eastAsia"/>
          </w:rPr>
          <w:t>公司基本情况</w:t>
        </w:r>
        <w:r>
          <w:tab/>
        </w:r>
        <w:fldSimple w:instr=" PAGEREF _Toc5395 \h ">
          <w:r>
            <w:t>24</w:t>
          </w:r>
        </w:fldSimple>
      </w:hyperlink>
    </w:p>
    <w:p w14:paraId="29212390" w14:textId="77777777" w:rsidR="00000000" w:rsidRDefault="00000000">
      <w:pPr>
        <w:pStyle w:val="TOC3"/>
        <w:tabs>
          <w:tab w:val="right" w:leader="dot" w:pos="8507"/>
        </w:tabs>
        <w:ind w:firstLine="520"/>
      </w:pPr>
      <w:hyperlink w:anchor="_Toc29209" w:history="1">
        <w:r>
          <w:rPr>
            <w:rFonts w:hint="eastAsia"/>
            <w:bCs/>
          </w:rPr>
          <w:t>二、</w:t>
        </w:r>
        <w:r>
          <w:rPr>
            <w:rFonts w:hint="eastAsia"/>
            <w:bCs/>
          </w:rPr>
          <w:t xml:space="preserve"> M</w:t>
        </w:r>
        <w:r>
          <w:rPr>
            <w:rFonts w:hint="eastAsia"/>
            <w:bCs/>
          </w:rPr>
          <w:t>公司的发展历程</w:t>
        </w:r>
        <w:r>
          <w:tab/>
        </w:r>
        <w:fldSimple w:instr=" PAGEREF _Toc29209 \h ">
          <w:r>
            <w:t>25</w:t>
          </w:r>
        </w:fldSimple>
      </w:hyperlink>
    </w:p>
    <w:p w14:paraId="775E2453" w14:textId="77777777" w:rsidR="00000000" w:rsidRDefault="00000000">
      <w:pPr>
        <w:pStyle w:val="TOC2"/>
        <w:tabs>
          <w:tab w:val="right" w:leader="dot" w:pos="8507"/>
        </w:tabs>
        <w:ind w:firstLine="260"/>
      </w:pPr>
      <w:hyperlink w:anchor="_Toc32490" w:history="1">
        <w:r>
          <w:rPr>
            <w:rFonts w:hint="eastAsia"/>
          </w:rPr>
          <w:t>第三节</w:t>
        </w:r>
        <w:r>
          <w:rPr>
            <w:rFonts w:hint="eastAsia"/>
          </w:rPr>
          <w:t xml:space="preserve"> </w:t>
        </w:r>
        <w:r>
          <w:t>M</w:t>
        </w:r>
        <w:r>
          <w:t>公司轻资产运营模式现状分析</w:t>
        </w:r>
        <w:r>
          <w:tab/>
        </w:r>
        <w:fldSimple w:instr=" PAGEREF _Toc32490 \h ">
          <w:r>
            <w:t>25</w:t>
          </w:r>
        </w:fldSimple>
      </w:hyperlink>
    </w:p>
    <w:p w14:paraId="71A47C42" w14:textId="77777777" w:rsidR="00000000" w:rsidRDefault="00000000">
      <w:pPr>
        <w:pStyle w:val="TOC3"/>
        <w:tabs>
          <w:tab w:val="right" w:leader="dot" w:pos="8507"/>
        </w:tabs>
        <w:ind w:firstLine="520"/>
      </w:pPr>
      <w:hyperlink w:anchor="_Toc11896" w:history="1">
        <w:r>
          <w:rPr>
            <w:rFonts w:hint="eastAsia"/>
          </w:rPr>
          <w:t>一、</w:t>
        </w:r>
        <w:r>
          <w:rPr>
            <w:rFonts w:hint="eastAsia"/>
          </w:rPr>
          <w:t xml:space="preserve"> M</w:t>
        </w:r>
        <w:r>
          <w:rPr>
            <w:rFonts w:hint="eastAsia"/>
          </w:rPr>
          <w:t>公司轻资产运营模式运营现状</w:t>
        </w:r>
        <w:r>
          <w:tab/>
        </w:r>
        <w:fldSimple w:instr=" PAGEREF _Toc11896 \h ">
          <w:r>
            <w:t>25</w:t>
          </w:r>
        </w:fldSimple>
      </w:hyperlink>
    </w:p>
    <w:p w14:paraId="4E3FF6C6" w14:textId="77777777" w:rsidR="00000000" w:rsidRDefault="00000000">
      <w:pPr>
        <w:pStyle w:val="TOC3"/>
        <w:tabs>
          <w:tab w:val="right" w:leader="dot" w:pos="8507"/>
        </w:tabs>
        <w:ind w:firstLine="520"/>
      </w:pPr>
      <w:hyperlink w:anchor="_Toc6328" w:history="1">
        <w:r>
          <w:rPr>
            <w:rFonts w:hint="eastAsia"/>
          </w:rPr>
          <w:t>二、</w:t>
        </w:r>
        <w:r>
          <w:rPr>
            <w:rFonts w:hint="eastAsia"/>
          </w:rPr>
          <w:t xml:space="preserve"> M</w:t>
        </w:r>
        <w:r>
          <w:rPr>
            <w:rFonts w:hint="eastAsia"/>
          </w:rPr>
          <w:t>公司轻资产运营模式的财务特征</w:t>
        </w:r>
        <w:r>
          <w:tab/>
        </w:r>
        <w:fldSimple w:instr=" PAGEREF _Toc6328 \h ">
          <w:r>
            <w:t>27</w:t>
          </w:r>
        </w:fldSimple>
      </w:hyperlink>
    </w:p>
    <w:p w14:paraId="06EADB15" w14:textId="77777777" w:rsidR="00000000" w:rsidRDefault="00000000">
      <w:pPr>
        <w:pStyle w:val="TOC1"/>
        <w:tabs>
          <w:tab w:val="right" w:leader="dot" w:pos="8507"/>
        </w:tabs>
      </w:pPr>
      <w:hyperlink w:anchor="_Toc15980" w:history="1">
        <w:r>
          <w:t>第四章</w:t>
        </w:r>
        <w:r>
          <w:rPr>
            <w:rFonts w:hint="eastAsia"/>
          </w:rPr>
          <w:t xml:space="preserve"> </w:t>
        </w:r>
        <w:r>
          <w:t>轻资产运营模式下M公司财务风险识别及成因</w:t>
        </w:r>
        <w:r>
          <w:rPr>
            <w:rFonts w:hint="eastAsia"/>
          </w:rPr>
          <w:t>分析</w:t>
        </w:r>
        <w:r>
          <w:tab/>
        </w:r>
        <w:fldSimple w:instr=" PAGEREF _Toc15980 \h ">
          <w:r>
            <w:t>31</w:t>
          </w:r>
        </w:fldSimple>
      </w:hyperlink>
    </w:p>
    <w:p w14:paraId="7AE35D3D" w14:textId="77777777" w:rsidR="00000000" w:rsidRDefault="00000000">
      <w:pPr>
        <w:pStyle w:val="TOC2"/>
        <w:tabs>
          <w:tab w:val="right" w:leader="dot" w:pos="8507"/>
        </w:tabs>
        <w:ind w:firstLine="260"/>
      </w:pPr>
      <w:hyperlink w:anchor="_Toc29291" w:history="1">
        <w:r>
          <w:rPr>
            <w:rFonts w:hint="eastAsia"/>
          </w:rPr>
          <w:t>第一节</w:t>
        </w:r>
        <w:r>
          <w:rPr>
            <w:rFonts w:hint="eastAsia"/>
          </w:rPr>
          <w:t xml:space="preserve"> </w:t>
        </w:r>
        <w:r>
          <w:t>轻资产运营模式下</w:t>
        </w:r>
        <w:r>
          <w:t>M</w:t>
        </w:r>
        <w:r>
          <w:t>公司财务风险识别</w:t>
        </w:r>
        <w:r>
          <w:tab/>
        </w:r>
        <w:fldSimple w:instr=" PAGEREF _Toc29291 \h ">
          <w:r>
            <w:t>31</w:t>
          </w:r>
        </w:fldSimple>
      </w:hyperlink>
    </w:p>
    <w:p w14:paraId="7F7CD83B" w14:textId="77777777" w:rsidR="00000000" w:rsidRDefault="00000000">
      <w:pPr>
        <w:pStyle w:val="TOC3"/>
        <w:tabs>
          <w:tab w:val="right" w:leader="dot" w:pos="8507"/>
        </w:tabs>
        <w:ind w:firstLine="520"/>
      </w:pPr>
      <w:hyperlink w:anchor="_Toc12238" w:history="1">
        <w:r>
          <w:rPr>
            <w:rFonts w:ascii="宋体" w:hAnsi="宋体" w:cs="TimesNewRomanPSMT" w:hint="eastAsia"/>
            <w:bCs/>
            <w:kern w:val="0"/>
          </w:rPr>
          <w:t>一、</w:t>
        </w:r>
        <w:r>
          <w:t>筹资风险识别</w:t>
        </w:r>
        <w:r>
          <w:tab/>
        </w:r>
        <w:fldSimple w:instr=" PAGEREF _Toc12238 \h ">
          <w:r>
            <w:t>31</w:t>
          </w:r>
        </w:fldSimple>
      </w:hyperlink>
    </w:p>
    <w:p w14:paraId="73803F00" w14:textId="77777777" w:rsidR="00000000" w:rsidRDefault="00000000">
      <w:pPr>
        <w:pStyle w:val="TOC3"/>
        <w:tabs>
          <w:tab w:val="right" w:leader="dot" w:pos="8507"/>
        </w:tabs>
        <w:ind w:firstLine="520"/>
      </w:pPr>
      <w:hyperlink w:anchor="_Toc20849" w:history="1">
        <w:r>
          <w:rPr>
            <w:rFonts w:ascii="宋体" w:hAnsi="宋体" w:cs="TimesNewRomanPSMT" w:hint="eastAsia"/>
            <w:bCs/>
            <w:kern w:val="0"/>
          </w:rPr>
          <w:t>二、</w:t>
        </w:r>
        <w:r>
          <w:t>投资风险识别</w:t>
        </w:r>
        <w:r>
          <w:tab/>
        </w:r>
        <w:fldSimple w:instr=" PAGEREF _Toc20849 \h ">
          <w:r>
            <w:t>34</w:t>
          </w:r>
        </w:fldSimple>
      </w:hyperlink>
    </w:p>
    <w:p w14:paraId="19FDCEAD" w14:textId="77777777" w:rsidR="00000000" w:rsidRDefault="00000000">
      <w:pPr>
        <w:pStyle w:val="TOC3"/>
        <w:tabs>
          <w:tab w:val="right" w:leader="dot" w:pos="8507"/>
        </w:tabs>
        <w:ind w:firstLine="520"/>
      </w:pPr>
      <w:hyperlink w:anchor="_Toc27983" w:history="1">
        <w:r>
          <w:rPr>
            <w:rFonts w:ascii="宋体" w:hAnsi="宋体" w:cs="TimesNewRomanPSMT" w:hint="eastAsia"/>
            <w:bCs/>
            <w:kern w:val="0"/>
          </w:rPr>
          <w:t>三、</w:t>
        </w:r>
        <w:r>
          <w:t>营运风险识别</w:t>
        </w:r>
        <w:r>
          <w:tab/>
        </w:r>
        <w:fldSimple w:instr=" PAGEREF _Toc27983 \h ">
          <w:r>
            <w:t>37</w:t>
          </w:r>
        </w:fldSimple>
      </w:hyperlink>
    </w:p>
    <w:p w14:paraId="38EE7713" w14:textId="77777777" w:rsidR="00000000" w:rsidRDefault="00000000">
      <w:pPr>
        <w:pStyle w:val="TOC3"/>
        <w:tabs>
          <w:tab w:val="right" w:leader="dot" w:pos="8507"/>
        </w:tabs>
        <w:ind w:firstLine="520"/>
      </w:pPr>
      <w:hyperlink w:anchor="_Toc11474" w:history="1">
        <w:r>
          <w:rPr>
            <w:rFonts w:ascii="宋体" w:hAnsi="宋体" w:cs="TimesNewRomanPSMT" w:hint="eastAsia"/>
            <w:bCs/>
            <w:kern w:val="0"/>
          </w:rPr>
          <w:t>四、</w:t>
        </w:r>
        <w:r>
          <w:t>收益分配风险识别</w:t>
        </w:r>
        <w:r>
          <w:tab/>
        </w:r>
        <w:fldSimple w:instr=" PAGEREF _Toc11474 \h ">
          <w:r>
            <w:t>39</w:t>
          </w:r>
        </w:fldSimple>
      </w:hyperlink>
    </w:p>
    <w:p w14:paraId="2F5ADE88" w14:textId="77777777" w:rsidR="00000000" w:rsidRDefault="00000000">
      <w:pPr>
        <w:pStyle w:val="TOC2"/>
        <w:tabs>
          <w:tab w:val="right" w:leader="dot" w:pos="8507"/>
        </w:tabs>
        <w:ind w:firstLine="260"/>
      </w:pPr>
      <w:hyperlink w:anchor="_Toc13478" w:history="1">
        <w:r>
          <w:rPr>
            <w:rFonts w:hint="eastAsia"/>
          </w:rPr>
          <w:t>第二节</w:t>
        </w:r>
        <w:r>
          <w:rPr>
            <w:rFonts w:hint="eastAsia"/>
          </w:rPr>
          <w:t xml:space="preserve"> </w:t>
        </w:r>
        <w:r>
          <w:t>轻资产运营模式下</w:t>
        </w:r>
        <w:r>
          <w:t>M</w:t>
        </w:r>
        <w:r>
          <w:t>公司财务风险成因分析</w:t>
        </w:r>
        <w:r>
          <w:tab/>
        </w:r>
        <w:fldSimple w:instr=" PAGEREF _Toc13478 \h ">
          <w:r>
            <w:t>41</w:t>
          </w:r>
        </w:fldSimple>
      </w:hyperlink>
    </w:p>
    <w:p w14:paraId="4C17DDF3" w14:textId="77777777" w:rsidR="00000000" w:rsidRDefault="00000000">
      <w:pPr>
        <w:pStyle w:val="TOC3"/>
        <w:tabs>
          <w:tab w:val="right" w:leader="dot" w:pos="8507"/>
        </w:tabs>
        <w:ind w:firstLine="520"/>
      </w:pPr>
      <w:hyperlink w:anchor="_Toc2823" w:history="1">
        <w:r>
          <w:rPr>
            <w:rFonts w:hint="eastAsia"/>
          </w:rPr>
          <w:t>一、</w:t>
        </w:r>
        <w:r>
          <w:rPr>
            <w:rFonts w:hint="eastAsia"/>
          </w:rPr>
          <w:t xml:space="preserve"> </w:t>
        </w:r>
        <w:r>
          <w:rPr>
            <w:rFonts w:hint="eastAsia"/>
          </w:rPr>
          <w:t>外部环境驱动因素</w:t>
        </w:r>
        <w:r>
          <w:tab/>
        </w:r>
        <w:fldSimple w:instr=" PAGEREF _Toc2823 \h ">
          <w:r>
            <w:t>41</w:t>
          </w:r>
        </w:fldSimple>
      </w:hyperlink>
    </w:p>
    <w:p w14:paraId="4AAA8540" w14:textId="77777777" w:rsidR="00000000" w:rsidRDefault="00000000">
      <w:pPr>
        <w:pStyle w:val="TOC3"/>
        <w:tabs>
          <w:tab w:val="right" w:leader="dot" w:pos="8507"/>
        </w:tabs>
        <w:ind w:firstLine="520"/>
      </w:pPr>
      <w:hyperlink w:anchor="_Toc15225" w:history="1">
        <w:r>
          <w:rPr>
            <w:rFonts w:hint="eastAsia"/>
          </w:rPr>
          <w:t>二、</w:t>
        </w:r>
        <w:r>
          <w:rPr>
            <w:rFonts w:hint="eastAsia"/>
          </w:rPr>
          <w:t xml:space="preserve"> </w:t>
        </w:r>
        <w:r>
          <w:rPr>
            <w:rFonts w:hint="eastAsia"/>
          </w:rPr>
          <w:t>内部运营机制缺陷</w:t>
        </w:r>
        <w:r>
          <w:tab/>
        </w:r>
        <w:fldSimple w:instr=" PAGEREF _Toc15225 \h ">
          <w:r>
            <w:t>42</w:t>
          </w:r>
        </w:fldSimple>
      </w:hyperlink>
    </w:p>
    <w:p w14:paraId="0AC6B727" w14:textId="77777777" w:rsidR="00000000" w:rsidRDefault="00000000">
      <w:pPr>
        <w:pStyle w:val="TOC3"/>
        <w:tabs>
          <w:tab w:val="right" w:leader="dot" w:pos="8507"/>
        </w:tabs>
        <w:ind w:firstLine="520"/>
      </w:pPr>
      <w:hyperlink w:anchor="_Toc22478" w:history="1">
        <w:r>
          <w:rPr>
            <w:rFonts w:hint="eastAsia"/>
            <w:bCs/>
          </w:rPr>
          <w:t>三、</w:t>
        </w:r>
        <w:r>
          <w:rPr>
            <w:rFonts w:hint="eastAsia"/>
            <w:bCs/>
          </w:rPr>
          <w:t xml:space="preserve"> </w:t>
        </w:r>
        <w:r>
          <w:rPr>
            <w:rFonts w:hint="eastAsia"/>
            <w:bCs/>
          </w:rPr>
          <w:t>内外部因素的交互作用与风险传导​</w:t>
        </w:r>
        <w:r>
          <w:tab/>
        </w:r>
        <w:fldSimple w:instr=" PAGEREF _Toc22478 \h ">
          <w:r>
            <w:t>43</w:t>
          </w:r>
        </w:fldSimple>
      </w:hyperlink>
    </w:p>
    <w:p w14:paraId="046D10EA" w14:textId="77777777" w:rsidR="00000000" w:rsidRDefault="00000000">
      <w:pPr>
        <w:pStyle w:val="TOC1"/>
        <w:tabs>
          <w:tab w:val="right" w:leader="dot" w:pos="8507"/>
        </w:tabs>
      </w:pPr>
      <w:hyperlink w:anchor="_Toc24705" w:history="1">
        <w:r>
          <w:t>第五章 基于熵权-TOPSIS方法的M公司财务风险评价</w:t>
        </w:r>
        <w:r>
          <w:tab/>
        </w:r>
        <w:fldSimple w:instr=" PAGEREF _Toc24705 \h ">
          <w:r>
            <w:t>45</w:t>
          </w:r>
        </w:fldSimple>
      </w:hyperlink>
    </w:p>
    <w:p w14:paraId="672E87E5" w14:textId="77777777" w:rsidR="00000000" w:rsidRDefault="00000000">
      <w:pPr>
        <w:pStyle w:val="TOC2"/>
        <w:tabs>
          <w:tab w:val="right" w:leader="dot" w:pos="8507"/>
        </w:tabs>
        <w:ind w:firstLine="260"/>
      </w:pPr>
      <w:hyperlink w:anchor="_Toc14656" w:history="1">
        <w:r>
          <w:rPr>
            <w:rFonts w:hint="eastAsia"/>
          </w:rPr>
          <w:t>第一节</w:t>
        </w:r>
        <w:r>
          <w:rPr>
            <w:rFonts w:hint="eastAsia"/>
          </w:rPr>
          <w:t xml:space="preserve"> </w:t>
        </w:r>
        <w:r>
          <w:t>熵权</w:t>
        </w:r>
        <w:r>
          <w:t>-TOPSIS</w:t>
        </w:r>
        <w:r>
          <w:t>方法应用的适用性分析</w:t>
        </w:r>
        <w:r>
          <w:tab/>
        </w:r>
        <w:fldSimple w:instr=" PAGEREF _Toc14656 \h ">
          <w:r>
            <w:t>45</w:t>
          </w:r>
        </w:fldSimple>
      </w:hyperlink>
    </w:p>
    <w:p w14:paraId="7F204071" w14:textId="77777777" w:rsidR="00000000" w:rsidRDefault="00000000">
      <w:pPr>
        <w:pStyle w:val="TOC2"/>
        <w:tabs>
          <w:tab w:val="right" w:leader="dot" w:pos="8507"/>
        </w:tabs>
        <w:ind w:firstLine="260"/>
      </w:pPr>
      <w:hyperlink w:anchor="_Toc29352" w:history="1">
        <w:r>
          <w:rPr>
            <w:rFonts w:hint="eastAsia"/>
          </w:rPr>
          <w:t>第二节</w:t>
        </w:r>
        <w:r>
          <w:rPr>
            <w:rFonts w:hint="eastAsia"/>
          </w:rPr>
          <w:t xml:space="preserve"> </w:t>
        </w:r>
        <w:r>
          <w:t>基于熵权</w:t>
        </w:r>
        <w:r>
          <w:t>-TOPSIS</w:t>
        </w:r>
        <w:r>
          <w:t>方法的</w:t>
        </w:r>
        <w:r>
          <w:t>M</w:t>
        </w:r>
        <w:r>
          <w:t>公司财务风险评价过程及分析</w:t>
        </w:r>
        <w:r>
          <w:tab/>
        </w:r>
        <w:fldSimple w:instr=" PAGEREF _Toc29352 \h ">
          <w:r>
            <w:t>46</w:t>
          </w:r>
        </w:fldSimple>
      </w:hyperlink>
    </w:p>
    <w:p w14:paraId="1355309B" w14:textId="77777777" w:rsidR="00000000" w:rsidRDefault="00000000">
      <w:pPr>
        <w:pStyle w:val="TOC3"/>
        <w:tabs>
          <w:tab w:val="right" w:leader="dot" w:pos="8507"/>
        </w:tabs>
        <w:ind w:firstLine="520"/>
      </w:pPr>
      <w:hyperlink w:anchor="_Toc26358" w:history="1">
        <w:r>
          <w:rPr>
            <w:rFonts w:hint="eastAsia"/>
          </w:rPr>
          <w:t>一、</w:t>
        </w:r>
        <w:r>
          <w:rPr>
            <w:rFonts w:hint="eastAsia"/>
          </w:rPr>
          <w:t xml:space="preserve"> </w:t>
        </w:r>
        <w:r>
          <w:rPr>
            <w:rFonts w:hint="eastAsia"/>
          </w:rPr>
          <w:t>一级指标评价过程</w:t>
        </w:r>
        <w:r>
          <w:tab/>
        </w:r>
        <w:fldSimple w:instr=" PAGEREF _Toc26358 \h ">
          <w:r>
            <w:t>47</w:t>
          </w:r>
        </w:fldSimple>
      </w:hyperlink>
    </w:p>
    <w:p w14:paraId="46366008" w14:textId="77777777" w:rsidR="00000000" w:rsidRDefault="00000000">
      <w:pPr>
        <w:pStyle w:val="TOC3"/>
        <w:tabs>
          <w:tab w:val="right" w:leader="dot" w:pos="8507"/>
        </w:tabs>
        <w:ind w:firstLine="520"/>
      </w:pPr>
      <w:hyperlink w:anchor="_Toc9776" w:history="1">
        <w:r>
          <w:rPr>
            <w:rFonts w:hint="eastAsia"/>
          </w:rPr>
          <w:t>二、</w:t>
        </w:r>
        <w:r>
          <w:rPr>
            <w:rFonts w:hint="eastAsia"/>
          </w:rPr>
          <w:t xml:space="preserve"> </w:t>
        </w:r>
        <w:r>
          <w:rPr>
            <w:rFonts w:hint="eastAsia"/>
          </w:rPr>
          <w:t>—级指标评价结果分析</w:t>
        </w:r>
        <w:r>
          <w:tab/>
        </w:r>
        <w:fldSimple w:instr=" PAGEREF _Toc9776 \h ">
          <w:r>
            <w:t>50</w:t>
          </w:r>
        </w:fldSimple>
      </w:hyperlink>
    </w:p>
    <w:p w14:paraId="2F0EF5D0" w14:textId="77777777" w:rsidR="00000000" w:rsidRDefault="00000000">
      <w:pPr>
        <w:pStyle w:val="TOC3"/>
        <w:tabs>
          <w:tab w:val="right" w:leader="dot" w:pos="8507"/>
        </w:tabs>
        <w:ind w:firstLine="520"/>
      </w:pPr>
      <w:hyperlink w:anchor="_Toc23300" w:history="1">
        <w:r>
          <w:rPr>
            <w:rFonts w:hint="eastAsia"/>
          </w:rPr>
          <w:t>三、</w:t>
        </w:r>
        <w:r>
          <w:rPr>
            <w:rFonts w:hint="eastAsia"/>
          </w:rPr>
          <w:t xml:space="preserve"> M</w:t>
        </w:r>
        <w:r>
          <w:rPr>
            <w:rFonts w:hint="eastAsia"/>
          </w:rPr>
          <w:t>公司财务风险综合评价过程及分析</w:t>
        </w:r>
        <w:r>
          <w:tab/>
        </w:r>
        <w:fldSimple w:instr=" PAGEREF _Toc23300 \h ">
          <w:r>
            <w:t>54</w:t>
          </w:r>
        </w:fldSimple>
      </w:hyperlink>
    </w:p>
    <w:p w14:paraId="6BF8FD68" w14:textId="77777777" w:rsidR="00000000" w:rsidRDefault="00000000">
      <w:pPr>
        <w:pStyle w:val="TOC1"/>
        <w:tabs>
          <w:tab w:val="right" w:leader="dot" w:pos="8507"/>
        </w:tabs>
      </w:pPr>
      <w:hyperlink w:anchor="_Toc20533" w:history="1">
        <w:r>
          <w:t>第六章 轻资产运营模式下M公司财务风险控制策略</w:t>
        </w:r>
        <w:r>
          <w:tab/>
        </w:r>
        <w:fldSimple w:instr=" PAGEREF _Toc20533 \h ">
          <w:r>
            <w:t>59</w:t>
          </w:r>
        </w:fldSimple>
      </w:hyperlink>
    </w:p>
    <w:p w14:paraId="4A1E7E9C" w14:textId="77777777" w:rsidR="00000000" w:rsidRDefault="00000000">
      <w:pPr>
        <w:pStyle w:val="TOC2"/>
        <w:tabs>
          <w:tab w:val="right" w:leader="dot" w:pos="8507"/>
        </w:tabs>
        <w:ind w:firstLine="260"/>
      </w:pPr>
      <w:hyperlink w:anchor="_Toc13323" w:history="1">
        <w:r>
          <w:rPr>
            <w:rFonts w:hint="eastAsia"/>
          </w:rPr>
          <w:t>第一节</w:t>
        </w:r>
        <w:r>
          <w:rPr>
            <w:rFonts w:hint="eastAsia"/>
          </w:rPr>
          <w:t xml:space="preserve"> </w:t>
        </w:r>
        <w:r>
          <w:t>筹资风险控制策略</w:t>
        </w:r>
        <w:r>
          <w:t>​</w:t>
        </w:r>
        <w:r>
          <w:tab/>
        </w:r>
        <w:fldSimple w:instr=" PAGEREF _Toc13323 \h ">
          <w:r>
            <w:t>59</w:t>
          </w:r>
        </w:fldSimple>
      </w:hyperlink>
    </w:p>
    <w:p w14:paraId="0EEBFC05" w14:textId="77777777" w:rsidR="00000000" w:rsidRDefault="00000000">
      <w:pPr>
        <w:pStyle w:val="TOC3"/>
        <w:tabs>
          <w:tab w:val="right" w:leader="dot" w:pos="8507"/>
        </w:tabs>
        <w:ind w:firstLine="520"/>
      </w:pPr>
      <w:hyperlink w:anchor="_Toc764" w:history="1">
        <w:r>
          <w:rPr>
            <w:rFonts w:hint="eastAsia"/>
          </w:rPr>
          <w:t>一、</w:t>
        </w:r>
        <w:r>
          <w:rPr>
            <w:rFonts w:hint="eastAsia"/>
          </w:rPr>
          <w:t xml:space="preserve"> </w:t>
        </w:r>
        <w:r>
          <w:rPr>
            <w:rFonts w:hint="eastAsia"/>
          </w:rPr>
          <w:t>拓宽多元化筹资渠道​</w:t>
        </w:r>
        <w:r>
          <w:tab/>
        </w:r>
        <w:fldSimple w:instr=" PAGEREF _Toc764 \h ">
          <w:r>
            <w:t>59</w:t>
          </w:r>
        </w:fldSimple>
      </w:hyperlink>
    </w:p>
    <w:p w14:paraId="0E2FFB06" w14:textId="77777777" w:rsidR="00000000" w:rsidRDefault="00000000">
      <w:pPr>
        <w:pStyle w:val="TOC3"/>
        <w:tabs>
          <w:tab w:val="right" w:leader="dot" w:pos="8507"/>
        </w:tabs>
        <w:ind w:firstLine="520"/>
      </w:pPr>
      <w:hyperlink w:anchor="_Toc6333" w:history="1">
        <w:r>
          <w:rPr>
            <w:rFonts w:hint="eastAsia"/>
          </w:rPr>
          <w:t>二、</w:t>
        </w:r>
        <w:r>
          <w:rPr>
            <w:rFonts w:hint="eastAsia"/>
          </w:rPr>
          <w:t xml:space="preserve"> </w:t>
        </w:r>
        <w:r>
          <w:rPr>
            <w:rFonts w:hint="eastAsia"/>
          </w:rPr>
          <w:t>完善资产结构​</w:t>
        </w:r>
        <w:r>
          <w:tab/>
        </w:r>
        <w:fldSimple w:instr=" PAGEREF _Toc6333 \h ">
          <w:r>
            <w:t>60</w:t>
          </w:r>
        </w:fldSimple>
      </w:hyperlink>
    </w:p>
    <w:p w14:paraId="61BDD94A" w14:textId="77777777" w:rsidR="00000000" w:rsidRDefault="00000000">
      <w:pPr>
        <w:pStyle w:val="TOC3"/>
        <w:tabs>
          <w:tab w:val="right" w:leader="dot" w:pos="8507"/>
        </w:tabs>
        <w:ind w:firstLine="520"/>
      </w:pPr>
      <w:hyperlink w:anchor="_Toc14827" w:history="1">
        <w:r>
          <w:rPr>
            <w:rFonts w:hint="eastAsia"/>
          </w:rPr>
          <w:t>三、</w:t>
        </w:r>
        <w:r>
          <w:rPr>
            <w:rFonts w:hint="eastAsia"/>
          </w:rPr>
          <w:t xml:space="preserve"> </w:t>
        </w:r>
        <w:r>
          <w:rPr>
            <w:rFonts w:hint="eastAsia"/>
          </w:rPr>
          <w:t>调整债务结构​</w:t>
        </w:r>
        <w:r>
          <w:tab/>
        </w:r>
        <w:fldSimple w:instr=" PAGEREF _Toc14827 \h ">
          <w:r>
            <w:t>60</w:t>
          </w:r>
        </w:fldSimple>
      </w:hyperlink>
    </w:p>
    <w:p w14:paraId="4B45C9FE" w14:textId="77777777" w:rsidR="00000000" w:rsidRDefault="00000000">
      <w:pPr>
        <w:pStyle w:val="TOC2"/>
        <w:tabs>
          <w:tab w:val="right" w:leader="dot" w:pos="8507"/>
        </w:tabs>
        <w:ind w:firstLine="260"/>
      </w:pPr>
      <w:hyperlink w:anchor="_Toc12413" w:history="1">
        <w:r>
          <w:rPr>
            <w:rFonts w:hint="eastAsia"/>
          </w:rPr>
          <w:t>第二节</w:t>
        </w:r>
        <w:r>
          <w:rPr>
            <w:rFonts w:hint="eastAsia"/>
          </w:rPr>
          <w:t xml:space="preserve"> </w:t>
        </w:r>
        <w:r>
          <w:t>投资风险控制策略</w:t>
        </w:r>
        <w:r>
          <w:t>​</w:t>
        </w:r>
        <w:r>
          <w:tab/>
        </w:r>
        <w:fldSimple w:instr=" PAGEREF _Toc12413 \h ">
          <w:r>
            <w:t>61</w:t>
          </w:r>
        </w:fldSimple>
      </w:hyperlink>
    </w:p>
    <w:p w14:paraId="4F62F482" w14:textId="77777777" w:rsidR="00000000" w:rsidRDefault="00000000">
      <w:pPr>
        <w:pStyle w:val="TOC3"/>
        <w:tabs>
          <w:tab w:val="right" w:leader="dot" w:pos="8507"/>
        </w:tabs>
        <w:ind w:firstLine="520"/>
      </w:pPr>
      <w:hyperlink w:anchor="_Toc31269" w:history="1">
        <w:r>
          <w:rPr>
            <w:rFonts w:hint="eastAsia"/>
          </w:rPr>
          <w:t>一、</w:t>
        </w:r>
        <w:r>
          <w:rPr>
            <w:rFonts w:hint="eastAsia"/>
          </w:rPr>
          <w:t xml:space="preserve"> </w:t>
        </w:r>
        <w:r>
          <w:rPr>
            <w:rFonts w:hint="eastAsia"/>
          </w:rPr>
          <w:t>加大研发创新投入力度​</w:t>
        </w:r>
        <w:r>
          <w:tab/>
        </w:r>
        <w:fldSimple w:instr=" PAGEREF _Toc31269 \h ">
          <w:r>
            <w:t>61</w:t>
          </w:r>
        </w:fldSimple>
      </w:hyperlink>
    </w:p>
    <w:p w14:paraId="224AF3E6" w14:textId="77777777" w:rsidR="00000000" w:rsidRDefault="00000000">
      <w:pPr>
        <w:pStyle w:val="TOC3"/>
        <w:tabs>
          <w:tab w:val="right" w:leader="dot" w:pos="8507"/>
        </w:tabs>
        <w:ind w:firstLine="520"/>
      </w:pPr>
      <w:hyperlink w:anchor="_Toc8708" w:history="1">
        <w:r>
          <w:rPr>
            <w:rFonts w:hint="eastAsia"/>
          </w:rPr>
          <w:t>二、</w:t>
        </w:r>
        <w:r>
          <w:rPr>
            <w:rFonts w:hint="eastAsia"/>
          </w:rPr>
          <w:t xml:space="preserve"> </w:t>
        </w:r>
        <w:r>
          <w:rPr>
            <w:rFonts w:hint="eastAsia"/>
          </w:rPr>
          <w:t>注重投资项目全程把控​</w:t>
        </w:r>
        <w:r>
          <w:tab/>
        </w:r>
        <w:fldSimple w:instr=" PAGEREF _Toc8708 \h ">
          <w:r>
            <w:t>62</w:t>
          </w:r>
        </w:fldSimple>
      </w:hyperlink>
    </w:p>
    <w:p w14:paraId="307B7BC6" w14:textId="77777777" w:rsidR="00000000" w:rsidRDefault="00000000">
      <w:pPr>
        <w:pStyle w:val="TOC3"/>
        <w:tabs>
          <w:tab w:val="right" w:leader="dot" w:pos="8507"/>
        </w:tabs>
        <w:ind w:firstLine="520"/>
      </w:pPr>
      <w:hyperlink w:anchor="_Toc13593" w:history="1">
        <w:r>
          <w:rPr>
            <w:rFonts w:hint="eastAsia"/>
          </w:rPr>
          <w:t>三、</w:t>
        </w:r>
        <w:r>
          <w:rPr>
            <w:rFonts w:hint="eastAsia"/>
          </w:rPr>
          <w:t xml:space="preserve"> </w:t>
        </w:r>
        <w:r>
          <w:rPr>
            <w:rFonts w:hint="eastAsia"/>
          </w:rPr>
          <w:t>合理控制投资项目的成本费用支出​</w:t>
        </w:r>
        <w:r>
          <w:tab/>
        </w:r>
        <w:fldSimple w:instr=" PAGEREF _Toc13593 \h ">
          <w:r>
            <w:t>63</w:t>
          </w:r>
        </w:fldSimple>
      </w:hyperlink>
    </w:p>
    <w:p w14:paraId="0C481DC5" w14:textId="77777777" w:rsidR="00000000" w:rsidRDefault="00000000">
      <w:pPr>
        <w:pStyle w:val="TOC2"/>
        <w:tabs>
          <w:tab w:val="right" w:leader="dot" w:pos="8507"/>
        </w:tabs>
        <w:ind w:firstLine="260"/>
      </w:pPr>
      <w:hyperlink w:anchor="_Toc20529" w:history="1">
        <w:r>
          <w:rPr>
            <w:rFonts w:hint="eastAsia"/>
          </w:rPr>
          <w:t>第三节</w:t>
        </w:r>
        <w:r>
          <w:rPr>
            <w:rFonts w:hint="eastAsia"/>
          </w:rPr>
          <w:t xml:space="preserve"> </w:t>
        </w:r>
        <w:r>
          <w:t>营运风险控制策略</w:t>
        </w:r>
        <w:r>
          <w:t>​</w:t>
        </w:r>
        <w:r>
          <w:tab/>
        </w:r>
        <w:fldSimple w:instr=" PAGEREF _Toc20529 \h ">
          <w:r>
            <w:t>64</w:t>
          </w:r>
        </w:fldSimple>
      </w:hyperlink>
    </w:p>
    <w:p w14:paraId="45AAC2F1" w14:textId="77777777" w:rsidR="00000000" w:rsidRDefault="00000000">
      <w:pPr>
        <w:pStyle w:val="TOC3"/>
        <w:tabs>
          <w:tab w:val="right" w:leader="dot" w:pos="8507"/>
        </w:tabs>
        <w:ind w:firstLine="520"/>
      </w:pPr>
      <w:hyperlink w:anchor="_Toc25742" w:history="1">
        <w:r>
          <w:rPr>
            <w:rFonts w:hint="eastAsia"/>
          </w:rPr>
          <w:t>一、</w:t>
        </w:r>
        <w:r>
          <w:rPr>
            <w:rFonts w:hint="eastAsia"/>
          </w:rPr>
          <w:t xml:space="preserve"> </w:t>
        </w:r>
        <w:r>
          <w:rPr>
            <w:rFonts w:hint="eastAsia"/>
          </w:rPr>
          <w:t>加强供应链风险管控</w:t>
        </w:r>
        <w:r>
          <w:tab/>
        </w:r>
        <w:fldSimple w:instr=" PAGEREF _Toc25742 \h ">
          <w:r>
            <w:t>64</w:t>
          </w:r>
        </w:fldSimple>
      </w:hyperlink>
    </w:p>
    <w:p w14:paraId="4305701E" w14:textId="77777777" w:rsidR="00000000" w:rsidRDefault="00000000">
      <w:pPr>
        <w:pStyle w:val="TOC3"/>
        <w:tabs>
          <w:tab w:val="right" w:leader="dot" w:pos="8507"/>
        </w:tabs>
        <w:ind w:firstLine="520"/>
      </w:pPr>
      <w:hyperlink w:anchor="_Toc3705" w:history="1">
        <w:r>
          <w:rPr>
            <w:rFonts w:hint="eastAsia"/>
            <w:bCs/>
          </w:rPr>
          <w:t>二、</w:t>
        </w:r>
        <w:r>
          <w:rPr>
            <w:rFonts w:hint="eastAsia"/>
            <w:bCs/>
          </w:rPr>
          <w:t xml:space="preserve"> </w:t>
        </w:r>
        <w:r>
          <w:rPr>
            <w:rFonts w:hint="eastAsia"/>
            <w:bCs/>
          </w:rPr>
          <w:t>优化存货管理​</w:t>
        </w:r>
        <w:r>
          <w:tab/>
        </w:r>
        <w:fldSimple w:instr=" PAGEREF _Toc3705 \h ">
          <w:r>
            <w:t>65</w:t>
          </w:r>
        </w:fldSimple>
      </w:hyperlink>
    </w:p>
    <w:p w14:paraId="42AAFD33" w14:textId="77777777" w:rsidR="00000000" w:rsidRDefault="00000000">
      <w:pPr>
        <w:pStyle w:val="TOC3"/>
        <w:tabs>
          <w:tab w:val="right" w:leader="dot" w:pos="8507"/>
        </w:tabs>
        <w:ind w:firstLine="520"/>
      </w:pPr>
      <w:hyperlink w:anchor="_Toc21478" w:history="1">
        <w:r>
          <w:rPr>
            <w:rFonts w:hint="eastAsia"/>
          </w:rPr>
          <w:t>三、</w:t>
        </w:r>
        <w:r>
          <w:rPr>
            <w:rFonts w:hint="eastAsia"/>
          </w:rPr>
          <w:t xml:space="preserve"> </w:t>
        </w:r>
        <w:r>
          <w:rPr>
            <w:rFonts w:hint="eastAsia"/>
          </w:rPr>
          <w:t>强化应收账款管理​</w:t>
        </w:r>
        <w:r>
          <w:tab/>
        </w:r>
        <w:fldSimple w:instr=" PAGEREF _Toc21478 \h ">
          <w:r>
            <w:t>65</w:t>
          </w:r>
        </w:fldSimple>
      </w:hyperlink>
    </w:p>
    <w:p w14:paraId="34C06040" w14:textId="77777777" w:rsidR="00000000" w:rsidRDefault="00000000">
      <w:pPr>
        <w:pStyle w:val="TOC2"/>
        <w:tabs>
          <w:tab w:val="right" w:leader="dot" w:pos="8507"/>
        </w:tabs>
        <w:ind w:firstLine="260"/>
      </w:pPr>
      <w:hyperlink w:anchor="_Toc4482" w:history="1">
        <w:r>
          <w:rPr>
            <w:rFonts w:hint="eastAsia"/>
          </w:rPr>
          <w:t>第四节</w:t>
        </w:r>
        <w:r>
          <w:rPr>
            <w:rFonts w:hint="eastAsia"/>
          </w:rPr>
          <w:t xml:space="preserve"> </w:t>
        </w:r>
        <w:r>
          <w:t>收益分配风险控制策略</w:t>
        </w:r>
        <w:r>
          <w:t>​</w:t>
        </w:r>
        <w:r>
          <w:tab/>
        </w:r>
        <w:fldSimple w:instr=" PAGEREF _Toc4482 \h ">
          <w:r>
            <w:t>66</w:t>
          </w:r>
        </w:fldSimple>
      </w:hyperlink>
    </w:p>
    <w:p w14:paraId="53393F1B" w14:textId="77777777" w:rsidR="00000000" w:rsidRDefault="00000000">
      <w:pPr>
        <w:pStyle w:val="TOC3"/>
        <w:tabs>
          <w:tab w:val="right" w:leader="dot" w:pos="8507"/>
        </w:tabs>
        <w:ind w:firstLine="520"/>
      </w:pPr>
      <w:hyperlink w:anchor="_Toc26806" w:history="1">
        <w:r>
          <w:rPr>
            <w:rFonts w:hint="eastAsia"/>
          </w:rPr>
          <w:t>一、</w:t>
        </w:r>
        <w:r>
          <w:rPr>
            <w:rFonts w:hint="eastAsia"/>
          </w:rPr>
          <w:t xml:space="preserve"> </w:t>
        </w:r>
        <w:r>
          <w:rPr>
            <w:rFonts w:hint="eastAsia"/>
          </w:rPr>
          <w:t>完善股利分配政策​</w:t>
        </w:r>
        <w:r>
          <w:tab/>
        </w:r>
        <w:fldSimple w:instr=" PAGEREF _Toc26806 \h ">
          <w:r>
            <w:t>66</w:t>
          </w:r>
        </w:fldSimple>
      </w:hyperlink>
    </w:p>
    <w:p w14:paraId="5636D011" w14:textId="77777777" w:rsidR="00000000" w:rsidRDefault="00000000">
      <w:pPr>
        <w:pStyle w:val="TOC3"/>
        <w:tabs>
          <w:tab w:val="right" w:leader="dot" w:pos="8507"/>
        </w:tabs>
        <w:ind w:firstLine="520"/>
      </w:pPr>
      <w:hyperlink w:anchor="_Toc17906" w:history="1">
        <w:r>
          <w:rPr>
            <w:rFonts w:hint="eastAsia"/>
          </w:rPr>
          <w:t>二、</w:t>
        </w:r>
        <w:r>
          <w:rPr>
            <w:rFonts w:hint="eastAsia"/>
          </w:rPr>
          <w:t xml:space="preserve"> </w:t>
        </w:r>
        <w:r>
          <w:rPr>
            <w:rFonts w:hint="eastAsia"/>
          </w:rPr>
          <w:t>丰富股利支付形式​</w:t>
        </w:r>
        <w:r>
          <w:tab/>
        </w:r>
        <w:fldSimple w:instr=" PAGEREF _Toc17906 \h ">
          <w:r>
            <w:t>67</w:t>
          </w:r>
        </w:fldSimple>
      </w:hyperlink>
    </w:p>
    <w:p w14:paraId="0FD8ED2D" w14:textId="77777777" w:rsidR="00000000" w:rsidRDefault="00000000">
      <w:pPr>
        <w:pStyle w:val="TOC3"/>
        <w:tabs>
          <w:tab w:val="right" w:leader="dot" w:pos="8507"/>
        </w:tabs>
        <w:ind w:firstLine="520"/>
      </w:pPr>
      <w:hyperlink w:anchor="_Toc3301" w:history="1">
        <w:r>
          <w:rPr>
            <w:rFonts w:hint="eastAsia"/>
          </w:rPr>
          <w:t>三、</w:t>
        </w:r>
        <w:r>
          <w:rPr>
            <w:rFonts w:hint="eastAsia"/>
          </w:rPr>
          <w:t xml:space="preserve"> </w:t>
        </w:r>
        <w:r>
          <w:rPr>
            <w:rFonts w:hint="eastAsia"/>
          </w:rPr>
          <w:t>平衡股东利益与构建风险防范机制​</w:t>
        </w:r>
        <w:r>
          <w:tab/>
        </w:r>
        <w:fldSimple w:instr=" PAGEREF _Toc3301 \h ">
          <w:r>
            <w:t>68</w:t>
          </w:r>
        </w:fldSimple>
      </w:hyperlink>
    </w:p>
    <w:p w14:paraId="100F9863" w14:textId="77777777" w:rsidR="00000000" w:rsidRDefault="00000000">
      <w:pPr>
        <w:pStyle w:val="TOC1"/>
        <w:tabs>
          <w:tab w:val="right" w:leader="dot" w:pos="8507"/>
        </w:tabs>
      </w:pPr>
      <w:hyperlink w:anchor="_Toc18054" w:history="1">
        <w:r>
          <w:t>第七章 结论与展望</w:t>
        </w:r>
        <w:r>
          <w:tab/>
        </w:r>
        <w:fldSimple w:instr=" PAGEREF _Toc18054 \h ">
          <w:r>
            <w:t>69</w:t>
          </w:r>
        </w:fldSimple>
      </w:hyperlink>
    </w:p>
    <w:p w14:paraId="4155DAEB" w14:textId="77777777" w:rsidR="00000000" w:rsidRDefault="00000000">
      <w:pPr>
        <w:pStyle w:val="TOC2"/>
        <w:tabs>
          <w:tab w:val="right" w:leader="dot" w:pos="8507"/>
        </w:tabs>
        <w:ind w:firstLine="260"/>
      </w:pPr>
      <w:hyperlink w:anchor="_Toc12010" w:history="1">
        <w:r>
          <w:rPr>
            <w:rFonts w:hint="eastAsia"/>
          </w:rPr>
          <w:t>第一节</w:t>
        </w:r>
        <w:r>
          <w:rPr>
            <w:rFonts w:hint="eastAsia"/>
          </w:rPr>
          <w:t xml:space="preserve"> </w:t>
        </w:r>
        <w:r>
          <w:t>研究结论</w:t>
        </w:r>
        <w:r>
          <w:tab/>
        </w:r>
        <w:fldSimple w:instr=" PAGEREF _Toc12010 \h ">
          <w:r>
            <w:t>69</w:t>
          </w:r>
        </w:fldSimple>
      </w:hyperlink>
    </w:p>
    <w:p w14:paraId="15BC31C1" w14:textId="77777777" w:rsidR="00000000" w:rsidRDefault="00000000">
      <w:pPr>
        <w:pStyle w:val="TOC2"/>
        <w:tabs>
          <w:tab w:val="right" w:leader="dot" w:pos="8507"/>
        </w:tabs>
        <w:ind w:firstLine="260"/>
      </w:pPr>
      <w:hyperlink w:anchor="_Toc13273" w:history="1">
        <w:r>
          <w:rPr>
            <w:rFonts w:hint="eastAsia"/>
          </w:rPr>
          <w:t>第二节</w:t>
        </w:r>
        <w:r>
          <w:rPr>
            <w:rFonts w:hint="eastAsia"/>
          </w:rPr>
          <w:t xml:space="preserve"> </w:t>
        </w:r>
        <w:r>
          <w:t>研究不足与展望</w:t>
        </w:r>
        <w:r>
          <w:tab/>
        </w:r>
        <w:fldSimple w:instr=" PAGEREF _Toc13273 \h ">
          <w:r>
            <w:t>70</w:t>
          </w:r>
        </w:fldSimple>
      </w:hyperlink>
    </w:p>
    <w:p w14:paraId="6FCD7E6B" w14:textId="77777777" w:rsidR="00000000" w:rsidRDefault="00000000">
      <w:pPr>
        <w:pStyle w:val="TOC1"/>
        <w:tabs>
          <w:tab w:val="right" w:leader="dot" w:pos="8507"/>
        </w:tabs>
      </w:pPr>
      <w:hyperlink w:anchor="_Toc12521" w:history="1">
        <w:r>
          <w:t>参考文献</w:t>
        </w:r>
        <w:r>
          <w:tab/>
        </w:r>
        <w:fldSimple w:instr=" PAGEREF _Toc12521 \h ">
          <w:r>
            <w:t>71</w:t>
          </w:r>
        </w:fldSimple>
      </w:hyperlink>
    </w:p>
    <w:p w14:paraId="3977CFC0" w14:textId="77777777" w:rsidR="00000000" w:rsidRDefault="00000000">
      <w:pPr>
        <w:pStyle w:val="TOC1"/>
        <w:tabs>
          <w:tab w:val="right" w:leader="dot" w:pos="8507"/>
        </w:tabs>
        <w:rPr>
          <w:rFonts w:hint="eastAsia"/>
        </w:rPr>
        <w:sectPr w:rsidR="00000000">
          <w:headerReference w:type="even" r:id="rId21"/>
          <w:headerReference w:type="default" r:id="rId22"/>
          <w:footerReference w:type="even" r:id="rId23"/>
          <w:footerReference w:type="default" r:id="rId24"/>
          <w:footnotePr>
            <w:numRestart w:val="eachPage"/>
          </w:footnotePr>
          <w:pgSz w:w="11909" w:h="16834"/>
          <w:pgMar w:top="1701" w:right="1701" w:bottom="1418" w:left="1701" w:header="1304" w:footer="1021" w:gutter="0"/>
          <w:pgNumType w:fmt="upperRoman"/>
          <w:cols w:space="720"/>
          <w:docGrid w:type="linesAndChars" w:linePitch="415" w:charSpace="614"/>
        </w:sectPr>
      </w:pPr>
      <w:hyperlink w:anchor="_Toc914" w:history="1">
        <w:r>
          <w:t>致  谢</w:t>
        </w:r>
        <w:r>
          <w:tab/>
        </w:r>
        <w:fldSimple w:instr=" PAGEREF _Toc914 \h ">
          <w:r>
            <w:t>75</w:t>
          </w:r>
        </w:fldSimple>
      </w:hyperlink>
    </w:p>
    <w:p w14:paraId="4469BC69" w14:textId="77777777" w:rsidR="00000000" w:rsidRDefault="00000000">
      <w:pPr>
        <w:spacing w:beforeLines="50" w:before="207" w:line="400" w:lineRule="exact"/>
        <w:ind w:firstLine="0"/>
        <w:jc w:val="center"/>
        <w:outlineLvl w:val="0"/>
        <w:rPr>
          <w:rStyle w:val="Char"/>
          <w:rFonts w:hint="default"/>
        </w:rPr>
      </w:pPr>
      <w:r>
        <w:rPr>
          <w:rFonts w:hint="eastAsia"/>
        </w:rPr>
        <w:lastRenderedPageBreak/>
        <w:fldChar w:fldCharType="end"/>
      </w:r>
      <w:bookmarkStart w:id="0" w:name="_Toc6565"/>
      <w:bookmarkStart w:id="1" w:name="_Toc5066"/>
      <w:r>
        <w:rPr>
          <w:rStyle w:val="Char"/>
          <w:rFonts w:hint="default"/>
        </w:rPr>
        <w:t>第一章</w:t>
      </w:r>
      <w:r>
        <w:rPr>
          <w:rStyle w:val="Char"/>
          <w:rFonts w:hint="default"/>
        </w:rPr>
        <w:t xml:space="preserve"> </w:t>
      </w:r>
      <w:r>
        <w:rPr>
          <w:rStyle w:val="Char"/>
          <w:rFonts w:hint="default"/>
        </w:rPr>
        <w:t>绪论</w:t>
      </w:r>
      <w:bookmarkEnd w:id="0"/>
      <w:bookmarkEnd w:id="1"/>
    </w:p>
    <w:p w14:paraId="276DE2CF" w14:textId="77777777" w:rsidR="00000000" w:rsidRDefault="00000000">
      <w:pPr>
        <w:pStyle w:val="afb"/>
        <w:spacing w:before="207" w:after="207"/>
        <w:rPr>
          <w:rFonts w:hint="default"/>
        </w:rPr>
      </w:pPr>
      <w:bookmarkStart w:id="2" w:name="_Toc26811"/>
      <w:bookmarkStart w:id="3" w:name="_Toc2611"/>
      <w:r>
        <w:t>研究背景和研究意义</w:t>
      </w:r>
      <w:bookmarkEnd w:id="2"/>
      <w:bookmarkEnd w:id="3"/>
    </w:p>
    <w:p w14:paraId="3DA2F0CC" w14:textId="77777777" w:rsidR="00000000" w:rsidRDefault="00000000">
      <w:pPr>
        <w:pStyle w:val="afc"/>
        <w:numPr>
          <w:ilvl w:val="0"/>
          <w:numId w:val="9"/>
        </w:numPr>
        <w:tabs>
          <w:tab w:val="left" w:pos="0"/>
        </w:tabs>
        <w:spacing w:before="207"/>
        <w:ind w:firstLine="567"/>
      </w:pPr>
      <w:bookmarkStart w:id="4" w:name="_Toc5090"/>
      <w:bookmarkStart w:id="5" w:name="_Toc10806"/>
      <w:r>
        <w:rPr>
          <w:rFonts w:hint="eastAsia"/>
        </w:rPr>
        <w:t>研究背景</w:t>
      </w:r>
      <w:bookmarkEnd w:id="4"/>
      <w:bookmarkEnd w:id="5"/>
    </w:p>
    <w:p w14:paraId="2EFC9488" w14:textId="77777777" w:rsidR="00000000" w:rsidRDefault="00000000">
      <w:pPr>
        <w:widowControl/>
        <w:spacing w:line="400" w:lineRule="exact"/>
        <w:ind w:firstLineChars="200" w:firstLine="486"/>
      </w:pPr>
      <w:r>
        <w:rPr>
          <w:rFonts w:ascii="宋体" w:hAnsi="宋体" w:cs="宋体" w:hint="eastAsia"/>
          <w:kern w:val="0"/>
          <w:lang w:bidi="ar"/>
        </w:rPr>
        <w:t>近年来，我国服装企业遭受国外服装品牌不断涌入和网络电子商务广泛普及的冲击严重，致使企业利润下滑、产品质量良莠不齐、库存积压严重等问题不断涌现。加之当前我国经济下行压力不断加大，服装行业整体呈现持续放缓发展态势。深入剖析其背后原因，关键在于</w:t>
      </w:r>
      <w:r>
        <w:rPr>
          <w:rFonts w:hint="eastAsia"/>
        </w:rPr>
        <w:t>一些服装企业仍然沿袭全链条的重资产运营模式，包括从产品研发、生产制造、营销管理到售后服务等各个环节。这种模式迫使企业将有限的资源广泛分散在各个运营环节，不仅会大幅提高企业运营成本，而且会严重制约企业在高附加值领域，如研发、营销和品牌塑造等方面的投入与创新，进而导致企业难以形成核心竞争力。轻资产运营模式相对传统重资产运营模式，放弃了企业对有形资产的依赖，比如厂房、设备等，转向依靠无形的、高附加值的资产，如品牌形象、核心技术、企业文化和供应链管理等来驱动企业创造价值，它促</w:t>
      </w:r>
      <w:r>
        <w:t>使企业更为集中地将资本投向核心业务，提高了资源利用效率与运营灵活性，更能适应当前瞬息万变的市场需求力。</w:t>
      </w:r>
    </w:p>
    <w:p w14:paraId="2ADAF7C1" w14:textId="77777777" w:rsidR="00000000" w:rsidRDefault="00000000">
      <w:pPr>
        <w:widowControl/>
        <w:ind w:firstLineChars="200" w:firstLine="486"/>
        <w:rPr>
          <w:rFonts w:ascii="宋体" w:hAnsi="宋体" w:cs="宋体"/>
          <w:szCs w:val="24"/>
        </w:rPr>
      </w:pPr>
      <w:r>
        <w:rPr>
          <w:rFonts w:ascii="宋体" w:hAnsi="宋体" w:cs="宋体"/>
          <w:szCs w:val="24"/>
        </w:rPr>
        <w:t>相较于重资产运营模式，轻资产运营模式能够以较少的资本投入实现更高的价值创造。然而，当前我国对轻资产运营模式的理论与实践仍处于持续探索阶段，不少服装企业在理论支撑和实践经验上存在明显不足，导致其在生产经营过程中面临诸多潜在财务风险。以国内较早推行轻资产转型的海澜之家、森马等企业为例，其在转型过程中逐渐显现出融资约束、投资效益不佳、存货积压、营业收入下滑等问题。服装行业作为我国实体经济的重要组成部分，在经营困境加剧、财务风险持续累积的双重压力下，整体发展速度有所放缓。</w:t>
      </w:r>
    </w:p>
    <w:p w14:paraId="2D5F727E" w14:textId="77777777" w:rsidR="00000000" w:rsidRDefault="00000000">
      <w:pPr>
        <w:widowControl/>
        <w:ind w:firstLineChars="200" w:firstLine="486"/>
      </w:pPr>
      <w:r>
        <w:rPr>
          <w:rFonts w:ascii="宋体" w:hAnsi="宋体" w:cs="宋体" w:hint="eastAsia"/>
          <w:kern w:val="0"/>
          <w:lang w:bidi="ar"/>
        </w:rPr>
        <w:t>《中国服装产业“十四五”发展指导意见和2035年远景目标》是我国为应对服装产业发展所面临的诸多挑战而制定的行动指南。</w:t>
      </w:r>
      <w:r>
        <w:rPr>
          <w:rFonts w:ascii="宋体" w:hAnsi="宋体" w:cs="宋体"/>
          <w:szCs w:val="24"/>
        </w:rPr>
        <w:t>《指导意见》通过一系列战略部署，着重强调了重振国内服装市场的重要意义，并为服装行业转型升级与高质量发展指明了方向。在此背景下，不断提升轻资产服装企业的财务风险防控能力，不仅有助于推动我国轻资产服装企业实现转型升级与稳健发展，也对促进国内各行业向轻资产运营模式转型变革具有重要的借鉴与推动意义。</w:t>
      </w:r>
    </w:p>
    <w:p w14:paraId="41B81B46" w14:textId="77777777" w:rsidR="00000000" w:rsidRDefault="00000000">
      <w:pPr>
        <w:widowControl/>
        <w:ind w:firstLineChars="200" w:firstLine="486"/>
        <w:rPr>
          <w:rFonts w:ascii="宋体" w:hAnsi="宋体" w:cs="宋体" w:hint="eastAsia"/>
          <w:kern w:val="0"/>
          <w:lang w:bidi="ar"/>
        </w:rPr>
      </w:pPr>
      <w:bookmarkStart w:id="6" w:name="_Toc2499"/>
      <w:r>
        <w:rPr>
          <w:rFonts w:ascii="宋体" w:hAnsi="宋体" w:cs="宋体" w:hint="eastAsia"/>
          <w:kern w:val="0"/>
          <w:lang w:bidi="ar"/>
        </w:rPr>
        <w:t>基于上述背景，本文选取国内具有代表性的 M 公司作为案例研究对象。M 公司作为我国较早实施轻资产运营模式转型的服装企业，在转型过程中暴露出的财务风险与经营困境，在行业内具有普遍性与典型性。对其开展财务风险识别、</w:t>
      </w:r>
      <w:r>
        <w:rPr>
          <w:rFonts w:ascii="宋体" w:hAnsi="宋体" w:cs="宋体" w:hint="eastAsia"/>
          <w:kern w:val="0"/>
          <w:lang w:bidi="ar"/>
        </w:rPr>
        <w:lastRenderedPageBreak/>
        <w:t>评价与防范研究，能够为同行业其他轻资产运营企业提供有益参考，有助于推动轻资产服装企业实现持续健康发展。</w:t>
      </w:r>
    </w:p>
    <w:p w14:paraId="4EFB1B8E" w14:textId="77777777" w:rsidR="00000000" w:rsidRDefault="00000000">
      <w:pPr>
        <w:pStyle w:val="afc"/>
        <w:numPr>
          <w:ilvl w:val="0"/>
          <w:numId w:val="9"/>
        </w:numPr>
        <w:tabs>
          <w:tab w:val="left" w:pos="0"/>
        </w:tabs>
        <w:spacing w:before="207"/>
        <w:ind w:firstLine="567"/>
      </w:pPr>
      <w:bookmarkStart w:id="7" w:name="_Toc10816"/>
      <w:r>
        <w:rPr>
          <w:rFonts w:hint="eastAsia"/>
        </w:rPr>
        <w:t>研究意义</w:t>
      </w:r>
      <w:bookmarkEnd w:id="6"/>
      <w:bookmarkEnd w:id="7"/>
    </w:p>
    <w:p w14:paraId="125CE93C" w14:textId="77777777" w:rsidR="00000000" w:rsidRDefault="00000000">
      <w:pPr>
        <w:pStyle w:val="afd"/>
        <w:numPr>
          <w:ilvl w:val="0"/>
          <w:numId w:val="10"/>
        </w:numPr>
        <w:ind w:firstLineChars="0"/>
        <w:rPr>
          <w:color w:val="auto"/>
        </w:rPr>
      </w:pPr>
      <w:r>
        <w:rPr>
          <w:rFonts w:hint="eastAsia"/>
          <w:color w:val="auto"/>
        </w:rPr>
        <w:t>理论意义</w:t>
      </w:r>
    </w:p>
    <w:p w14:paraId="116C63B0" w14:textId="77777777" w:rsidR="00000000" w:rsidRDefault="00000000">
      <w:pPr>
        <w:widowControl/>
        <w:wordWrap w:val="0"/>
        <w:spacing w:line="400" w:lineRule="exact"/>
        <w:ind w:firstLineChars="200" w:firstLine="486"/>
        <w:rPr>
          <w:rFonts w:ascii="宋体" w:hAnsi="宋体" w:cs="宋体" w:hint="eastAsia"/>
          <w:kern w:val="0"/>
          <w:lang w:bidi="ar"/>
        </w:rPr>
      </w:pPr>
      <w:r>
        <w:rPr>
          <w:rFonts w:ascii="宋体" w:hAnsi="宋体" w:cs="宋体" w:hint="eastAsia"/>
          <w:kern w:val="0"/>
          <w:lang w:bidi="ar"/>
        </w:rPr>
        <w:t>目前，关于轻资产运营模式的研究主要集中于其优势方面，对于其可能引发的财务风险的研究相对缺乏。随着越来越多的企业开始进行轻资产化转型，在此背景下，探讨如何识别、评价和防控其可能引发的财务风险，可以填补研究空白，丰富研究文献。</w:t>
      </w:r>
    </w:p>
    <w:p w14:paraId="063915F5" w14:textId="77777777" w:rsidR="00000000" w:rsidRDefault="00000000">
      <w:pPr>
        <w:pStyle w:val="afd"/>
        <w:numPr>
          <w:ilvl w:val="0"/>
          <w:numId w:val="10"/>
        </w:numPr>
        <w:ind w:firstLineChars="0"/>
        <w:rPr>
          <w:color w:val="auto"/>
        </w:rPr>
      </w:pPr>
      <w:r>
        <w:rPr>
          <w:rFonts w:hint="eastAsia"/>
          <w:color w:val="auto"/>
        </w:rPr>
        <w:t>实践意义</w:t>
      </w:r>
    </w:p>
    <w:p w14:paraId="570C0243" w14:textId="77777777" w:rsidR="00000000" w:rsidRDefault="00000000">
      <w:pPr>
        <w:pStyle w:val="afd"/>
        <w:ind w:firstLine="486"/>
        <w:rPr>
          <w:rFonts w:hint="eastAsia"/>
          <w:color w:val="000000"/>
        </w:rPr>
      </w:pPr>
      <w:r>
        <w:rPr>
          <w:rFonts w:cs="宋体" w:hint="eastAsia"/>
          <w:color w:val="auto"/>
          <w:lang w:bidi="ar"/>
        </w:rPr>
        <w:t>首先，</w:t>
      </w:r>
      <w:r>
        <w:rPr>
          <w:rFonts w:hint="eastAsia"/>
          <w:color w:val="000000"/>
        </w:rPr>
        <w:t>有助于为轻资产运营企业探索和提出一套有效的财务风险规避系统。运用对M公司的实例分析，有利于降低M公司的风险程度，同时也有助于为其他同类企业提供规避风险建议。</w:t>
      </w:r>
    </w:p>
    <w:p w14:paraId="02BFAF44" w14:textId="77777777" w:rsidR="00000000" w:rsidRDefault="00000000">
      <w:pPr>
        <w:pStyle w:val="afd"/>
        <w:ind w:firstLine="486"/>
        <w:rPr>
          <w:rFonts w:hint="eastAsia"/>
          <w:color w:val="000000"/>
        </w:rPr>
      </w:pPr>
      <w:r>
        <w:rPr>
          <w:rFonts w:cs="宋体" w:hint="eastAsia"/>
          <w:color w:val="auto"/>
          <w:lang w:bidi="ar"/>
        </w:rPr>
        <w:t>其次，本研究具有显著的实践指导</w:t>
      </w:r>
      <w:r>
        <w:rPr>
          <w:rFonts w:hint="eastAsia"/>
          <w:color w:val="000000"/>
        </w:rPr>
        <w:t>作用。建立完善的轻资产运营模式财务风控体系，有利于企业在发展中实现风险与效益的合理均衡，在保障财务安全的前提下实现经营效益最大化，推动企业迈向高质量、可持续发展的新阶段。</w:t>
      </w:r>
    </w:p>
    <w:p w14:paraId="0EB37EE6" w14:textId="77777777" w:rsidR="00000000" w:rsidRDefault="00000000">
      <w:pPr>
        <w:pStyle w:val="afd"/>
        <w:ind w:firstLine="486"/>
        <w:rPr>
          <w:color w:val="auto"/>
        </w:rPr>
      </w:pPr>
      <w:r>
        <w:rPr>
          <w:rFonts w:cs="宋体" w:hint="eastAsia"/>
          <w:color w:val="auto"/>
          <w:lang w:bidi="ar"/>
        </w:rPr>
        <w:t>最后，</w:t>
      </w:r>
      <w:bookmarkStart w:id="8" w:name="OLE_LINK3"/>
      <w:r>
        <w:rPr>
          <w:rFonts w:hint="eastAsia"/>
          <w:color w:val="000000"/>
        </w:rPr>
        <w:t>本研究将对推动行业变革有所助力。通过对M公司轻资产运营模式下财务风险的探讨可以为其他服装企业转型提供借鉴和参考，有利于整个服装行业结构转型与升级，推动行业可持续发展。</w:t>
      </w:r>
    </w:p>
    <w:p w14:paraId="17180411" w14:textId="77777777" w:rsidR="00000000" w:rsidRDefault="00000000">
      <w:pPr>
        <w:pStyle w:val="afd"/>
        <w:ind w:firstLine="486"/>
        <w:rPr>
          <w:rFonts w:cs="宋体" w:hint="eastAsia"/>
          <w:color w:val="auto"/>
          <w:lang w:bidi="ar"/>
        </w:rPr>
      </w:pPr>
    </w:p>
    <w:p w14:paraId="0F60C7BC" w14:textId="77777777" w:rsidR="00000000" w:rsidRDefault="00000000">
      <w:pPr>
        <w:pStyle w:val="afb"/>
        <w:spacing w:before="207" w:after="207"/>
        <w:rPr>
          <w:rFonts w:hint="default"/>
        </w:rPr>
      </w:pPr>
      <w:bookmarkStart w:id="9" w:name="_Toc10915"/>
      <w:bookmarkStart w:id="10" w:name="_Toc8768"/>
      <w:bookmarkEnd w:id="8"/>
      <w:r>
        <w:t>国内外文献综述</w:t>
      </w:r>
      <w:bookmarkEnd w:id="9"/>
      <w:bookmarkEnd w:id="10"/>
    </w:p>
    <w:p w14:paraId="0EDB3CAF" w14:textId="77777777" w:rsidR="00000000" w:rsidRDefault="00000000">
      <w:pPr>
        <w:pStyle w:val="afc"/>
        <w:numPr>
          <w:ilvl w:val="0"/>
          <w:numId w:val="11"/>
        </w:numPr>
        <w:tabs>
          <w:tab w:val="left" w:pos="0"/>
        </w:tabs>
        <w:spacing w:before="207"/>
        <w:ind w:left="0" w:firstLine="567"/>
      </w:pPr>
      <w:bookmarkStart w:id="11" w:name="_Toc4505"/>
      <w:bookmarkStart w:id="12" w:name="_Toc32299"/>
      <w:r>
        <w:rPr>
          <w:rFonts w:hint="eastAsia"/>
        </w:rPr>
        <w:t>轻资产概念相关研究</w:t>
      </w:r>
      <w:bookmarkEnd w:id="11"/>
      <w:bookmarkEnd w:id="12"/>
    </w:p>
    <w:p w14:paraId="0BB3C0B2" w14:textId="77777777" w:rsidR="00000000" w:rsidRDefault="00000000">
      <w:pPr>
        <w:pStyle w:val="afd"/>
        <w:ind w:firstLine="486"/>
        <w:rPr>
          <w:rFonts w:cs="宋体" w:hint="eastAsia"/>
          <w:color w:val="auto"/>
          <w:lang w:bidi="ar"/>
        </w:rPr>
      </w:pPr>
      <w:r>
        <w:rPr>
          <w:rFonts w:cs="宋体" w:hint="eastAsia"/>
          <w:color w:val="auto"/>
          <w:lang w:bidi="ar"/>
        </w:rPr>
        <w:t>“轻资产”的概念最初由国外学者Wemerfelt于1984年提出，他基于“资源观”的理论框架，将“轻资产”定义为一类具备独特属性的资源形态，其核心特征体现为资源要素的高度密集性、市场供给的相对稀缺性以及价值内核的难以复制性。Wemerfelt强调轻资产可以有效地将各种资源进行整合，然后将最大的价值贡献给企业</w:t>
      </w:r>
      <w:r>
        <w:rPr>
          <w:rFonts w:cs="宋体" w:hint="eastAsia"/>
          <w:color w:val="auto"/>
          <w:vertAlign w:val="superscript"/>
          <w:lang w:bidi="ar"/>
        </w:rPr>
        <w:t>[1]</w:t>
      </w:r>
      <w:r>
        <w:rPr>
          <w:rFonts w:cs="宋体" w:hint="eastAsia"/>
          <w:color w:val="auto"/>
          <w:lang w:bidi="ar"/>
        </w:rPr>
        <w:t>。这一观点为后续研究奠定了理论基础。随后，JayB.Barney(1991)对轻资产作为企业持续竞争优势来源的重要性作了进一步的阐述，认为轻资产一般具备高价值性、稀缺性、难以模仿性以及不可替代性等核心特征，而这些特征正是企业构建持续竞争优势的关键基础</w:t>
      </w:r>
      <w:r>
        <w:rPr>
          <w:rFonts w:cs="宋体" w:hint="eastAsia"/>
          <w:color w:val="auto"/>
          <w:vertAlign w:val="superscript"/>
          <w:lang w:bidi="ar"/>
        </w:rPr>
        <w:t>[2]</w:t>
      </w:r>
      <w:r>
        <w:rPr>
          <w:rFonts w:cs="宋体" w:hint="eastAsia"/>
          <w:color w:val="auto"/>
          <w:lang w:bidi="ar"/>
        </w:rPr>
        <w:t>。该观点进一步加深了大众对于轻资产所具备特性的认知。进入21世纪，Maly（2002）对轻资产的概念进行了拓展。他认为，财务报表所列资产往往属于企业的重资产范畴，而轻资产则包括商誉等无形资产，这些资产虽没有列示在财务报表上，但可以给公司带来利润。</w:t>
      </w:r>
      <w:r>
        <w:rPr>
          <w:rFonts w:cs="宋体" w:hint="eastAsia"/>
          <w:color w:val="auto"/>
          <w:lang w:bidi="ar"/>
        </w:rPr>
        <w:lastRenderedPageBreak/>
        <w:t>此外，Maly进一步指出，企业应当优化资源配置，加大对轻资产要素的投入力度，从而实现投资回报的最优化</w:t>
      </w:r>
      <w:r>
        <w:rPr>
          <w:rFonts w:cs="宋体" w:hint="eastAsia"/>
          <w:color w:val="auto"/>
          <w:vertAlign w:val="superscript"/>
          <w:lang w:bidi="ar"/>
        </w:rPr>
        <w:t>[3]</w:t>
      </w:r>
      <w:r>
        <w:rPr>
          <w:rFonts w:cs="宋体" w:hint="eastAsia"/>
          <w:color w:val="auto"/>
          <w:lang w:bidi="ar"/>
        </w:rPr>
        <w:t>。这一观点为企业资源配置提供了实践指导。Liou（2011）继续深化了轻资产概念的研究。他指出，轻资产是企业长期积累的一种无形资源，不同于表中列示的有形或重资产，认为轻资产可以不同程度地为企业带来超额回报，从而帮助企业形成竞争优势，而这种优势又是其他企业所不及的</w:t>
      </w:r>
      <w:r>
        <w:rPr>
          <w:rFonts w:cs="宋体" w:hint="eastAsia"/>
          <w:color w:val="auto"/>
          <w:vertAlign w:val="superscript"/>
          <w:lang w:bidi="ar"/>
        </w:rPr>
        <w:t>[4]</w:t>
      </w:r>
      <w:r>
        <w:rPr>
          <w:rFonts w:cs="宋体" w:hint="eastAsia"/>
          <w:color w:val="auto"/>
          <w:lang w:bidi="ar"/>
        </w:rPr>
        <w:t>。这一论述进一步凸显了轻资产运营在企业战略规划中的关键作用。</w:t>
      </w:r>
    </w:p>
    <w:p w14:paraId="09F42C35" w14:textId="77777777" w:rsidR="00000000" w:rsidRDefault="00000000">
      <w:pPr>
        <w:pStyle w:val="afd"/>
        <w:ind w:firstLine="486"/>
        <w:rPr>
          <w:rFonts w:cs="宋体" w:hint="eastAsia"/>
          <w:color w:val="auto"/>
          <w:lang w:bidi="ar"/>
        </w:rPr>
      </w:pPr>
      <w:r>
        <w:rPr>
          <w:rFonts w:cs="宋体" w:hint="eastAsia"/>
          <w:color w:val="auto"/>
          <w:lang w:bidi="ar"/>
        </w:rPr>
        <w:t>与国外相比，我国的轻资产研究相对滞后。2001年，光明乳业率先引进了轻资产模式，改革经营机制，因而相继引起了我国学界与业界有关轻资产模式的研究热潮。在学术探讨中，王吉万（2008）认为轻资产的内涵分为广义和狭义两种含义。广义上，轻资产是指企业的非实物型资产，它主要包括无形资产（如技术、品牌）、以人力资本、组织资本等表示的无形驱动力；狭义上的轻资产是相对于重资产而言的，主要是一些不能数据化反映出来的资产，如企业品牌、企业文化和企业人力资源、客户关系等，而品牌和独特的技术优势是轻资产的主要核心因素</w:t>
      </w:r>
      <w:r>
        <w:rPr>
          <w:rFonts w:cs="宋体" w:hint="eastAsia"/>
          <w:color w:val="auto"/>
          <w:vertAlign w:val="superscript"/>
          <w:lang w:bidi="ar"/>
        </w:rPr>
        <w:t>[5]</w:t>
      </w:r>
      <w:r>
        <w:rPr>
          <w:rFonts w:cs="宋体" w:hint="eastAsia"/>
          <w:color w:val="auto"/>
          <w:lang w:bidi="ar"/>
        </w:rPr>
        <w:t>。朱伟民、赵梅、吴淑琼(2018)认为，虽然财务报表上很少见到公司的轻资产，但是它对公司盈利的贡献却不容小觑</w:t>
      </w:r>
      <w:r>
        <w:rPr>
          <w:rFonts w:cs="宋体" w:hint="eastAsia"/>
          <w:color w:val="auto"/>
          <w:vertAlign w:val="superscript"/>
          <w:lang w:bidi="ar"/>
        </w:rPr>
        <w:t>[6]</w:t>
      </w:r>
      <w:r>
        <w:rPr>
          <w:rFonts w:cs="宋体" w:hint="eastAsia"/>
          <w:color w:val="auto"/>
          <w:lang w:bidi="ar"/>
        </w:rPr>
        <w:t>。该种观点强调了轻资产运营模式对提升企业经营效益、帮助企业控制经营风险的重要意义。邵建军等(2019)对轻资产的内涵界定进行了进一步的延伸，认为专有技术、信誉、管理体系等能代表企业主要竞争优势的各种资产都可以看作是轻资产</w:t>
      </w:r>
      <w:r>
        <w:rPr>
          <w:rFonts w:cs="宋体" w:hint="eastAsia"/>
          <w:color w:val="auto"/>
          <w:vertAlign w:val="superscript"/>
          <w:lang w:bidi="ar"/>
        </w:rPr>
        <w:t>[7]</w:t>
      </w:r>
      <w:r>
        <w:rPr>
          <w:rFonts w:cs="宋体" w:hint="eastAsia"/>
          <w:color w:val="auto"/>
          <w:lang w:bidi="ar"/>
        </w:rPr>
        <w:t>。其丰富了轻资产的涵义，更符合企业多元化实际经营需要的状况。田宇润(2021)从业务经营理念入手，提出轻资产既是“资本增值资源”，也是“核心能力导向”，强调了企业资源配置的优化必须发展企业核心能力。他提出，企业的轻资产程度越高，公司的业绩往往也就越好</w:t>
      </w:r>
      <w:r>
        <w:rPr>
          <w:rFonts w:cs="宋体" w:hint="eastAsia"/>
          <w:color w:val="auto"/>
          <w:vertAlign w:val="superscript"/>
          <w:lang w:bidi="ar"/>
        </w:rPr>
        <w:t>[8]</w:t>
      </w:r>
      <w:r>
        <w:rPr>
          <w:rFonts w:cs="宋体" w:hint="eastAsia"/>
          <w:color w:val="auto"/>
          <w:lang w:bidi="ar"/>
        </w:rPr>
        <w:t>。这一视角也把轻资产升格到战略和资源管理高度。黄琴东（2023）进一步从“微笑曲线”出发，非常明确地把轻资产的归属锁定到“研发”、“销售”两个高附加值的内容上。因此，投入于“研发”、“销售”这两个环节的内容，如研发能力、品牌、销售能力，都可以看作是轻资产，也属于企业收入的主要部分</w:t>
      </w:r>
      <w:r>
        <w:rPr>
          <w:rFonts w:cs="宋体" w:hint="eastAsia"/>
          <w:color w:val="auto"/>
          <w:vertAlign w:val="superscript"/>
          <w:lang w:bidi="ar"/>
        </w:rPr>
        <w:t>[9]</w:t>
      </w:r>
      <w:r>
        <w:rPr>
          <w:rFonts w:cs="宋体" w:hint="eastAsia"/>
          <w:color w:val="auto"/>
          <w:lang w:bidi="ar"/>
        </w:rPr>
        <w:t>。这一观点提供了一种新的视角来考虑轻资产与企业价值获得的关系。综合前人研究所作的分析，潘成辰（2024）重新定义了轻资产，将其界定为研发创新、人力资源、品牌、文化、营销能力等核心无形资产的集合，这些无形资产可以给企业带来独特优势，但却不会反映在企业财务报表上</w:t>
      </w:r>
      <w:r>
        <w:rPr>
          <w:rFonts w:cs="宋体" w:hint="eastAsia"/>
          <w:color w:val="auto"/>
          <w:vertAlign w:val="superscript"/>
          <w:lang w:bidi="ar"/>
        </w:rPr>
        <w:t>[10]</w:t>
      </w:r>
      <w:r>
        <w:rPr>
          <w:rFonts w:cs="宋体" w:hint="eastAsia"/>
          <w:color w:val="auto"/>
          <w:lang w:bidi="ar"/>
        </w:rPr>
        <w:t xml:space="preserve">。这一定义更全面的概括了轻资产的表现形式，更为研究轻资产和轻资产企业竞争优势的内在关系奠定了基础。    </w:t>
      </w:r>
      <w:r>
        <w:rPr>
          <w:rFonts w:cs="宋体"/>
          <w:color w:val="auto"/>
          <w:lang w:bidi="ar"/>
        </w:rPr>
        <w:t xml:space="preserve">                                              </w:t>
      </w:r>
      <w:r>
        <w:rPr>
          <w:rFonts w:cs="宋体" w:hint="eastAsia"/>
          <w:color w:val="auto"/>
          <w:lang w:bidi="ar"/>
        </w:rPr>
        <w:t>综上，轻资产包括表内无形资产和表外一切能为企业创造价值的资产，它是</w:t>
      </w:r>
      <w:r>
        <w:rPr>
          <w:rFonts w:cs="宋体" w:hint="eastAsia"/>
          <w:color w:val="auto"/>
          <w:lang w:bidi="ar"/>
        </w:rPr>
        <w:lastRenderedPageBreak/>
        <w:t>企业的核心资源和核心竞争力。轻资产不仅为企业持续发展注入强大动力，更是企业形成独特竞争优势的力量源泉。</w:t>
      </w:r>
    </w:p>
    <w:p w14:paraId="7750A1ED" w14:textId="77777777" w:rsidR="00000000" w:rsidRDefault="00000000">
      <w:pPr>
        <w:pStyle w:val="afc"/>
        <w:numPr>
          <w:ilvl w:val="0"/>
          <w:numId w:val="11"/>
        </w:numPr>
        <w:tabs>
          <w:tab w:val="left" w:pos="0"/>
        </w:tabs>
        <w:spacing w:before="207"/>
        <w:ind w:left="0" w:firstLine="567"/>
      </w:pPr>
      <w:bookmarkStart w:id="13" w:name="_Toc25486"/>
      <w:bookmarkStart w:id="14" w:name="_Toc17137"/>
      <w:r>
        <w:rPr>
          <w:rFonts w:hint="eastAsia"/>
        </w:rPr>
        <w:t>轻资产运营模式相关研究</w:t>
      </w:r>
      <w:bookmarkEnd w:id="13"/>
      <w:bookmarkEnd w:id="14"/>
    </w:p>
    <w:p w14:paraId="6B60F589" w14:textId="77777777" w:rsidR="00000000" w:rsidRDefault="00000000">
      <w:pPr>
        <w:pStyle w:val="afd"/>
        <w:ind w:firstLine="486"/>
        <w:rPr>
          <w:rFonts w:cs="宋体"/>
          <w:color w:val="auto"/>
          <w:lang w:bidi="ar"/>
        </w:rPr>
      </w:pPr>
      <w:bookmarkStart w:id="15" w:name="_Toc28255"/>
      <w:r>
        <w:rPr>
          <w:rFonts w:cs="宋体" w:hint="eastAsia"/>
          <w:color w:val="auto"/>
          <w:lang w:bidi="ar"/>
        </w:rPr>
        <w:t>关于轻资产运营模式，国外学者从不同视角进行了研究。GeorgianaSurdu(2011)认为，轻资产运营的内涵就是企业为了尽快获得更多利润而把自身的非核心优势“甩”给供应商，自己则专注于设计、市场等可能创造差异价值的活动</w:t>
      </w:r>
      <w:r>
        <w:rPr>
          <w:rFonts w:cs="宋体" w:hint="eastAsia"/>
          <w:color w:val="auto"/>
          <w:vertAlign w:val="superscript"/>
          <w:lang w:bidi="ar"/>
        </w:rPr>
        <w:t>[11]</w:t>
      </w:r>
      <w:r>
        <w:rPr>
          <w:rFonts w:cs="宋体" w:hint="eastAsia"/>
          <w:color w:val="auto"/>
          <w:lang w:bidi="ar"/>
        </w:rPr>
        <w:t>。它反映了轻资产运营对企业价值创造和持续巩固自己优势地位的重要意义。Sohn等(2013)以美国酒店业为分析案例，发现酒店在实行轻资产运营模式后，放弃持有固定资产，实行特许经营(加盟)扩大经营规模，大幅提高了盈利水平和经营效率</w:t>
      </w:r>
      <w:r>
        <w:rPr>
          <w:rFonts w:cs="宋体" w:hint="eastAsia"/>
          <w:color w:val="auto"/>
          <w:vertAlign w:val="superscript"/>
          <w:lang w:bidi="ar"/>
        </w:rPr>
        <w:t>[12]</w:t>
      </w:r>
      <w:r>
        <w:rPr>
          <w:rFonts w:cs="宋体" w:hint="eastAsia"/>
          <w:color w:val="auto"/>
          <w:lang w:bidi="ar"/>
        </w:rPr>
        <w:t xml:space="preserve">。更验证了轻资产运营模式在实际应用中的可行性。  </w:t>
      </w:r>
    </w:p>
    <w:p w14:paraId="01B86D1A" w14:textId="77777777" w:rsidR="00000000" w:rsidRDefault="00000000">
      <w:pPr>
        <w:pStyle w:val="afd"/>
        <w:ind w:firstLine="486"/>
        <w:rPr>
          <w:rFonts w:cs="宋体" w:hint="eastAsia"/>
          <w:color w:val="auto"/>
          <w:lang w:bidi="ar"/>
        </w:rPr>
      </w:pPr>
      <w:r>
        <w:rPr>
          <w:rFonts w:cs="宋体" w:hint="eastAsia"/>
          <w:color w:val="auto"/>
          <w:lang w:bidi="ar"/>
        </w:rPr>
        <w:t>国内学者的研究也证实了轻资产运营模式的主要特征。汪怡迪和余博（2020）认为，进行轻资产运营的企业会降低自身固定资产的比重，将压缩下来的资源投入到技术研发、品牌建设和销售等环节，这不仅提高了资源配置效率和运营效率，而且有助于企业高效运作和价值创造</w:t>
      </w:r>
      <w:r>
        <w:rPr>
          <w:rFonts w:cs="宋体" w:hint="eastAsia"/>
          <w:color w:val="auto"/>
          <w:vertAlign w:val="superscript"/>
          <w:lang w:bidi="ar"/>
        </w:rPr>
        <w:t>[13]</w:t>
      </w:r>
      <w:r>
        <w:rPr>
          <w:rFonts w:cs="宋体" w:hint="eastAsia"/>
          <w:color w:val="auto"/>
          <w:lang w:bidi="ar"/>
        </w:rPr>
        <w:t>。董伟鑫（2021）认为，轻资产运营模式是经济全球化和互联网化的必然产物，是企业在当前环境和经济形势下增强其竞争优势的必然选择。它重视创新、保护知识产权、树立企业品牌，更加符合我国当前的产业结构改革趋势</w:t>
      </w:r>
      <w:r>
        <w:rPr>
          <w:rFonts w:cs="宋体" w:hint="eastAsia"/>
          <w:color w:val="auto"/>
          <w:vertAlign w:val="superscript"/>
          <w:lang w:bidi="ar"/>
        </w:rPr>
        <w:t>[14]</w:t>
      </w:r>
      <w:r>
        <w:rPr>
          <w:rFonts w:cs="宋体" w:hint="eastAsia"/>
          <w:color w:val="auto"/>
          <w:lang w:bidi="ar"/>
        </w:rPr>
        <w:t>。该观点阐明了轻资产运营模式对于当今企业发展的重要战略意义。朱卫东(2022)通过对制造业上市公司的调研发现，轻资产化程度较高、利润较大的企业，其绩效水平往往好于轻资产化程度相对较低的企业</w:t>
      </w:r>
      <w:r>
        <w:rPr>
          <w:rFonts w:cs="宋体" w:hint="eastAsia"/>
          <w:color w:val="auto"/>
          <w:vertAlign w:val="superscript"/>
          <w:lang w:bidi="ar"/>
        </w:rPr>
        <w:t>[15]</w:t>
      </w:r>
      <w:r>
        <w:rPr>
          <w:rFonts w:cs="宋体" w:hint="eastAsia"/>
          <w:color w:val="auto"/>
          <w:lang w:bidi="ar"/>
        </w:rPr>
        <w:t>。这一实证研究也直接论证了轻资产运营模式对企业绩效的正面效应。李长庆（2023）检验了轻资产战略对于旅游企业新业务经营的推动作用，分析了轻资产战略对于促进旅游企业发展的核心驱动力。他提出旅游企业逐渐由重资产的经营形态开始向轻资产的经营模式转型，并对价值链进行重新定位，逐步将资金投入到供应链管理和企业绩效能力提升等核心业务上</w:t>
      </w:r>
      <w:r>
        <w:rPr>
          <w:rFonts w:cs="宋体" w:hint="eastAsia"/>
          <w:color w:val="auto"/>
          <w:vertAlign w:val="superscript"/>
          <w:lang w:bidi="ar"/>
        </w:rPr>
        <w:t>[16]</w:t>
      </w:r>
      <w:r>
        <w:rPr>
          <w:rFonts w:cs="宋体" w:hint="eastAsia"/>
          <w:color w:val="auto"/>
          <w:lang w:bidi="ar"/>
        </w:rPr>
        <w:t>。这一结论对轻资产模式在具体行业的运用起到很好的引导作用。漆文超(2024)和仝文静(2024)的研究也表明轻资产运营可以凭借低成本和弹性灵活等特点来降低企业经营风险，提高资源利用效率。他们认为轻资产运营模式依靠便捷快速的资源管理平台实现了“以最小的资金投入寻求最大的投资回报”的财务目标</w:t>
      </w:r>
      <w:r>
        <w:rPr>
          <w:rFonts w:cs="宋体" w:hint="eastAsia"/>
          <w:color w:val="auto"/>
          <w:vertAlign w:val="superscript"/>
          <w:lang w:bidi="ar"/>
        </w:rPr>
        <w:t>[17][18]</w:t>
      </w:r>
      <w:r>
        <w:rPr>
          <w:rFonts w:cs="宋体" w:hint="eastAsia"/>
          <w:color w:val="auto"/>
          <w:lang w:bidi="ar"/>
        </w:rPr>
        <w:t>。</w:t>
      </w:r>
    </w:p>
    <w:p w14:paraId="1B3E3A51" w14:textId="77777777" w:rsidR="00000000" w:rsidRDefault="00000000">
      <w:pPr>
        <w:pStyle w:val="afd"/>
        <w:ind w:firstLine="486"/>
        <w:rPr>
          <w:rFonts w:cs="宋体" w:hint="eastAsia"/>
          <w:color w:val="auto"/>
          <w:lang w:bidi="ar"/>
        </w:rPr>
      </w:pPr>
      <w:r>
        <w:rPr>
          <w:rFonts w:cs="宋体" w:hint="eastAsia"/>
          <w:color w:val="auto"/>
          <w:lang w:bidi="ar"/>
        </w:rPr>
        <w:t>综上，轻资产运营模式的核心在于将有限资源投至设计、营销等价值链高端，降低固定资产投资成本，追求有限资源投入产出比最大化，为企业带来最佳经济效益。该模式通过建立管理系统平台，加强企业运营管理，科学利用企业资源，不仅能够有效提升企业价值创造，而且通过最优资源配置提升运营效率，为企业高质量发展、可持续发展奠定了基础。</w:t>
      </w:r>
    </w:p>
    <w:p w14:paraId="3D4FEDED" w14:textId="77777777" w:rsidR="00000000" w:rsidRDefault="00000000">
      <w:pPr>
        <w:pStyle w:val="afc"/>
        <w:numPr>
          <w:ilvl w:val="0"/>
          <w:numId w:val="11"/>
        </w:numPr>
        <w:tabs>
          <w:tab w:val="left" w:pos="0"/>
        </w:tabs>
        <w:spacing w:before="207"/>
        <w:ind w:left="0" w:firstLine="567"/>
      </w:pPr>
      <w:bookmarkStart w:id="16" w:name="_Toc15924"/>
      <w:r>
        <w:rPr>
          <w:rFonts w:hint="eastAsia"/>
        </w:rPr>
        <w:lastRenderedPageBreak/>
        <w:t>财务风险相关研究</w:t>
      </w:r>
      <w:bookmarkEnd w:id="15"/>
      <w:bookmarkEnd w:id="16"/>
    </w:p>
    <w:p w14:paraId="3E6765EE" w14:textId="77777777" w:rsidR="00000000" w:rsidRDefault="00000000">
      <w:pPr>
        <w:pStyle w:val="afd"/>
        <w:numPr>
          <w:ilvl w:val="0"/>
          <w:numId w:val="12"/>
        </w:numPr>
        <w:ind w:firstLineChars="0"/>
        <w:rPr>
          <w:color w:val="auto"/>
        </w:rPr>
      </w:pPr>
      <w:r>
        <w:rPr>
          <w:rFonts w:hint="eastAsia"/>
          <w:color w:val="auto"/>
        </w:rPr>
        <w:t>财务风险的定义及分类</w:t>
      </w:r>
    </w:p>
    <w:p w14:paraId="1FBE2438" w14:textId="77777777" w:rsidR="00000000" w:rsidRDefault="00000000">
      <w:pPr>
        <w:pStyle w:val="afd"/>
        <w:numPr>
          <w:ilvl w:val="0"/>
          <w:numId w:val="13"/>
        </w:numPr>
        <w:ind w:firstLineChars="0"/>
        <w:rPr>
          <w:color w:val="auto"/>
        </w:rPr>
      </w:pPr>
      <w:r>
        <w:rPr>
          <w:rFonts w:hint="eastAsia"/>
          <w:color w:val="auto"/>
        </w:rPr>
        <w:t>财务风险的定义</w:t>
      </w:r>
    </w:p>
    <w:p w14:paraId="5C803A21" w14:textId="77777777" w:rsidR="00000000" w:rsidRDefault="00000000">
      <w:pPr>
        <w:pStyle w:val="afd"/>
        <w:ind w:firstLine="486"/>
        <w:rPr>
          <w:rFonts w:cs="宋体" w:hint="eastAsia"/>
          <w:color w:val="auto"/>
          <w:lang w:bidi="ar"/>
        </w:rPr>
      </w:pPr>
      <w:r>
        <w:rPr>
          <w:rFonts w:cs="宋体" w:hint="eastAsia"/>
          <w:color w:val="auto"/>
          <w:lang w:bidi="ar"/>
        </w:rPr>
        <w:t>财务风险是企业经营中的重要问题，其定义也经历了一个由简单到成熟的演变过程。</w:t>
      </w:r>
    </w:p>
    <w:p w14:paraId="3E42F043" w14:textId="77777777" w:rsidR="00000000" w:rsidRDefault="00000000">
      <w:pPr>
        <w:pStyle w:val="afd"/>
        <w:ind w:firstLine="486"/>
        <w:rPr>
          <w:rFonts w:cs="宋体"/>
          <w:color w:val="auto"/>
          <w:lang w:bidi="ar"/>
        </w:rPr>
      </w:pPr>
      <w:r>
        <w:rPr>
          <w:rFonts w:cs="宋体" w:hint="eastAsia"/>
          <w:color w:val="auto"/>
          <w:lang w:bidi="ar"/>
        </w:rPr>
        <w:t>国外关于风险的研究强调风险管理与企业经营的系统性结合，这一研究可追溯到20世纪初。HenryFayol（1916）是最早开始将风险意识融入到现代企业经营理念的开创者。他强调企业在制定企业计划时要考虑商业、财务等各种变故可能带来风险损失的问题</w:t>
      </w:r>
      <w:r>
        <w:rPr>
          <w:rFonts w:cs="宋体" w:hint="eastAsia"/>
          <w:color w:val="auto"/>
          <w:vertAlign w:val="superscript"/>
          <w:lang w:bidi="ar"/>
        </w:rPr>
        <w:t>[19]</w:t>
      </w:r>
      <w:r>
        <w:rPr>
          <w:rFonts w:cs="宋体" w:hint="eastAsia"/>
          <w:color w:val="auto"/>
          <w:lang w:bidi="ar"/>
        </w:rPr>
        <w:t>。之后，Carmichae(2000)指出了财务风险的内涵，认为财务风险主要包括企业无法偿还到期债务的可能性，以及每股收益因无法合理利用财务杠杆而发生变动的风险</w:t>
      </w:r>
      <w:r>
        <w:rPr>
          <w:rFonts w:cs="宋体" w:hint="eastAsia"/>
          <w:color w:val="auto"/>
          <w:vertAlign w:val="superscript"/>
          <w:lang w:bidi="ar"/>
        </w:rPr>
        <w:t>[20]</w:t>
      </w:r>
      <w:r>
        <w:rPr>
          <w:rFonts w:cs="宋体" w:hint="eastAsia"/>
          <w:color w:val="auto"/>
          <w:lang w:bidi="ar"/>
        </w:rPr>
        <w:t>。这个定义从偿债能力和财务杠杆两方面指出财务风险将会影响企业的经营。</w:t>
      </w:r>
    </w:p>
    <w:p w14:paraId="2907FFE0" w14:textId="77777777" w:rsidR="00000000" w:rsidRDefault="00000000">
      <w:pPr>
        <w:pStyle w:val="afd"/>
        <w:ind w:firstLine="486"/>
        <w:rPr>
          <w:rFonts w:cs="宋体" w:hint="eastAsia"/>
          <w:color w:val="auto"/>
          <w:lang w:bidi="ar"/>
        </w:rPr>
      </w:pPr>
      <w:r>
        <w:rPr>
          <w:rFonts w:cs="宋体" w:hint="eastAsia"/>
          <w:color w:val="auto"/>
          <w:lang w:bidi="ar"/>
        </w:rPr>
        <w:t>尽管我国对风险管理研究开始的比较晚，但一开始就有着以财务风险为中心进行研究的特点。其中，刘恩禄、汤谷良(1989)是国内最早提出财务风险概念的学者，他们将财务风险定义为由于各种不确定的或无法控制的因素的影响，引发企业的财务收益与预期不一致，以致企业蒙受损失的可能性</w:t>
      </w:r>
      <w:r>
        <w:rPr>
          <w:rFonts w:cs="宋体" w:hint="eastAsia"/>
          <w:color w:val="auto"/>
          <w:vertAlign w:val="superscript"/>
          <w:lang w:bidi="ar"/>
        </w:rPr>
        <w:t>[21]</w:t>
      </w:r>
      <w:r>
        <w:rPr>
          <w:rFonts w:cs="宋体" w:hint="eastAsia"/>
          <w:color w:val="auto"/>
          <w:lang w:bidi="ar"/>
        </w:rPr>
        <w:t>，这一定义突出了财务风险引发“财务收益”和“预期收益”不一致以及由此造成经济损失的内涵。韩冬梅(2015)在研究中对财务风险这一名词作了狭义与广义的区分。认为狭义的财务风险是指现金和财务上的状况给公司所带来的不利影响，包括债务融资等；广义的财务风险是指公司实际的回报与计划或预期的回报由于“不可抗力”或“无法控制”的因素出现而引起不确定性的风险</w:t>
      </w:r>
      <w:r>
        <w:rPr>
          <w:rFonts w:cs="宋体" w:hint="eastAsia"/>
          <w:color w:val="auto"/>
          <w:vertAlign w:val="superscript"/>
          <w:lang w:bidi="ar"/>
        </w:rPr>
        <w:t>[22]</w:t>
      </w:r>
      <w:r>
        <w:rPr>
          <w:rFonts w:cs="宋体" w:hint="eastAsia"/>
          <w:color w:val="auto"/>
          <w:lang w:bidi="ar"/>
        </w:rPr>
        <w:t>。这一定义既包含了债务融资所引致的风险，又考量了不可抗或不可控的环境因素对财务的影响，更为全面地涵盖了财务风险的内容。</w:t>
      </w:r>
    </w:p>
    <w:p w14:paraId="32EFFD6E" w14:textId="77777777" w:rsidR="00000000" w:rsidRDefault="00000000">
      <w:pPr>
        <w:pStyle w:val="afd"/>
        <w:numPr>
          <w:ilvl w:val="0"/>
          <w:numId w:val="13"/>
        </w:numPr>
        <w:ind w:firstLineChars="0"/>
        <w:rPr>
          <w:color w:val="auto"/>
        </w:rPr>
      </w:pPr>
      <w:r>
        <w:rPr>
          <w:rFonts w:hint="eastAsia"/>
          <w:color w:val="auto"/>
        </w:rPr>
        <w:t>财务风险的分类</w:t>
      </w:r>
    </w:p>
    <w:p w14:paraId="3BDA429F" w14:textId="77777777" w:rsidR="00000000" w:rsidRDefault="00000000">
      <w:pPr>
        <w:pStyle w:val="afd"/>
        <w:ind w:firstLine="486"/>
        <w:rPr>
          <w:rFonts w:cs="宋体" w:hint="eastAsia"/>
          <w:color w:val="auto"/>
          <w:lang w:bidi="ar"/>
        </w:rPr>
      </w:pPr>
      <w:r>
        <w:rPr>
          <w:rFonts w:cs="宋体" w:hint="eastAsia"/>
          <w:color w:val="auto"/>
          <w:lang w:bidi="ar"/>
        </w:rPr>
        <w:t>关于财务风险的分类，国内外学者基于不同视角做出了不同的分类。</w:t>
      </w:r>
    </w:p>
    <w:p w14:paraId="3F3AA98D" w14:textId="77777777" w:rsidR="00000000" w:rsidRDefault="00000000">
      <w:pPr>
        <w:pStyle w:val="afd"/>
        <w:ind w:firstLine="486"/>
        <w:rPr>
          <w:rFonts w:cs="宋体" w:hint="eastAsia"/>
          <w:color w:val="auto"/>
          <w:lang w:bidi="ar"/>
        </w:rPr>
      </w:pPr>
      <w:r>
        <w:rPr>
          <w:rFonts w:cs="宋体" w:hint="eastAsia"/>
          <w:color w:val="auto"/>
          <w:lang w:bidi="ar"/>
        </w:rPr>
        <w:t>在国际研究领域，学者和Kabir(2010)从风险来源的角度，将财务风险来源分为内外两个维度。他们认为财务风险可能来源企业外部环境，比如经济周期、政策变动等外部市场变化，也可能来源于企业管理问题、内控问题等；他们认为财务风险的来源具有多样性，例如：流动风险（指企业不能筹措到足够的现金来满足随时发生的流动需求，因而不能偿还企业短期债务而造成违约的可能性）；融资风险（指因企业融资方式不当或融资成本太高而导致企业财务恶化）等</w:t>
      </w:r>
      <w:r>
        <w:rPr>
          <w:rFonts w:cs="宋体" w:hint="eastAsia"/>
          <w:color w:val="auto"/>
          <w:vertAlign w:val="superscript"/>
          <w:lang w:bidi="ar"/>
        </w:rPr>
        <w:t>[23]</w:t>
      </w:r>
      <w:r>
        <w:rPr>
          <w:rFonts w:cs="宋体" w:hint="eastAsia"/>
          <w:color w:val="auto"/>
          <w:lang w:bidi="ar"/>
        </w:rPr>
        <w:t>。</w:t>
      </w:r>
    </w:p>
    <w:p w14:paraId="48874D41" w14:textId="77777777" w:rsidR="00000000" w:rsidRDefault="00000000">
      <w:pPr>
        <w:pStyle w:val="afd"/>
        <w:ind w:firstLine="486"/>
        <w:rPr>
          <w:rFonts w:cs="宋体" w:hint="eastAsia"/>
          <w:color w:val="auto"/>
          <w:lang w:bidi="ar"/>
        </w:rPr>
      </w:pPr>
      <w:r>
        <w:rPr>
          <w:rFonts w:cs="宋体" w:hint="eastAsia"/>
          <w:color w:val="auto"/>
          <w:lang w:bidi="ar"/>
        </w:rPr>
        <w:lastRenderedPageBreak/>
        <w:t>国内学者更多是从企业在具体财务活动中的特点来对财务风险加以分类。通过分析纺织企业战略转型过程中的财务风险问题，司欣羽(2021)强调企业在进行战略转型时，其财务风险主要存在于筹资、投资、经营和现金流层面</w:t>
      </w:r>
      <w:r>
        <w:rPr>
          <w:rFonts w:cs="宋体" w:hint="eastAsia"/>
          <w:color w:val="auto"/>
          <w:vertAlign w:val="superscript"/>
          <w:lang w:bidi="ar"/>
        </w:rPr>
        <w:t>[24]</w:t>
      </w:r>
      <w:r>
        <w:rPr>
          <w:rFonts w:cs="宋体" w:hint="eastAsia"/>
          <w:color w:val="auto"/>
          <w:lang w:bidi="ar"/>
        </w:rPr>
        <w:t>。这一分类方法涵盖了企业财务活动的各个方面，能够帮助我们完整地发现企业面临的所有财务风险。胡秋玥(2022)在数字文化企业财务风险研究中，选择从三个角度来看待企业的筹资风险、投资风险和营运风险</w:t>
      </w:r>
      <w:r>
        <w:rPr>
          <w:rFonts w:cs="宋体" w:hint="eastAsia"/>
          <w:color w:val="auto"/>
          <w:vertAlign w:val="superscript"/>
          <w:lang w:bidi="ar"/>
        </w:rPr>
        <w:t>[25]</w:t>
      </w:r>
      <w:r>
        <w:rPr>
          <w:rFonts w:cs="宋体" w:hint="eastAsia"/>
          <w:color w:val="auto"/>
          <w:lang w:bidi="ar"/>
        </w:rPr>
        <w:t>。这种分类虽然略去了企业现金流风险，但考虑到数字文化企业的特点，或许能更加突出核心财务活动带来的风险点。</w:t>
      </w:r>
    </w:p>
    <w:p w14:paraId="09AB97F3" w14:textId="77777777" w:rsidR="00000000" w:rsidRDefault="00000000">
      <w:pPr>
        <w:pStyle w:val="afd"/>
        <w:numPr>
          <w:ilvl w:val="0"/>
          <w:numId w:val="12"/>
        </w:numPr>
        <w:ind w:firstLineChars="0"/>
        <w:rPr>
          <w:color w:val="auto"/>
        </w:rPr>
      </w:pPr>
      <w:r>
        <w:rPr>
          <w:rFonts w:hint="eastAsia"/>
          <w:color w:val="auto"/>
        </w:rPr>
        <w:t>财务风险识别</w:t>
      </w:r>
    </w:p>
    <w:p w14:paraId="16F0F6E2" w14:textId="77777777" w:rsidR="00000000" w:rsidRDefault="00000000">
      <w:pPr>
        <w:pStyle w:val="afd"/>
        <w:ind w:firstLine="486"/>
        <w:rPr>
          <w:rFonts w:cs="宋体" w:hint="eastAsia"/>
          <w:color w:val="auto"/>
          <w:lang w:bidi="ar"/>
        </w:rPr>
      </w:pPr>
      <w:r>
        <w:rPr>
          <w:rFonts w:cs="宋体" w:hint="eastAsia"/>
          <w:color w:val="auto"/>
          <w:lang w:bidi="ar"/>
        </w:rPr>
        <w:t>近年来，国外学者在财务风险识别领域运用了多种方法和技术，针对不同行业和企业的特点进行了深入研究。Beta(2019)用线性回归方法识别出中小企业所面临的融资难、发展资金有限、营业成本高升等财务风险因素，这对中小企业的发展意义重大，能为其财务风险管理提供有效参考</w:t>
      </w:r>
      <w:r>
        <w:rPr>
          <w:rFonts w:cs="宋体" w:hint="eastAsia"/>
          <w:color w:val="auto"/>
          <w:vertAlign w:val="superscript"/>
          <w:lang w:bidi="ar"/>
        </w:rPr>
        <w:t>[26]</w:t>
      </w:r>
      <w:r>
        <w:rPr>
          <w:rFonts w:cs="宋体" w:hint="eastAsia"/>
          <w:color w:val="auto"/>
          <w:lang w:bidi="ar"/>
        </w:rPr>
        <w:t>。VPIlchuk(2020)通过实证研究发现财务指标是识别工业企业财务风险的有效工具，证明了利用财务数据进行量化分析对于企业风险预警十分必要。他对这些财务指标的使用过程也进行了介绍，可为工业企业财务风险识别工作提供实践指导</w:t>
      </w:r>
      <w:r>
        <w:rPr>
          <w:rFonts w:cs="宋体" w:hint="eastAsia"/>
          <w:color w:val="auto"/>
          <w:vertAlign w:val="superscript"/>
          <w:lang w:bidi="ar"/>
        </w:rPr>
        <w:t>[27]</w:t>
      </w:r>
      <w:r>
        <w:rPr>
          <w:rFonts w:cs="宋体" w:hint="eastAsia"/>
          <w:color w:val="auto"/>
          <w:lang w:bidi="ar"/>
        </w:rPr>
        <w:t>。RzemMala 等(2021)将研究重点聚焦到热电联产工程的财务风险因素上，强调工程风险识别对于各阶段的重要性。他们指出没有足够的风险识别会使得项目遇到困难，尤其在项目的前期阶段，充分地识别风险、确定价格、计划应对风险是最难的。尽管他们研究的对象是热电联产项目，但是证明了利用财务指标建立风险评估体系的合理性，对轻资产模式下的跨行业研究风险识别的方法具有启发作用</w:t>
      </w:r>
      <w:r>
        <w:rPr>
          <w:rFonts w:cs="宋体" w:hint="eastAsia"/>
          <w:color w:val="auto"/>
          <w:vertAlign w:val="superscript"/>
          <w:lang w:bidi="ar"/>
        </w:rPr>
        <w:t>[28]</w:t>
      </w:r>
      <w:r>
        <w:rPr>
          <w:rFonts w:cs="宋体" w:hint="eastAsia"/>
          <w:color w:val="auto"/>
          <w:lang w:bidi="ar"/>
        </w:rPr>
        <w:t>。Srinivasan 和 Dinesh(2022)以问卷调查的方式收集数据，利用相对重要性指标（RII）对建筑行业风险因素进行分析。实证研究的结果表明，劳动力、物资、信用、计划、环境等因素是驱使建筑行业发生财务风险的主要影响因素</w:t>
      </w:r>
      <w:r>
        <w:rPr>
          <w:rFonts w:cs="宋体" w:hint="eastAsia"/>
          <w:color w:val="auto"/>
          <w:vertAlign w:val="superscript"/>
          <w:lang w:bidi="ar"/>
        </w:rPr>
        <w:t>[29]</w:t>
      </w:r>
      <w:r>
        <w:rPr>
          <w:rFonts w:cs="宋体" w:hint="eastAsia"/>
          <w:color w:val="auto"/>
          <w:lang w:bidi="ar"/>
        </w:rPr>
        <w:t>。这一研究也给建筑行业风险管理带来了新研究思路。Ronyastra等（2024）提出了一种结合传统可行性分析和蒙特卡洛模拟的新的财务风险建模方法，提高了财务风险预测的动态性和精确性。他们提出在可行性分析中要强化风险识别分析等补充分析工作，提出了一种构造财务风险模型的新思考、新方法</w:t>
      </w:r>
      <w:r>
        <w:rPr>
          <w:rFonts w:cs="宋体" w:hint="eastAsia"/>
          <w:color w:val="auto"/>
          <w:vertAlign w:val="superscript"/>
          <w:lang w:bidi="ar"/>
        </w:rPr>
        <w:t>[30]</w:t>
      </w:r>
      <w:r>
        <w:rPr>
          <w:rFonts w:cs="宋体" w:hint="eastAsia"/>
          <w:color w:val="auto"/>
          <w:lang w:bidi="ar"/>
        </w:rPr>
        <w:t>。</w:t>
      </w:r>
    </w:p>
    <w:p w14:paraId="353BF905" w14:textId="77777777" w:rsidR="00000000" w:rsidRDefault="00000000">
      <w:pPr>
        <w:pStyle w:val="afd"/>
        <w:ind w:firstLine="486"/>
        <w:rPr>
          <w:rFonts w:cs="宋体" w:hint="eastAsia"/>
          <w:color w:val="auto"/>
          <w:lang w:bidi="ar"/>
        </w:rPr>
      </w:pPr>
      <w:r>
        <w:rPr>
          <w:rFonts w:cs="宋体" w:hint="eastAsia"/>
          <w:color w:val="auto"/>
          <w:lang w:bidi="ar"/>
        </w:rPr>
        <w:t>国内学者在财务风险识别中，强调根据财务指标高低及其变化方向的不同，对企业的财务风险程度加以评价的不同财务指标选择问题。关于资源型企业财务风险的识别，严良、李淑雯等（2019）进行了比较详细的调查研究，他们选取了涉及盈利、成长、偿债、运作和现金流等21种财务变量，经过主成分分析处理提取了7种反映财务风险的财务指标</w:t>
      </w:r>
      <w:r>
        <w:rPr>
          <w:rFonts w:cs="宋体" w:hint="eastAsia"/>
          <w:color w:val="auto"/>
          <w:vertAlign w:val="superscript"/>
          <w:lang w:bidi="ar"/>
        </w:rPr>
        <w:t>[31]</w:t>
      </w:r>
      <w:r>
        <w:rPr>
          <w:rFonts w:cs="宋体" w:hint="eastAsia"/>
          <w:color w:val="auto"/>
          <w:lang w:bidi="ar"/>
        </w:rPr>
        <w:t>。张晓东（2020）指出目前我国企业运</w:t>
      </w:r>
      <w:r>
        <w:rPr>
          <w:rFonts w:cs="宋体" w:hint="eastAsia"/>
          <w:color w:val="auto"/>
          <w:lang w:bidi="ar"/>
        </w:rPr>
        <w:lastRenderedPageBreak/>
        <w:t>用最多的是财务报表法、财务比率分析法和财务经验分析法三种企业财务风险识别的方法</w:t>
      </w:r>
      <w:r>
        <w:rPr>
          <w:rFonts w:cs="宋体" w:hint="eastAsia"/>
          <w:color w:val="auto"/>
          <w:vertAlign w:val="superscript"/>
          <w:lang w:bidi="ar"/>
        </w:rPr>
        <w:t>[32]</w:t>
      </w:r>
      <w:r>
        <w:rPr>
          <w:rFonts w:cs="宋体" w:hint="eastAsia"/>
          <w:color w:val="auto"/>
          <w:lang w:bidi="ar"/>
        </w:rPr>
        <w:t>。针对数字化转型风险，杭慧芹、许苏兰（2022）对企业财务风险从现金流、经营、筹资、投资和库存管理五个方面进行了综合识别</w:t>
      </w:r>
      <w:r>
        <w:rPr>
          <w:rFonts w:cs="宋体" w:hint="eastAsia"/>
          <w:color w:val="auto"/>
          <w:vertAlign w:val="superscript"/>
          <w:lang w:bidi="ar"/>
        </w:rPr>
        <w:t>[33]</w:t>
      </w:r>
      <w:r>
        <w:rPr>
          <w:rFonts w:cs="宋体" w:hint="eastAsia"/>
          <w:color w:val="auto"/>
          <w:lang w:bidi="ar"/>
        </w:rPr>
        <w:t>。袁艺和杨森（2022）则从保护投资者利益的角度，主要从估值、政策、整合三个方面识别了企业将遇到的风险</w:t>
      </w:r>
      <w:r>
        <w:rPr>
          <w:rFonts w:cs="宋体" w:hint="eastAsia"/>
          <w:color w:val="auto"/>
          <w:vertAlign w:val="superscript"/>
          <w:lang w:bidi="ar"/>
        </w:rPr>
        <w:t>[34]</w:t>
      </w:r>
      <w:r>
        <w:rPr>
          <w:rFonts w:cs="宋体" w:hint="eastAsia"/>
          <w:color w:val="auto"/>
          <w:lang w:bidi="ar"/>
        </w:rPr>
        <w:t>。张沛桢（2024）提到为应对外资并购领域的复杂财务风险，需要结合神经网络等现代财务方法，辅以传统财务分析方法和财务现金分析方法，利用定性和定量相结合的预测性方法进行预测，能够更准确地识别和预警风险</w:t>
      </w:r>
      <w:r>
        <w:rPr>
          <w:rFonts w:cs="宋体" w:hint="eastAsia"/>
          <w:color w:val="auto"/>
          <w:vertAlign w:val="superscript"/>
          <w:lang w:bidi="ar"/>
        </w:rPr>
        <w:t>[35]</w:t>
      </w:r>
      <w:r>
        <w:rPr>
          <w:rFonts w:cs="宋体" w:hint="eastAsia"/>
          <w:color w:val="auto"/>
          <w:lang w:bidi="ar"/>
        </w:rPr>
        <w:t>。 </w:t>
      </w:r>
    </w:p>
    <w:p w14:paraId="58CD0224" w14:textId="77777777" w:rsidR="00000000" w:rsidRDefault="00000000">
      <w:pPr>
        <w:pStyle w:val="afd"/>
        <w:numPr>
          <w:ilvl w:val="0"/>
          <w:numId w:val="12"/>
        </w:numPr>
        <w:ind w:firstLineChars="0"/>
        <w:rPr>
          <w:color w:val="auto"/>
        </w:rPr>
      </w:pPr>
      <w:r>
        <w:rPr>
          <w:rFonts w:hint="eastAsia"/>
          <w:color w:val="auto"/>
        </w:rPr>
        <w:t>财务风险评价</w:t>
      </w:r>
    </w:p>
    <w:p w14:paraId="4BD80A4D" w14:textId="77777777" w:rsidR="00000000" w:rsidRDefault="00000000">
      <w:pPr>
        <w:pStyle w:val="afd"/>
        <w:ind w:firstLine="486"/>
        <w:rPr>
          <w:rFonts w:cs="宋体" w:hint="eastAsia"/>
          <w:color w:val="F12828"/>
          <w:lang w:bidi="ar"/>
        </w:rPr>
      </w:pPr>
      <w:r>
        <w:rPr>
          <w:rFonts w:cs="宋体" w:hint="eastAsia"/>
          <w:color w:val="auto"/>
          <w:lang w:bidi="ar"/>
        </w:rPr>
        <w:t>国外在财务风险评价的研究方法上，存在从简单到复杂、从单一到综合的发展趋势。他们起初采用的方法比较简单，以单一变量的方法进行评价，但随着时间推移，方法由简单变复杂、由单一到综合，如多元回归模型、判别分析模型、深度学习算法等，这不仅能提高评价的准确性，也能拓宽评价的广度。具体到评价方法上，有Katarina, Tomas (2018)用多元线性回归的方法确定了6个评价指标。考虑到营运资金及营运资金与总资产的比率、流动资产比率、营运利润比率、现金及现金等价物比率、流动负债比率等6个主要的财务指标，用综合方法来进行预测方式求斯洛伐克公司财务风险的评价模型。该模型不仅能提高风险预测的准确性，而且能为当地企业的有效财务风险管理提供科学依据</w:t>
      </w:r>
      <w:r>
        <w:rPr>
          <w:rFonts w:cs="宋体" w:hint="eastAsia"/>
          <w:color w:val="auto"/>
          <w:vertAlign w:val="superscript"/>
          <w:lang w:bidi="ar"/>
        </w:rPr>
        <w:t>[36]</w:t>
      </w:r>
      <w:r>
        <w:rPr>
          <w:rFonts w:cs="宋体" w:hint="eastAsia"/>
          <w:color w:val="auto"/>
          <w:lang w:bidi="ar"/>
        </w:rPr>
        <w:t>。V.Salehi(2020)用熵权-TOPSIS方法从组织、人员、技术方面对5家石化公司的风险管理系统进行综合评价。研究结果表明，对风险管理影响最大的因素是管理能力和人力</w:t>
      </w:r>
      <w:r>
        <w:rPr>
          <w:rFonts w:cs="宋体" w:hint="eastAsia"/>
          <w:color w:val="auto"/>
          <w:vertAlign w:val="superscript"/>
          <w:lang w:bidi="ar"/>
        </w:rPr>
        <w:t>[37]</w:t>
      </w:r>
      <w:r>
        <w:rPr>
          <w:rFonts w:cs="宋体" w:hint="eastAsia"/>
          <w:color w:val="auto"/>
          <w:lang w:bidi="ar"/>
        </w:rPr>
        <w:t>。这一结论对于石化企业加强风险管理、改进风控机制均具有实际意义。Tubis等(2021)运用逻辑分析模型计算物流系统风险成熟的有效性，通过深入验证该模型的评价效能，为物流风险管理开辟了崭新的思路和方法</w:t>
      </w:r>
      <w:r>
        <w:rPr>
          <w:rFonts w:cs="宋体" w:hint="eastAsia"/>
          <w:color w:val="auto"/>
          <w:vertAlign w:val="superscript"/>
          <w:lang w:bidi="ar"/>
        </w:rPr>
        <w:t>[38]</w:t>
      </w:r>
      <w:r>
        <w:rPr>
          <w:rFonts w:cs="宋体" w:hint="eastAsia"/>
          <w:color w:val="auto"/>
          <w:lang w:bidi="ar"/>
        </w:rPr>
        <w:t>。Du和Elston(2022)提出了一套基于深度学习(DL)算法的财务风险评价系统，利用运行算法在多模型中的实证分析结果来证明其优于风险预测模型。他们的实证研究证实了基于机器学习算法的财务风险评价模型的可靠性</w:t>
      </w:r>
      <w:r>
        <w:rPr>
          <w:rFonts w:cs="宋体" w:hint="eastAsia"/>
          <w:color w:val="auto"/>
          <w:vertAlign w:val="superscript"/>
          <w:lang w:bidi="ar"/>
        </w:rPr>
        <w:t>[39]</w:t>
      </w:r>
      <w:r>
        <w:rPr>
          <w:rFonts w:cs="宋体" w:hint="eastAsia"/>
          <w:color w:val="auto"/>
          <w:lang w:bidi="ar"/>
        </w:rPr>
        <w:t>。该研究结果为财务风险评价系统的发展带来了新的突破。Nguyen等人(2024)提出运行分位数的线性回归和运行最小绝对值收缩选择这两种方法来研究企业的系统风险和系统的溢出效应，研究得出新的衡量财务风险的指标指数</w:t>
      </w:r>
      <w:r>
        <w:rPr>
          <w:rFonts w:cs="宋体" w:hint="eastAsia"/>
          <w:color w:val="auto"/>
          <w:vertAlign w:val="superscript"/>
          <w:lang w:bidi="ar"/>
        </w:rPr>
        <w:t>[40]</w:t>
      </w:r>
      <w:r>
        <w:rPr>
          <w:rFonts w:cs="宋体" w:hint="eastAsia"/>
          <w:color w:val="auto"/>
          <w:lang w:bidi="ar"/>
        </w:rPr>
        <w:t>。他们的研究为财务风险的度量带来一种新方法和新思路。</w:t>
      </w:r>
    </w:p>
    <w:p w14:paraId="3A10030A" w14:textId="77777777" w:rsidR="00000000" w:rsidRDefault="00000000">
      <w:pPr>
        <w:pStyle w:val="afd"/>
        <w:ind w:firstLine="486"/>
        <w:rPr>
          <w:rFonts w:cs="宋体" w:hint="eastAsia"/>
          <w:color w:val="auto"/>
          <w:lang w:bidi="ar"/>
        </w:rPr>
      </w:pPr>
      <w:r>
        <w:rPr>
          <w:rFonts w:cs="宋体" w:hint="eastAsia"/>
          <w:color w:val="auto"/>
          <w:lang w:bidi="ar"/>
        </w:rPr>
        <w:t>国内关于财务风险评价的研究注重“立体系、重指标”。学者们强调，要用适合的评价方法，通过合理地建立财务风险评价体系，对各系统中的指标做到客观量化，使企业财务风险水平精确地评定出来。陈茜、田治威（2017）运用因子</w:t>
      </w:r>
      <w:r>
        <w:rPr>
          <w:rFonts w:cs="宋体" w:hint="eastAsia"/>
          <w:color w:val="auto"/>
          <w:lang w:bidi="ar"/>
        </w:rPr>
        <w:lastRenderedPageBreak/>
        <w:t>分析法，识别和提取导致企业财务风险的因素指标，研究选取了33家上市林业企业为样本，依据这33家林业企业财务风险程度把林业公司划分为好、一般和高风险三种类型，再运用聚类分析对企业不同类型内部特征进行对比分析。研究结果表明，这些林业企业在验证出这些评价体系的正确性和有效性后，财务风险与之前经验数据基本一致</w:t>
      </w:r>
      <w:r>
        <w:rPr>
          <w:rFonts w:cs="宋体" w:hint="eastAsia"/>
          <w:color w:val="auto"/>
          <w:vertAlign w:val="superscript"/>
          <w:lang w:bidi="ar"/>
        </w:rPr>
        <w:t>[42]</w:t>
      </w:r>
      <w:r>
        <w:rPr>
          <w:rFonts w:cs="宋体" w:hint="eastAsia"/>
          <w:color w:val="auto"/>
          <w:lang w:bidi="ar"/>
        </w:rPr>
        <w:t>。为使财务危机预警更为准确，黄电（2018）借鉴周首华等（1996）的F分数模型思路，加入新变量对原来的模型进行了很好的实证，以期对未来财务风险进行准确预测和防范提供一个全新的研究视角</w:t>
      </w:r>
      <w:r>
        <w:rPr>
          <w:rFonts w:cs="宋体" w:hint="eastAsia"/>
          <w:color w:val="auto"/>
          <w:vertAlign w:val="superscript"/>
          <w:lang w:bidi="ar"/>
        </w:rPr>
        <w:t>[41][43]</w:t>
      </w:r>
      <w:r>
        <w:rPr>
          <w:rFonts w:cs="宋体" w:hint="eastAsia"/>
          <w:color w:val="auto"/>
          <w:lang w:bidi="ar"/>
        </w:rPr>
        <w:t>。贺冰玉（2023）以贵州茅台为例，首先从偿债能力、营运能力、盈利能力、成长能力分析公司财务指标，之后再用 Z-Score 模型测度贵州茅台的财务风险程度，得出贵州茅台的财务风险状况，同时也为其他企业将 Z-SCORE 模型应用于公司财务风险评价提供了参考资料</w:t>
      </w:r>
      <w:r>
        <w:rPr>
          <w:rFonts w:cs="宋体" w:hint="eastAsia"/>
          <w:color w:val="auto"/>
          <w:vertAlign w:val="superscript"/>
          <w:lang w:bidi="ar"/>
        </w:rPr>
        <w:t>[44]</w:t>
      </w:r>
      <w:r>
        <w:rPr>
          <w:rFonts w:cs="宋体" w:hint="eastAsia"/>
          <w:color w:val="auto"/>
          <w:lang w:bidi="ar"/>
        </w:rPr>
        <w:t>。汪新宇、王小斐（2024）针对 ZSH 公司“双碳”财务风险做了深入研究。该研究采用层次分析法（AHP）首先确定各评价指标的主观权重，然后利用模糊综合评价法（FCE）对ZSH公司财务风险进行综合评价</w:t>
      </w:r>
      <w:r>
        <w:rPr>
          <w:rFonts w:cs="宋体" w:hint="eastAsia"/>
          <w:color w:val="auto"/>
          <w:vertAlign w:val="superscript"/>
          <w:lang w:bidi="ar"/>
        </w:rPr>
        <w:t>[45]</w:t>
      </w:r>
      <w:r>
        <w:rPr>
          <w:rFonts w:cs="宋体" w:hint="eastAsia"/>
          <w:color w:val="auto"/>
          <w:lang w:bidi="ar"/>
        </w:rPr>
        <w:t>。</w:t>
      </w:r>
    </w:p>
    <w:p w14:paraId="13517306" w14:textId="77777777" w:rsidR="00000000" w:rsidRDefault="00000000">
      <w:pPr>
        <w:pStyle w:val="afd"/>
        <w:numPr>
          <w:ilvl w:val="0"/>
          <w:numId w:val="12"/>
        </w:numPr>
        <w:ind w:firstLineChars="0"/>
        <w:rPr>
          <w:color w:val="auto"/>
        </w:rPr>
      </w:pPr>
      <w:r>
        <w:rPr>
          <w:rFonts w:hint="eastAsia"/>
          <w:color w:val="auto"/>
        </w:rPr>
        <w:t>财务风险防范</w:t>
      </w:r>
    </w:p>
    <w:p w14:paraId="36B65F3C" w14:textId="77777777" w:rsidR="00000000" w:rsidRDefault="00000000">
      <w:pPr>
        <w:pStyle w:val="afd"/>
        <w:ind w:firstLine="486"/>
        <w:rPr>
          <w:rFonts w:cs="宋体" w:hint="eastAsia"/>
          <w:color w:val="auto"/>
          <w:lang w:bidi="ar"/>
        </w:rPr>
      </w:pPr>
      <w:bookmarkStart w:id="17" w:name="_Toc27087"/>
      <w:r>
        <w:rPr>
          <w:rFonts w:cs="宋体" w:hint="eastAsia"/>
          <w:color w:val="auto"/>
          <w:lang w:bidi="ar"/>
        </w:rPr>
        <w:t>近年来，国内外许多学者从财务风险防范的角度，针对不同的领域和行业，提出了许多有效的财务风险控制方法和对策。</w:t>
      </w:r>
    </w:p>
    <w:p w14:paraId="0D70412A" w14:textId="77777777" w:rsidR="00000000" w:rsidRDefault="00000000">
      <w:pPr>
        <w:pStyle w:val="afd"/>
        <w:ind w:firstLine="486"/>
        <w:rPr>
          <w:rFonts w:cs="宋体" w:hint="eastAsia"/>
          <w:color w:val="auto"/>
          <w:lang w:bidi="ar"/>
        </w:rPr>
      </w:pPr>
      <w:r>
        <w:rPr>
          <w:rFonts w:cs="宋体" w:hint="eastAsia"/>
          <w:color w:val="auto"/>
          <w:lang w:bidi="ar"/>
        </w:rPr>
        <w:t>在国外，针对特定行业的风险控制方法具有鲜明的技术特点。Leond 等针对电力批发市场的特点，提出了一种考虑变量的行为的市场智能和博弈方法，其特点是强调预测市场行为的必要性以控制市场的财务风险，并提供有效风险管理工具给电力批发市场相关者。基于博弈论与智能算法相结合，企业能在复杂的市场中实现决策机制的优化，由被动转为主动风险控制，提高其财务安全性</w:t>
      </w:r>
      <w:r>
        <w:rPr>
          <w:rFonts w:cs="宋体" w:hint="eastAsia"/>
          <w:color w:val="auto"/>
          <w:vertAlign w:val="superscript"/>
          <w:lang w:bidi="ar"/>
        </w:rPr>
        <w:t>[46]</w:t>
      </w:r>
      <w:r>
        <w:rPr>
          <w:rFonts w:cs="宋体" w:hint="eastAsia"/>
          <w:color w:val="auto"/>
          <w:lang w:bidi="ar"/>
        </w:rPr>
        <w:t>。Liubov指出企业应“顺势”经济数字化和数字化发展等大趋势，将数字化的内容融入到企业的财务风险管理中，重视数字管理对企业财务风险的正面影响。认为运用数字技术等能够帮助企业更快地搜集和分析财务数据，以便采取更准确的风险防控措施</w:t>
      </w:r>
      <w:r>
        <w:rPr>
          <w:rFonts w:cs="宋体" w:hint="eastAsia"/>
          <w:color w:val="auto"/>
          <w:vertAlign w:val="superscript"/>
          <w:lang w:bidi="ar"/>
        </w:rPr>
        <w:t>[47]</w:t>
      </w:r>
      <w:r>
        <w:rPr>
          <w:rFonts w:cs="宋体" w:hint="eastAsia"/>
          <w:color w:val="auto"/>
          <w:lang w:bidi="ar"/>
        </w:rPr>
        <w:t>。针对印度电子制造业，Suhasini等(2023)识别并确认了流动性、市场、信用和经营风险是该行业的重要财务风险因素，强调提高财务绩效的价值和重要性，认为可以通过有效的风险管理来提高企业的竞争能力和盈利水平</w:t>
      </w:r>
      <w:r>
        <w:rPr>
          <w:rFonts w:cs="宋体" w:hint="eastAsia"/>
          <w:color w:val="auto"/>
          <w:vertAlign w:val="superscript"/>
          <w:lang w:bidi="ar"/>
        </w:rPr>
        <w:t>[48]</w:t>
      </w:r>
      <w:r>
        <w:rPr>
          <w:rFonts w:cs="宋体" w:hint="eastAsia"/>
          <w:color w:val="auto"/>
          <w:lang w:bidi="ar"/>
        </w:rPr>
        <w:t>。NguyenLaSoa等研究者(2024)在研究环境会计信息披露和财务风险关系时，应用回归模型进行分析，证实环境会计信息披露对当年和次年的财务风险起到负向作用，因此认为企业要不断提高环境会计信息的披露水平和意识，降低财务风险，增强企业可持续发展能力</w:t>
      </w:r>
      <w:r>
        <w:rPr>
          <w:rFonts w:cs="宋体" w:hint="eastAsia"/>
          <w:color w:val="auto"/>
          <w:vertAlign w:val="superscript"/>
          <w:lang w:bidi="ar"/>
        </w:rPr>
        <w:t>[49]</w:t>
      </w:r>
      <w:r>
        <w:rPr>
          <w:rFonts w:cs="宋体" w:hint="eastAsia"/>
          <w:color w:val="auto"/>
          <w:lang w:bidi="ar"/>
        </w:rPr>
        <w:t>。</w:t>
      </w:r>
    </w:p>
    <w:p w14:paraId="26809CDC" w14:textId="77777777" w:rsidR="00000000" w:rsidRDefault="00000000">
      <w:pPr>
        <w:pStyle w:val="afd"/>
        <w:ind w:firstLine="486"/>
        <w:rPr>
          <w:rFonts w:cs="宋体" w:hint="eastAsia"/>
          <w:color w:val="auto"/>
          <w:lang w:bidi="ar"/>
        </w:rPr>
      </w:pPr>
      <w:r>
        <w:rPr>
          <w:rFonts w:cs="宋体" w:hint="eastAsia"/>
          <w:color w:val="auto"/>
          <w:lang w:bidi="ar"/>
        </w:rPr>
        <w:lastRenderedPageBreak/>
        <w:t>国内的研究则从企业实际案例出发，提出了诸多具有实践操作性的风险控制措施。元媛（2019）基于经验曲线，为金龙汽车设计了销售模式转型、供应链风险控制等财务风险控制对策，这些对策旨在优化企业的经营方式和供应链风险控制，减少存货和经营的僵化，防范企业财务风险</w:t>
      </w:r>
      <w:r>
        <w:rPr>
          <w:rFonts w:cs="宋体" w:hint="eastAsia"/>
          <w:color w:val="auto"/>
          <w:vertAlign w:val="superscript"/>
          <w:lang w:bidi="ar"/>
        </w:rPr>
        <w:t>[50]</w:t>
      </w:r>
      <w:r>
        <w:rPr>
          <w:rFonts w:cs="宋体" w:hint="eastAsia"/>
          <w:color w:val="auto"/>
          <w:lang w:bidi="ar"/>
        </w:rPr>
        <w:t>。李波(2021)总结了中国上市公司目前在企业财务风险控制中存在的内控制度不完善、专业人才缺乏、财务风险控制能力差等问题。针对这些问题的解决对策，李波提出应加强内控机制，增强实时防控财务风险的能力</w:t>
      </w:r>
      <w:r>
        <w:rPr>
          <w:rFonts w:cs="宋体" w:hint="eastAsia"/>
          <w:color w:val="auto"/>
          <w:vertAlign w:val="superscript"/>
          <w:lang w:bidi="ar"/>
        </w:rPr>
        <w:t>[51]</w:t>
      </w:r>
      <w:r>
        <w:rPr>
          <w:rFonts w:cs="宋体" w:hint="eastAsia"/>
          <w:color w:val="auto"/>
          <w:lang w:bidi="ar"/>
        </w:rPr>
        <w:t>。这些对我国上市公司财务风险控制能力的提高有非常重要的借鉴意义。针对A通信公司排查出来的财务问题，丁淑芹、薛鑫（2022）建议A通信公司构筑良好的资金募集动态预警机制，不断优化负债融资方式。实践表明，公司根据其所建立的筹资预警机制能及时发现公司的财务风险，并制定针对性应对方案，从而对财务安全做出保障</w:t>
      </w:r>
      <w:r>
        <w:rPr>
          <w:rFonts w:cs="宋体" w:hint="eastAsia"/>
          <w:color w:val="auto"/>
          <w:vertAlign w:val="superscript"/>
          <w:lang w:bidi="ar"/>
        </w:rPr>
        <w:t>[52]</w:t>
      </w:r>
      <w:r>
        <w:rPr>
          <w:rFonts w:cs="宋体" w:hint="eastAsia"/>
          <w:color w:val="auto"/>
          <w:lang w:bidi="ar"/>
        </w:rPr>
        <w:t>。针对服装企业所面临的财务风险控制问题，管早早（2022）提出建立财务风险预警机制、优化债务结构，拓宽企业筹资渠道、重视库存控制等举措，为企业构建全链条财务风险防御机制提供了方向指引</w:t>
      </w:r>
      <w:r>
        <w:rPr>
          <w:rFonts w:cs="宋体" w:hint="eastAsia"/>
          <w:color w:val="auto"/>
          <w:vertAlign w:val="superscript"/>
          <w:lang w:bidi="ar"/>
        </w:rPr>
        <w:t>[53]</w:t>
      </w:r>
      <w:r>
        <w:rPr>
          <w:rFonts w:cs="宋体" w:hint="eastAsia"/>
          <w:color w:val="auto"/>
          <w:lang w:bidi="ar"/>
        </w:rPr>
        <w:t>。</w:t>
      </w:r>
    </w:p>
    <w:p w14:paraId="2F0E6B08" w14:textId="77777777" w:rsidR="00000000" w:rsidRDefault="00000000">
      <w:pPr>
        <w:pStyle w:val="afc"/>
        <w:numPr>
          <w:ilvl w:val="0"/>
          <w:numId w:val="11"/>
        </w:numPr>
        <w:tabs>
          <w:tab w:val="left" w:pos="0"/>
        </w:tabs>
        <w:spacing w:before="207"/>
        <w:ind w:left="0" w:firstLine="567"/>
      </w:pPr>
      <w:bookmarkStart w:id="18" w:name="_Toc6298"/>
      <w:r>
        <w:rPr>
          <w:rFonts w:hint="eastAsia"/>
        </w:rPr>
        <w:t>轻资产运营模式对企业财务风险影响相关研究</w:t>
      </w:r>
      <w:bookmarkEnd w:id="17"/>
      <w:bookmarkEnd w:id="18"/>
    </w:p>
    <w:p w14:paraId="572CD3D8" w14:textId="77777777" w:rsidR="00000000" w:rsidRDefault="00000000">
      <w:pPr>
        <w:pStyle w:val="afd"/>
        <w:ind w:firstLine="486"/>
        <w:rPr>
          <w:rFonts w:cs="宋体" w:hint="eastAsia"/>
          <w:color w:val="auto"/>
          <w:lang w:bidi="ar"/>
        </w:rPr>
      </w:pPr>
      <w:r>
        <w:rPr>
          <w:rFonts w:cs="宋体" w:hint="eastAsia"/>
          <w:color w:val="auto"/>
          <w:lang w:bidi="ar"/>
        </w:rPr>
        <w:t>国内外学术界关于轻资产运营模式对企业财务风险的影响呈现多元化看法。</w:t>
      </w:r>
    </w:p>
    <w:p w14:paraId="6DC7D950" w14:textId="77777777" w:rsidR="00000000" w:rsidRDefault="00000000">
      <w:pPr>
        <w:pStyle w:val="afd"/>
        <w:numPr>
          <w:ilvl w:val="0"/>
          <w:numId w:val="14"/>
        </w:numPr>
        <w:ind w:firstLineChars="0"/>
        <w:rPr>
          <w:rFonts w:cs="宋体" w:hint="eastAsia"/>
          <w:color w:val="auto"/>
          <w:lang w:bidi="ar"/>
        </w:rPr>
      </w:pPr>
      <w:bookmarkStart w:id="19" w:name="OLE_LINK4"/>
      <w:r>
        <w:rPr>
          <w:rFonts w:cs="宋体" w:hint="eastAsia"/>
          <w:color w:val="auto"/>
          <w:lang w:bidi="ar"/>
        </w:rPr>
        <w:t>关于轻资产运营模式抑制财务风险的效应研究</w:t>
      </w:r>
    </w:p>
    <w:bookmarkEnd w:id="19"/>
    <w:p w14:paraId="26E8B5B8" w14:textId="77777777" w:rsidR="00000000" w:rsidRDefault="00000000">
      <w:pPr>
        <w:pStyle w:val="afd"/>
        <w:ind w:firstLine="486"/>
        <w:rPr>
          <w:rFonts w:cs="宋体" w:hint="eastAsia"/>
          <w:color w:val="auto"/>
          <w:lang w:bidi="ar"/>
        </w:rPr>
      </w:pPr>
      <w:r>
        <w:rPr>
          <w:rFonts w:cs="宋体" w:hint="eastAsia"/>
          <w:color w:val="auto"/>
          <w:lang w:bidi="ar"/>
        </w:rPr>
        <w:t>Jayoung Sohn (2013) 证实，在美国的连锁酒店行业中，轻资产运营模式是提高企业价值的重要因素，资本市场因此对此类企业赋予了额外的风险溢价或成长溢价。他指出，轻资产运营模式可以降低企业的经营风险，进而可以大大提升企业的经营盈利能力、盈利稳定性以及企业的价值</w:t>
      </w:r>
      <w:r>
        <w:rPr>
          <w:rFonts w:cs="宋体" w:hint="eastAsia"/>
          <w:color w:val="auto"/>
          <w:vertAlign w:val="superscript"/>
          <w:lang w:bidi="ar"/>
        </w:rPr>
        <w:t>[54]</w:t>
      </w:r>
      <w:r>
        <w:rPr>
          <w:rFonts w:cs="宋体" w:hint="eastAsia"/>
          <w:color w:val="auto"/>
          <w:lang w:bidi="ar"/>
        </w:rPr>
        <w:t>。这与一些持悲观态度学者的观点截然相反。该发现也表明，轻资产运营模式的财务风险缓释效应并非普适的，也会强烈地受企业类型、市场环境等边界条件的影响，在不同的边界条件下可能呈现非线性的效应。</w:t>
      </w:r>
    </w:p>
    <w:p w14:paraId="48901DCC" w14:textId="77777777" w:rsidR="00000000" w:rsidRDefault="00000000">
      <w:pPr>
        <w:pStyle w:val="afd"/>
        <w:numPr>
          <w:ilvl w:val="0"/>
          <w:numId w:val="14"/>
        </w:numPr>
        <w:ind w:firstLineChars="0"/>
        <w:rPr>
          <w:rFonts w:cs="宋体" w:hint="eastAsia"/>
          <w:color w:val="auto"/>
          <w:lang w:bidi="ar"/>
        </w:rPr>
      </w:pPr>
      <w:r>
        <w:rPr>
          <w:rFonts w:cs="宋体" w:hint="eastAsia"/>
          <w:color w:val="auto"/>
          <w:lang w:bidi="ar"/>
        </w:rPr>
        <w:t>关于轻资产运营模式加剧财务风险的理论研究</w:t>
      </w:r>
    </w:p>
    <w:p w14:paraId="5BD3FFA9" w14:textId="77777777" w:rsidR="00000000" w:rsidRDefault="00000000">
      <w:pPr>
        <w:pStyle w:val="afd"/>
        <w:ind w:firstLine="486"/>
        <w:rPr>
          <w:rFonts w:cs="宋体" w:hint="eastAsia"/>
          <w:color w:val="auto"/>
          <w:lang w:bidi="ar"/>
        </w:rPr>
      </w:pPr>
      <w:r>
        <w:rPr>
          <w:rFonts w:cs="宋体" w:hint="eastAsia"/>
          <w:color w:val="auto"/>
          <w:lang w:bidi="ar"/>
        </w:rPr>
        <w:t>Gu-Liang T（2016）通过对轻资产运营企业进行长周期观察，揭示出轻资产模式运行过程中容易产生多重财务风险，并对轻资产模式容易产生的财务风险表现进行了类型划分。他认为，采用轻资产运营模式的企业容易出现轻资产价值评价较难、产品外包管理失控、收入回款缓慢等问题</w:t>
      </w:r>
      <w:r>
        <w:rPr>
          <w:rFonts w:cs="宋体" w:hint="eastAsia"/>
          <w:color w:val="auto"/>
          <w:vertAlign w:val="superscript"/>
          <w:lang w:bidi="ar"/>
        </w:rPr>
        <w:t>[55]</w:t>
      </w:r>
      <w:r>
        <w:rPr>
          <w:rFonts w:cs="宋体" w:hint="eastAsia"/>
          <w:color w:val="auto"/>
          <w:lang w:bidi="ar"/>
        </w:rPr>
        <w:t>，这些问题容易造成企业营运风险上升，进而通过风险扩散给企业的财务绩效带来严重的负面影响。针对轻资产运营模式下财务风险的评价，Giuliano(2019)认为学术界在该领域的研究明显不足。他通过研究2003-2019年美国六家典型的轻资产公司案例后，得出了</w:t>
      </w:r>
      <w:r>
        <w:rPr>
          <w:rFonts w:cs="宋体" w:hint="eastAsia"/>
          <w:color w:val="auto"/>
          <w:lang w:bidi="ar"/>
        </w:rPr>
        <w:lastRenderedPageBreak/>
        <w:t>不同的结论：轻资产模式并没有像设想的那样导致企业的财务状况明显改善，其中的正向作用并没有那么明显。但他也指出，这并不说明轻资产运营模式没有风险，而是需要采取更全面的方法考察其中的风险</w:t>
      </w:r>
      <w:r>
        <w:rPr>
          <w:rFonts w:cs="宋体" w:hint="eastAsia"/>
          <w:color w:val="auto"/>
          <w:vertAlign w:val="superscript"/>
          <w:lang w:bidi="ar"/>
        </w:rPr>
        <w:t>[56]</w:t>
      </w:r>
      <w:r>
        <w:rPr>
          <w:rFonts w:cs="宋体" w:hint="eastAsia"/>
          <w:color w:val="auto"/>
          <w:lang w:bidi="ar"/>
        </w:rPr>
        <w:t>。Moretti和Heo等人(2022)指出，投资者对于重资产公司财务风险状况的估计偏高。他们认为虽然轻资产公司的策略在短时间内能够显著降低公司运营杠杆，但投资者仍然要考虑在将来可能发生的潜在风险，这些风险可能是未来未知的市场变化、政策变化等对公司经营产生影响的所有因素</w:t>
      </w:r>
      <w:r>
        <w:rPr>
          <w:rFonts w:cs="宋体" w:hint="eastAsia"/>
          <w:color w:val="auto"/>
          <w:vertAlign w:val="superscript"/>
          <w:lang w:bidi="ar"/>
        </w:rPr>
        <w:t>[57]</w:t>
      </w:r>
      <w:r>
        <w:rPr>
          <w:rFonts w:cs="宋体" w:hint="eastAsia"/>
          <w:color w:val="auto"/>
          <w:lang w:bidi="ar"/>
        </w:rPr>
        <w:t>。</w:t>
      </w:r>
    </w:p>
    <w:p w14:paraId="6F03ED74" w14:textId="77777777" w:rsidR="00000000" w:rsidRDefault="00000000">
      <w:pPr>
        <w:pStyle w:val="afd"/>
        <w:ind w:firstLine="486"/>
        <w:rPr>
          <w:rFonts w:cs="宋体" w:hint="eastAsia"/>
          <w:color w:val="auto"/>
          <w:lang w:bidi="ar"/>
        </w:rPr>
      </w:pPr>
      <w:bookmarkStart w:id="20" w:name="_Toc2563"/>
      <w:r>
        <w:rPr>
          <w:rFonts w:cs="宋体" w:hint="eastAsia"/>
          <w:color w:val="auto"/>
          <w:lang w:bidi="ar"/>
        </w:rPr>
        <w:t>国内研究注重结合行业情境来深化对轻资产转型风险的认识。王龔、郭子增（2019）根据对银行业的研究发现，企业从重资产转型到轻资产有利于改善企业的声誉，但转型也存在不良影响，即转型会引发企业的信用风险、流动性风险和系统性风险</w:t>
      </w:r>
      <w:r>
        <w:rPr>
          <w:rFonts w:cs="宋体" w:hint="eastAsia"/>
          <w:color w:val="auto"/>
          <w:vertAlign w:val="superscript"/>
          <w:lang w:bidi="ar"/>
        </w:rPr>
        <w:t>[58]</w:t>
      </w:r>
      <w:r>
        <w:rPr>
          <w:rFonts w:cs="宋体" w:hint="eastAsia"/>
          <w:color w:val="auto"/>
          <w:lang w:bidi="ar"/>
        </w:rPr>
        <w:t>。这一发现带来了研究轻资产运营对财务风险冲击的新视角。张汝慧、王海东（2021）在研究轻资产运营模式下服装企业的财务风险特点时发现，该种模式有利于企业降低经营投入，实现高收益，同时也存在相应的财务风险</w:t>
      </w:r>
      <w:r>
        <w:rPr>
          <w:rFonts w:cs="宋体" w:hint="eastAsia"/>
          <w:color w:val="auto"/>
          <w:vertAlign w:val="superscript"/>
          <w:lang w:bidi="ar"/>
        </w:rPr>
        <w:t>[59]</w:t>
      </w:r>
      <w:r>
        <w:rPr>
          <w:rFonts w:cs="宋体" w:hint="eastAsia"/>
          <w:color w:val="auto"/>
          <w:lang w:bidi="ar"/>
        </w:rPr>
        <w:t>。他们的研究也说明了轻资产运营模式会促使企业有更高的生产效率，但也增加了企业的财务脆弱性。吴小叶和陈娜菲(2022)认为企业通过财务杠杆撬动外部资源投入，采取资源的合理配置，逐渐形成轻资产运营模式下的优势</w:t>
      </w:r>
      <w:r>
        <w:rPr>
          <w:rFonts w:cs="宋体" w:hint="eastAsia"/>
          <w:color w:val="auto"/>
          <w:vertAlign w:val="superscript"/>
          <w:lang w:bidi="ar"/>
        </w:rPr>
        <w:t>[60]</w:t>
      </w:r>
      <w:r>
        <w:rPr>
          <w:rFonts w:cs="宋体" w:hint="eastAsia"/>
          <w:color w:val="auto"/>
          <w:lang w:bidi="ar"/>
        </w:rPr>
        <w:t>。他们对轻资产运营模式的研究中体现了轻资产运营模式优点和风险的平衡。部分学者在研究企业轻资产运营模式下财务风险时，有针对性的制定相应财务风险防范机制和对策。魏景柱、言梅雪(2018)分别从适度加大资产比重、形成完备的大数据分析和处理机制、培育精良的投资团队三个方面的措施来控制风险</w:t>
      </w:r>
      <w:r>
        <w:rPr>
          <w:rFonts w:cs="宋体" w:hint="eastAsia"/>
          <w:color w:val="auto"/>
          <w:vertAlign w:val="superscript"/>
          <w:lang w:bidi="ar"/>
        </w:rPr>
        <w:t>[61]</w:t>
      </w:r>
      <w:r>
        <w:rPr>
          <w:rFonts w:cs="宋体" w:hint="eastAsia"/>
          <w:color w:val="auto"/>
          <w:lang w:bidi="ar"/>
        </w:rPr>
        <w:t>。这些可以给轻资产运营企业的财务风险防范和控制提出很好的依据和参考。程松林、李鼎(2020)提出轻资产模式企业在融资上有很多问题，主要有外部融资渠道有限、融资规模小等筹资风险，还有外协生产给投资造成的投资收益不稳定、资金链不确定的投资风险等，并提出对核心环节投资先行保障、非核心项目的适度投资及财务风险管控的建议</w:t>
      </w:r>
      <w:r>
        <w:rPr>
          <w:rFonts w:cs="宋体" w:hint="eastAsia"/>
          <w:color w:val="auto"/>
          <w:vertAlign w:val="superscript"/>
          <w:lang w:bidi="ar"/>
        </w:rPr>
        <w:t>[62]</w:t>
      </w:r>
      <w:r>
        <w:rPr>
          <w:rFonts w:cs="宋体" w:hint="eastAsia"/>
          <w:color w:val="auto"/>
          <w:lang w:bidi="ar"/>
        </w:rPr>
        <w:t>。陈愉翔(2023)以HR医药为例探究轻资产模式中的财务风险，认为轻资产模式企业在融资策略上要谨慎，可以适度地使用外源融资，并认为企业在有长期固定的合作上游供应商的同时，在核心轻资产的探索上要有所偏重，在降低企业成本上要有所加强</w:t>
      </w:r>
      <w:r>
        <w:rPr>
          <w:rFonts w:cs="宋体" w:hint="eastAsia"/>
          <w:color w:val="auto"/>
          <w:vertAlign w:val="superscript"/>
          <w:lang w:bidi="ar"/>
        </w:rPr>
        <w:t>[63]</w:t>
      </w:r>
      <w:r>
        <w:rPr>
          <w:rFonts w:cs="宋体" w:hint="eastAsia"/>
          <w:color w:val="auto"/>
          <w:lang w:bidi="ar"/>
        </w:rPr>
        <w:t>。该研究对轻资产企业的融资和成本控制等相关问题提供了很多有益启发。谢佩帛（2024）的研究证实了轻资产运营模式会使企业面临的外部融资约束更加严重，融资约束成为企业财务风险上升最主要的原因。同时他也认为，在反向调节财务风险方面，高管能力也发挥着重要作用。因此，面对轻资产模式下的复杂财务风险，企业要考虑由不同类型高管构成的高管队伍，增强高管对于财务风险信号的灵敏性及战略决策的科学性，</w:t>
      </w:r>
      <w:r>
        <w:rPr>
          <w:rFonts w:cs="宋体" w:hint="eastAsia"/>
          <w:color w:val="auto"/>
          <w:lang w:bidi="ar"/>
        </w:rPr>
        <w:lastRenderedPageBreak/>
        <w:t>奠定有效治理的制度基础</w:t>
      </w:r>
      <w:r>
        <w:rPr>
          <w:rFonts w:cs="宋体" w:hint="eastAsia"/>
          <w:color w:val="auto"/>
          <w:vertAlign w:val="superscript"/>
          <w:lang w:bidi="ar"/>
        </w:rPr>
        <w:t>[64]</w:t>
      </w:r>
      <w:r>
        <w:rPr>
          <w:rFonts w:cs="宋体" w:hint="eastAsia"/>
          <w:color w:val="auto"/>
          <w:lang w:bidi="ar"/>
        </w:rPr>
        <w:t>。                                               综上所述，目前国内外关于轻资产运营模式与财务风险之间关系的研究已经取得了一定进展，但也有很多悬念没有厘清。今后的研究要对轻资产运营模式的优势和风险进行更深入的探索，以期为企业可持续发展保驾护航。</w:t>
      </w:r>
    </w:p>
    <w:p w14:paraId="04B96D09" w14:textId="77777777" w:rsidR="00000000" w:rsidRDefault="00000000">
      <w:pPr>
        <w:pStyle w:val="afc"/>
        <w:numPr>
          <w:ilvl w:val="0"/>
          <w:numId w:val="11"/>
        </w:numPr>
        <w:tabs>
          <w:tab w:val="left" w:pos="0"/>
        </w:tabs>
        <w:spacing w:before="207"/>
        <w:ind w:left="0" w:firstLine="567"/>
      </w:pPr>
      <w:bookmarkStart w:id="21" w:name="_Toc27146"/>
      <w:r>
        <w:rPr>
          <w:rFonts w:hint="eastAsia"/>
        </w:rPr>
        <w:t>文献评述</w:t>
      </w:r>
      <w:bookmarkEnd w:id="20"/>
      <w:bookmarkEnd w:id="21"/>
    </w:p>
    <w:p w14:paraId="5898A957" w14:textId="77777777" w:rsidR="00000000" w:rsidRDefault="00000000">
      <w:pPr>
        <w:pStyle w:val="afd"/>
        <w:ind w:firstLine="486"/>
        <w:rPr>
          <w:rFonts w:cs="宋体" w:hint="eastAsia"/>
          <w:color w:val="auto"/>
          <w:lang w:bidi="ar"/>
        </w:rPr>
      </w:pPr>
      <w:r>
        <w:rPr>
          <w:rFonts w:cs="宋体" w:hint="eastAsia"/>
          <w:color w:val="auto"/>
          <w:lang w:bidi="ar"/>
        </w:rPr>
        <w:t>尽管学术界目前尚未就“轻资产”及其运营模式的内涵达成完全一致意见，但梳理近年来国内外的相关研究成果可以发现，基本已经形成了较为清晰的认知。轻资产是构成企业核心竞争力的关键要素，涵盖品牌商誉、企业文化、研发创新、人力资源、管理模式等多个方面，凭借轻资产的独特性、稀缺性、高附加值以及难以模仿性，这类资源构成了企业获取并维持持续竞争优势的核心基石。</w:t>
      </w:r>
    </w:p>
    <w:p w14:paraId="73A55BD9" w14:textId="77777777" w:rsidR="00000000" w:rsidRDefault="00000000">
      <w:pPr>
        <w:pStyle w:val="afd"/>
        <w:ind w:firstLine="486"/>
        <w:rPr>
          <w:rFonts w:cs="宋体" w:hint="eastAsia"/>
          <w:color w:val="auto"/>
          <w:lang w:bidi="ar"/>
        </w:rPr>
      </w:pPr>
      <w:r>
        <w:rPr>
          <w:rFonts w:cs="宋体" w:hint="eastAsia"/>
          <w:color w:val="auto"/>
          <w:lang w:bidi="ar"/>
        </w:rPr>
        <w:t>国内外对财务风险的定义和分类、识别、评价以及控制的研究都比较丰富和完善，相对于轻资产运营模式的研究更为丰富，但综合分析二者的案例仍比较稀缺。本文通过对国内外有关文献的系统梳理，发现以下特点：一是关于轻资产定义和轻资产运营方式的研究，无论是国内还是国外，都比较丰富。国外研究发端甚早，积淀深厚；国内研究则起步于21世纪初，虽起步较晚但发展迅猛。二是国外对轻资产运营模式下财务风险的研究与国内相比略有不足，对轻资产运营模式下财务风险的应对措施缺乏具体的建议。国内现有研究多囿于高科技、金融和医药等行业，对于其他行业轻资产运营模式下财务风险的探讨尚显薄弱，相关文献还不够丰富。</w:t>
      </w:r>
    </w:p>
    <w:p w14:paraId="29C18D98" w14:textId="77777777" w:rsidR="00000000" w:rsidRDefault="00000000">
      <w:pPr>
        <w:pStyle w:val="afd"/>
        <w:ind w:firstLine="486"/>
        <w:rPr>
          <w:rFonts w:cs="宋体" w:hint="eastAsia"/>
          <w:color w:val="auto"/>
          <w:lang w:bidi="ar"/>
        </w:rPr>
      </w:pPr>
      <w:r>
        <w:rPr>
          <w:rFonts w:cs="宋体" w:hint="eastAsia"/>
          <w:color w:val="auto"/>
          <w:lang w:bidi="ar"/>
        </w:rPr>
        <w:t>在国际服装品牌冲击、消费者喜好急剧变化的大背景下，作为中国传统制造业的服装业屡遭挑战。因此，本文以采用轻资产运营模式的M服装企业为例进行深入探讨，旨在为轻资产运营企业的财务风险管理提供新思路和新启发。</w:t>
      </w:r>
    </w:p>
    <w:p w14:paraId="0161BA24" w14:textId="77777777" w:rsidR="00000000" w:rsidRDefault="00000000">
      <w:pPr>
        <w:pStyle w:val="afb"/>
        <w:spacing w:before="207" w:after="207"/>
        <w:rPr>
          <w:rFonts w:hint="default"/>
        </w:rPr>
      </w:pPr>
      <w:bookmarkStart w:id="22" w:name="_Toc17477"/>
      <w:bookmarkStart w:id="23" w:name="_Toc32586"/>
      <w:r>
        <w:t>研究内容与研究方法</w:t>
      </w:r>
      <w:bookmarkEnd w:id="22"/>
      <w:bookmarkEnd w:id="23"/>
    </w:p>
    <w:p w14:paraId="1D2EBA37" w14:textId="77777777" w:rsidR="00000000" w:rsidRDefault="00000000">
      <w:pPr>
        <w:pStyle w:val="afc"/>
        <w:numPr>
          <w:ilvl w:val="0"/>
          <w:numId w:val="15"/>
        </w:numPr>
        <w:tabs>
          <w:tab w:val="left" w:pos="0"/>
        </w:tabs>
        <w:spacing w:before="207"/>
        <w:ind w:firstLine="567"/>
      </w:pPr>
      <w:bookmarkStart w:id="24" w:name="_Toc13695"/>
      <w:bookmarkStart w:id="25" w:name="_Toc14497"/>
      <w:r>
        <w:rPr>
          <w:rFonts w:hint="eastAsia"/>
        </w:rPr>
        <w:t>研究内容</w:t>
      </w:r>
      <w:bookmarkEnd w:id="24"/>
      <w:bookmarkEnd w:id="25"/>
    </w:p>
    <w:p w14:paraId="24AAA03B" w14:textId="77777777" w:rsidR="00000000" w:rsidRDefault="00000000">
      <w:pPr>
        <w:pStyle w:val="afd"/>
        <w:ind w:firstLine="486"/>
        <w:rPr>
          <w:rFonts w:cs="宋体" w:hint="eastAsia"/>
          <w:color w:val="auto"/>
          <w:lang w:bidi="ar"/>
        </w:rPr>
      </w:pPr>
      <w:r>
        <w:rPr>
          <w:rFonts w:cs="宋体" w:hint="eastAsia"/>
          <w:color w:val="auto"/>
          <w:lang w:bidi="ar"/>
        </w:rPr>
        <w:t>本文选取M公司作为案例研究对象，系统地将研究内容分为以下七章。</w:t>
      </w:r>
    </w:p>
    <w:p w14:paraId="40D1CB04" w14:textId="77777777" w:rsidR="00000000" w:rsidRDefault="00000000">
      <w:pPr>
        <w:pStyle w:val="afd"/>
        <w:ind w:firstLine="486"/>
        <w:rPr>
          <w:rFonts w:cs="宋体" w:hint="eastAsia"/>
          <w:color w:val="auto"/>
          <w:lang w:bidi="ar"/>
        </w:rPr>
      </w:pPr>
      <w:r>
        <w:rPr>
          <w:rFonts w:cs="宋体" w:hint="eastAsia"/>
          <w:color w:val="auto"/>
          <w:lang w:bidi="ar"/>
        </w:rPr>
        <w:t>第一章：绪论。本章首先阐述了研究背景及其理论与现实意义，并系统梳理了国内外关于轻资产、轻资产运营模式、财务风险管理等领域的文献脉络。随后，界定了研究的主要内容，并详述了所采用的研究方法与技术路线。</w:t>
      </w:r>
    </w:p>
    <w:p w14:paraId="4B6636E6" w14:textId="77777777" w:rsidR="00000000" w:rsidRDefault="00000000">
      <w:pPr>
        <w:pStyle w:val="afd"/>
        <w:ind w:firstLine="486"/>
        <w:rPr>
          <w:rFonts w:cs="宋体" w:hint="eastAsia"/>
          <w:color w:val="auto"/>
          <w:lang w:bidi="ar"/>
        </w:rPr>
      </w:pPr>
      <w:r>
        <w:rPr>
          <w:rFonts w:cs="宋体" w:hint="eastAsia"/>
          <w:color w:val="auto"/>
          <w:lang w:bidi="ar"/>
        </w:rPr>
        <w:t>第二章：相关概念界定和理论基础。本章首先明确了轻资产、轻资产运营模式、财务风险、财务风险管理等核心概念，梳理了劳动分工理论、微笑曲线理</w:t>
      </w:r>
      <w:r>
        <w:rPr>
          <w:rFonts w:cs="宋体" w:hint="eastAsia"/>
          <w:color w:val="auto"/>
          <w:lang w:bidi="ar"/>
        </w:rPr>
        <w:lastRenderedPageBreak/>
        <w:t>论、全面风险管理理论的主要观点，并结合这些理论的逻辑机理，构建了与本研究之间的内在联系，为后续开展财务风险识别、评价和控制奠定了理论基础。</w:t>
      </w:r>
    </w:p>
    <w:p w14:paraId="2B550101" w14:textId="77777777" w:rsidR="00000000" w:rsidRDefault="00000000">
      <w:pPr>
        <w:pStyle w:val="afd"/>
        <w:ind w:firstLine="486"/>
        <w:rPr>
          <w:rFonts w:cs="宋体" w:hint="eastAsia"/>
          <w:color w:val="auto"/>
          <w:lang w:bidi="ar"/>
        </w:rPr>
      </w:pPr>
      <w:r>
        <w:rPr>
          <w:rFonts w:cs="宋体" w:hint="eastAsia"/>
          <w:color w:val="auto"/>
          <w:lang w:bidi="ar"/>
        </w:rPr>
        <w:t>第三章：M服装企业轻资产运营模式实施现状剖析：本章首先剖析了我国服装行业的发展态势与演进脉络，随后，对M服装企业的基本情况、组织架构及其核心轻资产等进行了详细介绍。最后，深入剖析了M服装企业轻资产运营模式的财务特性。</w:t>
      </w:r>
    </w:p>
    <w:p w14:paraId="771448F8" w14:textId="77777777" w:rsidR="00000000" w:rsidRDefault="00000000">
      <w:pPr>
        <w:pStyle w:val="afd"/>
        <w:ind w:firstLine="486"/>
        <w:rPr>
          <w:rFonts w:cs="宋体" w:hint="eastAsia"/>
          <w:color w:val="auto"/>
          <w:lang w:bidi="ar"/>
        </w:rPr>
      </w:pPr>
      <w:bookmarkStart w:id="26" w:name="OLE_LINK8"/>
      <w:r>
        <w:rPr>
          <w:rFonts w:cs="宋体" w:hint="eastAsia"/>
          <w:color w:val="auto"/>
          <w:lang w:bidi="ar"/>
        </w:rPr>
        <w:t>第四章：轻资产运营模式下M服装企业财务风险识别及成因分析。</w:t>
      </w:r>
      <w:bookmarkEnd w:id="26"/>
      <w:r>
        <w:rPr>
          <w:rFonts w:cs="宋体" w:hint="eastAsia"/>
          <w:color w:val="auto"/>
          <w:lang w:bidi="ar"/>
        </w:rPr>
        <w:t>本章基于财务比率分析法，从筹资、投资、营运及收益分配四个层面切入，构建了多维度的风险识别框架，并从内外因两个维度对风险成因进行了剖析。</w:t>
      </w:r>
    </w:p>
    <w:p w14:paraId="6040487B" w14:textId="77777777" w:rsidR="00000000" w:rsidRDefault="00000000">
      <w:pPr>
        <w:pStyle w:val="afd"/>
        <w:ind w:firstLine="486"/>
        <w:rPr>
          <w:rFonts w:cs="宋体" w:hint="eastAsia"/>
          <w:color w:val="auto"/>
          <w:lang w:bidi="ar"/>
        </w:rPr>
      </w:pPr>
      <w:r>
        <w:rPr>
          <w:rFonts w:cs="宋体" w:hint="eastAsia"/>
          <w:color w:val="auto"/>
          <w:lang w:bidi="ar"/>
        </w:rPr>
        <w:t>第五章：轻资产运营模式下M服装企业财务风险评价。本章构建了M服装企业的财务风险评价指标体系，并运用熵权-TOPSIS法对识别出的财务风险进行了量化评价。</w:t>
      </w:r>
    </w:p>
    <w:p w14:paraId="1D29703A" w14:textId="77777777" w:rsidR="00000000" w:rsidRDefault="00000000">
      <w:pPr>
        <w:pStyle w:val="afd"/>
        <w:ind w:firstLine="486"/>
        <w:rPr>
          <w:rFonts w:cs="宋体" w:hint="eastAsia"/>
          <w:color w:val="auto"/>
          <w:lang w:bidi="ar"/>
        </w:rPr>
      </w:pPr>
      <w:r>
        <w:rPr>
          <w:rFonts w:cs="宋体" w:hint="eastAsia"/>
          <w:color w:val="auto"/>
          <w:lang w:bidi="ar"/>
        </w:rPr>
        <w:t>第六章：轻资产运营模式下M服装企业财务风险控制策略。本章依据第四章和第五章的分析结果，对轻资产运营模式下M服装企业面临的财务风险提出了具体的防控策略和建议。</w:t>
      </w:r>
    </w:p>
    <w:p w14:paraId="59C316DE" w14:textId="77777777" w:rsidR="00000000" w:rsidRDefault="00000000">
      <w:pPr>
        <w:pStyle w:val="afd"/>
        <w:ind w:firstLine="486"/>
        <w:rPr>
          <w:rFonts w:cs="宋体" w:hint="eastAsia"/>
          <w:color w:val="auto"/>
          <w:lang w:bidi="ar"/>
        </w:rPr>
      </w:pPr>
      <w:r>
        <w:rPr>
          <w:rFonts w:cs="宋体" w:hint="eastAsia"/>
          <w:color w:val="auto"/>
          <w:lang w:bidi="ar"/>
        </w:rPr>
        <w:t>第七章：研究结论与展望。本章旨在系统梳理主要研究结论，客观剖析研究过程中存在的局限性，并在此基础上对未来研究方向进行了展望。</w:t>
      </w:r>
    </w:p>
    <w:p w14:paraId="2C512C86" w14:textId="77777777" w:rsidR="00000000" w:rsidRDefault="00000000">
      <w:pPr>
        <w:pStyle w:val="afc"/>
        <w:numPr>
          <w:ilvl w:val="0"/>
          <w:numId w:val="15"/>
        </w:numPr>
        <w:tabs>
          <w:tab w:val="left" w:pos="0"/>
        </w:tabs>
        <w:spacing w:before="207"/>
        <w:ind w:firstLine="567"/>
      </w:pPr>
      <w:bookmarkStart w:id="27" w:name="_Toc18006"/>
      <w:bookmarkStart w:id="28" w:name="_Toc18866"/>
      <w:r>
        <w:rPr>
          <w:rFonts w:hint="eastAsia"/>
        </w:rPr>
        <w:t>研究方法</w:t>
      </w:r>
      <w:bookmarkEnd w:id="27"/>
      <w:bookmarkEnd w:id="28"/>
    </w:p>
    <w:p w14:paraId="4125DD68" w14:textId="77777777" w:rsidR="00000000" w:rsidRDefault="00000000">
      <w:pPr>
        <w:pStyle w:val="afd"/>
        <w:numPr>
          <w:ilvl w:val="0"/>
          <w:numId w:val="16"/>
        </w:numPr>
        <w:ind w:firstLineChars="0"/>
        <w:rPr>
          <w:rFonts w:cs="宋体" w:hint="eastAsia"/>
          <w:color w:val="auto"/>
          <w:lang w:bidi="ar"/>
        </w:rPr>
      </w:pPr>
      <w:r>
        <w:rPr>
          <w:rFonts w:cs="宋体" w:hint="eastAsia"/>
          <w:color w:val="auto"/>
          <w:lang w:bidi="ar"/>
        </w:rPr>
        <w:t>文献综述法</w:t>
      </w:r>
    </w:p>
    <w:p w14:paraId="64ABB89E" w14:textId="77777777" w:rsidR="00000000" w:rsidRDefault="00000000">
      <w:pPr>
        <w:pStyle w:val="afd"/>
        <w:ind w:firstLine="486"/>
        <w:rPr>
          <w:rFonts w:cs="宋体" w:hint="eastAsia"/>
          <w:color w:val="auto"/>
          <w:lang w:bidi="ar"/>
        </w:rPr>
      </w:pPr>
      <w:r>
        <w:rPr>
          <w:rFonts w:cs="宋体" w:hint="eastAsia"/>
          <w:color w:val="auto"/>
          <w:lang w:bidi="ar"/>
        </w:rPr>
        <w:t>本研究围绕核心议题，通过查阅大量相关文献，对轻资产运营模式的财务风险研究现状进行了综合分析，以保证全面准确地理解研究主题。</w:t>
      </w:r>
    </w:p>
    <w:p w14:paraId="2AD67D6F" w14:textId="77777777" w:rsidR="00000000" w:rsidRDefault="00000000">
      <w:pPr>
        <w:pStyle w:val="afd"/>
        <w:numPr>
          <w:ilvl w:val="0"/>
          <w:numId w:val="16"/>
        </w:numPr>
        <w:ind w:firstLineChars="0"/>
        <w:rPr>
          <w:rFonts w:cs="宋体" w:hint="eastAsia"/>
          <w:color w:val="auto"/>
          <w:lang w:bidi="ar"/>
        </w:rPr>
      </w:pPr>
      <w:r>
        <w:rPr>
          <w:rFonts w:cs="宋体" w:hint="eastAsia"/>
          <w:color w:val="auto"/>
          <w:lang w:bidi="ar"/>
        </w:rPr>
        <w:t>案例分析法</w:t>
      </w:r>
    </w:p>
    <w:p w14:paraId="0196E4B8" w14:textId="77777777" w:rsidR="00000000" w:rsidRDefault="00000000">
      <w:pPr>
        <w:pStyle w:val="afd"/>
        <w:ind w:firstLine="486"/>
        <w:rPr>
          <w:rFonts w:cs="宋体" w:hint="eastAsia"/>
          <w:color w:val="auto"/>
          <w:lang w:bidi="ar"/>
        </w:rPr>
      </w:pPr>
      <w:r>
        <w:rPr>
          <w:rFonts w:cs="宋体" w:hint="eastAsia"/>
          <w:color w:val="auto"/>
          <w:lang w:bidi="ar"/>
        </w:rPr>
        <w:t>本文选取M服装企业作为研究案例，通过深入剖析其轻资产运营模式下的核心资产构成与财务特征，旨在探索并识别适用于该模式的有效财务风险管控路径。</w:t>
      </w:r>
    </w:p>
    <w:p w14:paraId="14D10EB5" w14:textId="77777777" w:rsidR="00000000" w:rsidRDefault="00000000">
      <w:pPr>
        <w:pStyle w:val="afd"/>
        <w:numPr>
          <w:ilvl w:val="0"/>
          <w:numId w:val="16"/>
        </w:numPr>
        <w:ind w:firstLineChars="0"/>
        <w:rPr>
          <w:rFonts w:cs="宋体" w:hint="eastAsia"/>
          <w:color w:val="auto"/>
          <w:lang w:bidi="ar"/>
        </w:rPr>
      </w:pPr>
      <w:r>
        <w:rPr>
          <w:rFonts w:cs="宋体" w:hint="eastAsia"/>
          <w:color w:val="auto"/>
          <w:lang w:bidi="ar"/>
        </w:rPr>
        <w:t>财务比率解析法</w:t>
      </w:r>
    </w:p>
    <w:p w14:paraId="332E0182" w14:textId="77777777" w:rsidR="00000000" w:rsidRDefault="00000000">
      <w:pPr>
        <w:pStyle w:val="afd"/>
        <w:ind w:firstLine="486"/>
        <w:rPr>
          <w:rFonts w:hint="eastAsia"/>
          <w:color w:val="auto"/>
        </w:rPr>
      </w:pPr>
      <w:r>
        <w:rPr>
          <w:rFonts w:cs="宋体" w:hint="eastAsia"/>
          <w:color w:val="auto"/>
          <w:lang w:bidi="ar"/>
        </w:rPr>
        <w:t>本研究以M服装企业年度报告为基础，结合东方财富、国泰安等数据库平台披露的数据，运用财务比率解析法对其轻资产运营模式下的关键财务指标进行评估，重点挖掘潜在的财务风险及其根源。</w:t>
      </w:r>
    </w:p>
    <w:p w14:paraId="06FCAFB6" w14:textId="77777777" w:rsidR="00000000" w:rsidRDefault="00000000">
      <w:pPr>
        <w:pStyle w:val="afd"/>
        <w:ind w:firstLine="486"/>
        <w:rPr>
          <w:rFonts w:cs="宋体"/>
          <w:color w:val="auto"/>
          <w:szCs w:val="24"/>
          <w:lang w:bidi="ar"/>
        </w:rPr>
      </w:pPr>
      <w:r>
        <w:rPr>
          <w:rFonts w:hint="eastAsia"/>
          <w:color w:val="auto"/>
        </w:rPr>
        <w:t>本文的技术路线图如图1-1所示：</w:t>
      </w:r>
    </w:p>
    <w:p w14:paraId="26ED7BEC" w14:textId="77777777" w:rsidR="00000000" w:rsidRDefault="00000000">
      <w:pPr>
        <w:widowControl/>
        <w:wordWrap w:val="0"/>
        <w:ind w:firstLine="0"/>
        <w:rPr>
          <w:szCs w:val="24"/>
        </w:rPr>
      </w:pPr>
    </w:p>
    <w:p w14:paraId="7FB7E1A9" w14:textId="77777777" w:rsidR="00000000" w:rsidRDefault="00000000">
      <w:pPr>
        <w:widowControl/>
        <w:wordWrap w:val="0"/>
        <w:ind w:firstLine="0"/>
        <w:rPr>
          <w:szCs w:val="24"/>
        </w:rPr>
      </w:pPr>
    </w:p>
    <w:p w14:paraId="4C591F8B" w14:textId="77777777" w:rsidR="00000000" w:rsidRDefault="00000000">
      <w:pPr>
        <w:widowControl/>
        <w:wordWrap w:val="0"/>
        <w:ind w:firstLine="0"/>
        <w:rPr>
          <w:szCs w:val="24"/>
        </w:rPr>
      </w:pPr>
    </w:p>
    <w:p w14:paraId="121C0592" w14:textId="77777777" w:rsidR="00000000" w:rsidRDefault="00000000">
      <w:pPr>
        <w:widowControl/>
        <w:wordWrap w:val="0"/>
        <w:ind w:firstLine="0"/>
        <w:rPr>
          <w:szCs w:val="24"/>
        </w:rPr>
      </w:pPr>
    </w:p>
    <w:p w14:paraId="580E5EFF" w14:textId="77777777" w:rsidR="00000000" w:rsidRDefault="00000000">
      <w:pPr>
        <w:widowControl/>
        <w:wordWrap w:val="0"/>
        <w:ind w:firstLine="0"/>
        <w:rPr>
          <w:szCs w:val="24"/>
        </w:rPr>
      </w:pPr>
    </w:p>
    <w:p w14:paraId="3A5F35E1" w14:textId="77777777" w:rsidR="00000000" w:rsidRDefault="00000000">
      <w:pPr>
        <w:widowControl/>
        <w:wordWrap w:val="0"/>
        <w:ind w:firstLine="0"/>
        <w:rPr>
          <w:rFonts w:ascii="宋体" w:hAnsi="宋体" w:cs="宋体" w:hint="eastAsia"/>
          <w:kern w:val="0"/>
          <w:szCs w:val="24"/>
          <w:lang w:bidi="ar"/>
        </w:rPr>
      </w:pPr>
      <w:r>
        <w:rPr>
          <w:rFonts w:ascii="宋体" w:hAnsi="宋体" w:cs="宋体" w:hint="eastAsia"/>
          <w:kern w:val="0"/>
          <w:szCs w:val="24"/>
          <w:lang w:bidi="ar"/>
        </w:rPr>
        <w:pict w14:anchorId="7AD2C2ED">
          <v:shape id="图片 20" o:spid="_x0000_i1027" type="#_x0000_t75" alt="绘图1" style="width:425.25pt;height:504.75pt;mso-wrap-style:square;mso-position-horizontal-relative:page;mso-position-vertical-relative:page">
            <v:fill o:detectmouseclick="t"/>
            <v:imagedata r:id="rId25" o:title="绘图1"/>
          </v:shape>
        </w:pict>
      </w:r>
    </w:p>
    <w:p w14:paraId="71A2B906" w14:textId="77777777" w:rsidR="00000000" w:rsidRDefault="00000000">
      <w:pPr>
        <w:widowControl/>
        <w:wordWrap w:val="0"/>
        <w:ind w:firstLine="0"/>
        <w:rPr>
          <w:rFonts w:ascii="宋体" w:hAnsi="宋体" w:cs="宋体" w:hint="eastAsia"/>
          <w:kern w:val="0"/>
          <w:szCs w:val="24"/>
          <w:lang w:bidi="ar"/>
        </w:rPr>
      </w:pPr>
    </w:p>
    <w:p w14:paraId="0AA1158B" w14:textId="77777777" w:rsidR="00000000" w:rsidRDefault="00000000">
      <w:pPr>
        <w:widowControl/>
        <w:wordWrap w:val="0"/>
        <w:ind w:firstLine="0"/>
        <w:rPr>
          <w:rFonts w:ascii="宋体" w:hAnsi="宋体" w:cs="宋体" w:hint="eastAsia"/>
          <w:kern w:val="0"/>
          <w:szCs w:val="24"/>
          <w:lang w:bidi="ar"/>
        </w:rPr>
      </w:pPr>
    </w:p>
    <w:p w14:paraId="60C41A6F" w14:textId="77777777" w:rsidR="00000000" w:rsidRDefault="00000000">
      <w:pPr>
        <w:widowControl/>
        <w:wordWrap w:val="0"/>
        <w:ind w:firstLine="0"/>
        <w:rPr>
          <w:rFonts w:ascii="宋体" w:hAnsi="宋体" w:cs="宋体" w:hint="eastAsia"/>
          <w:kern w:val="0"/>
          <w:szCs w:val="24"/>
          <w:lang w:bidi="ar"/>
        </w:rPr>
      </w:pPr>
    </w:p>
    <w:p w14:paraId="5E370337" w14:textId="77777777" w:rsidR="00000000" w:rsidRDefault="00000000">
      <w:pPr>
        <w:autoSpaceDE w:val="0"/>
        <w:autoSpaceDN w:val="0"/>
        <w:adjustRightInd w:val="0"/>
        <w:ind w:firstLine="0"/>
        <w:jc w:val="center"/>
        <w:rPr>
          <w:rFonts w:hint="eastAsia"/>
          <w:szCs w:val="24"/>
        </w:rPr>
        <w:sectPr w:rsidR="00000000">
          <w:footerReference w:type="even" r:id="rId26"/>
          <w:footerReference w:type="default" r:id="rId27"/>
          <w:footnotePr>
            <w:numRestart w:val="eachPage"/>
          </w:footnotePr>
          <w:pgSz w:w="11909" w:h="16834"/>
          <w:pgMar w:top="1701" w:right="1701" w:bottom="1418" w:left="1701" w:header="1304" w:footer="1021" w:gutter="0"/>
          <w:pgNumType w:start="1"/>
          <w:cols w:space="720"/>
          <w:docGrid w:type="linesAndChars" w:linePitch="415" w:charSpace="614"/>
        </w:sectPr>
      </w:pPr>
      <w:r>
        <w:rPr>
          <w:rFonts w:hint="eastAsia"/>
          <w:szCs w:val="24"/>
        </w:rPr>
        <w:t>图</w:t>
      </w:r>
      <w:r>
        <w:rPr>
          <w:rFonts w:hint="eastAsia"/>
          <w:szCs w:val="24"/>
        </w:rPr>
        <w:t xml:space="preserve">1-1 </w:t>
      </w:r>
      <w:r>
        <w:rPr>
          <w:rFonts w:hint="eastAsia"/>
          <w:szCs w:val="24"/>
        </w:rPr>
        <w:t>技术路线图</w:t>
      </w:r>
    </w:p>
    <w:p w14:paraId="7F834E96" w14:textId="77777777" w:rsidR="00000000" w:rsidRDefault="00000000">
      <w:pPr>
        <w:autoSpaceDE w:val="0"/>
        <w:autoSpaceDN w:val="0"/>
        <w:adjustRightInd w:val="0"/>
        <w:ind w:firstLine="0"/>
        <w:jc w:val="center"/>
        <w:rPr>
          <w:rFonts w:hint="eastAsia"/>
          <w:szCs w:val="24"/>
        </w:rPr>
        <w:sectPr w:rsidR="00000000">
          <w:footnotePr>
            <w:numRestart w:val="eachPage"/>
          </w:footnotePr>
          <w:pgSz w:w="11909" w:h="16834"/>
          <w:pgMar w:top="1701" w:right="1701" w:bottom="1418" w:left="1701" w:header="1304" w:footer="1021" w:gutter="0"/>
          <w:cols w:space="720"/>
          <w:docGrid w:type="linesAndChars" w:linePitch="415" w:charSpace="614"/>
        </w:sectPr>
      </w:pPr>
    </w:p>
    <w:p w14:paraId="6B6AC920" w14:textId="77777777" w:rsidR="00000000" w:rsidRDefault="00000000">
      <w:pPr>
        <w:pStyle w:val="afa"/>
        <w:numPr>
          <w:ilvl w:val="0"/>
          <w:numId w:val="0"/>
        </w:numPr>
        <w:spacing w:before="415" w:after="207"/>
        <w:ind w:left="402"/>
        <w:rPr>
          <w:rFonts w:hint="default"/>
        </w:rPr>
      </w:pPr>
      <w:bookmarkStart w:id="29" w:name="_Toc16645"/>
      <w:bookmarkStart w:id="30" w:name="_Toc4039"/>
      <w:r>
        <w:lastRenderedPageBreak/>
        <w:t>第二章</w:t>
      </w:r>
      <w:r>
        <w:t xml:space="preserve"> </w:t>
      </w:r>
      <w:r>
        <w:t>相关概念及理论基础</w:t>
      </w:r>
      <w:bookmarkEnd w:id="29"/>
      <w:bookmarkEnd w:id="30"/>
    </w:p>
    <w:p w14:paraId="7AB2BB8B" w14:textId="77777777" w:rsidR="00000000" w:rsidRDefault="00000000">
      <w:pPr>
        <w:pStyle w:val="afb"/>
        <w:numPr>
          <w:ilvl w:val="0"/>
          <w:numId w:val="17"/>
        </w:numPr>
        <w:tabs>
          <w:tab w:val="left" w:pos="0"/>
          <w:tab w:val="left" w:pos="3260"/>
        </w:tabs>
        <w:autoSpaceDE w:val="0"/>
        <w:autoSpaceDN w:val="0"/>
        <w:spacing w:before="207" w:after="207"/>
        <w:ind w:firstLineChars="100" w:firstLine="284"/>
        <w:rPr>
          <w:rFonts w:hint="default"/>
        </w:rPr>
      </w:pPr>
      <w:bookmarkStart w:id="31" w:name="_Toc30974"/>
      <w:bookmarkStart w:id="32" w:name="_Toc3490"/>
      <w:r>
        <w:t>概念界定</w:t>
      </w:r>
      <w:bookmarkEnd w:id="31"/>
      <w:bookmarkEnd w:id="32"/>
    </w:p>
    <w:p w14:paraId="35D1CB7E" w14:textId="77777777" w:rsidR="00000000" w:rsidRDefault="00000000">
      <w:pPr>
        <w:pStyle w:val="afc"/>
        <w:numPr>
          <w:ilvl w:val="0"/>
          <w:numId w:val="18"/>
        </w:numPr>
        <w:tabs>
          <w:tab w:val="left" w:pos="0"/>
        </w:tabs>
        <w:spacing w:before="207"/>
      </w:pPr>
      <w:bookmarkStart w:id="33" w:name="_Toc31936"/>
      <w:bookmarkStart w:id="34" w:name="_Toc24243"/>
      <w:r>
        <w:rPr>
          <w:rFonts w:hint="eastAsia"/>
        </w:rPr>
        <w:t>轻资产</w:t>
      </w:r>
      <w:bookmarkEnd w:id="33"/>
      <w:bookmarkEnd w:id="34"/>
    </w:p>
    <w:p w14:paraId="4C786E53" w14:textId="77777777" w:rsidR="00000000" w:rsidRDefault="00000000">
      <w:pPr>
        <w:pStyle w:val="afd"/>
        <w:ind w:firstLine="486"/>
        <w:rPr>
          <w:rFonts w:cs="宋体" w:hint="eastAsia"/>
          <w:color w:val="auto"/>
          <w:lang w:bidi="ar"/>
        </w:rPr>
      </w:pPr>
      <w:bookmarkStart w:id="35" w:name="_Toc27015"/>
      <w:r>
        <w:rPr>
          <w:rFonts w:cs="宋体" w:hint="eastAsia"/>
          <w:color w:val="auto"/>
          <w:lang w:bidi="ar"/>
        </w:rPr>
        <w:t>尽管国内外学术界对“轻资产”的界定尚无统一标准，但现有文献普遍认为，轻资产是一种特殊类型的无形资产，其与传统重资产的区别集中表现为没有具体的物理形态、对企业经营收益和核心竞争力的巨大影响，它既包含“专利”、“知识产权”等可辨认无形资产，也包含品牌商誉、人力素质、管理模式等难以在财务报表中充分列示的隐性资源。从广义角度看，轻资产是指不可见的资产集合，强调无形资产（专利、商标）和长期股权投资等资产。而从狭义角度看，轻资产强调指基于本身技术、渠道、客户、创新等因素形成的企业“软实力”和竞争优势。轻资产的核心功能是用较少的投入收获较大的权益回报率，带来企业的快速发展。以服装行业来说，M公司采取的轻资产发展模式，主要体现于品牌塑造、研发设计、产业链群打造和数字化管理这四方面。这均属于“不占有实物形态资产”的战略性资源，但却有效提高了企业的资源配置效率和价值创造能力，是企业未来可持续发展的支撑点。</w:t>
      </w:r>
    </w:p>
    <w:p w14:paraId="432D3FEB" w14:textId="77777777" w:rsidR="00000000" w:rsidRDefault="00000000">
      <w:pPr>
        <w:pStyle w:val="afd"/>
        <w:ind w:firstLine="486"/>
        <w:rPr>
          <w:rFonts w:cs="宋体" w:hint="eastAsia"/>
          <w:color w:val="auto"/>
          <w:lang w:bidi="ar"/>
        </w:rPr>
      </w:pPr>
      <w:r>
        <w:rPr>
          <w:rFonts w:cs="宋体" w:hint="eastAsia"/>
          <w:color w:val="auto"/>
          <w:lang w:bidi="ar"/>
        </w:rPr>
        <w:t>综上，轻资产的定义可以概括为：不占有实物形态的、战略性资源的组合，其通过知识、关系、能力等资源整合，能够有效降低企业资本依赖度，促使企业竞争优势逐步显现，从而为企业创造价值。</w:t>
      </w:r>
    </w:p>
    <w:p w14:paraId="39F9E513" w14:textId="77777777" w:rsidR="00000000" w:rsidRDefault="00000000">
      <w:pPr>
        <w:pStyle w:val="afc"/>
        <w:numPr>
          <w:ilvl w:val="0"/>
          <w:numId w:val="18"/>
        </w:numPr>
        <w:tabs>
          <w:tab w:val="left" w:pos="0"/>
        </w:tabs>
        <w:spacing w:before="207"/>
      </w:pPr>
      <w:bookmarkStart w:id="36" w:name="_Toc13222"/>
      <w:r>
        <w:t>轻资产运营</w:t>
      </w:r>
      <w:r>
        <w:rPr>
          <w:rFonts w:hint="eastAsia"/>
        </w:rPr>
        <w:t>模式</w:t>
      </w:r>
      <w:bookmarkEnd w:id="35"/>
      <w:bookmarkEnd w:id="36"/>
    </w:p>
    <w:p w14:paraId="42D5E76A" w14:textId="77777777" w:rsidR="00000000" w:rsidRDefault="00000000">
      <w:pPr>
        <w:pStyle w:val="afd"/>
        <w:ind w:firstLine="486"/>
        <w:rPr>
          <w:rFonts w:cs="宋体" w:hint="eastAsia"/>
          <w:color w:val="auto"/>
          <w:lang w:bidi="ar"/>
        </w:rPr>
      </w:pPr>
      <w:r>
        <w:rPr>
          <w:rFonts w:cs="宋体" w:hint="eastAsia"/>
          <w:color w:val="auto"/>
          <w:lang w:bidi="ar"/>
        </w:rPr>
        <w:t>轻资产运营模式作为一种战略性资源配置范式，其核心内涵体现为通过最小化固定资产投入实现商业价值最大化。该模式通过将企业资源向高附加值环节倾斜，同时将低附加值环节外包，形成以知识资本和无形资源为核心的竞争优势。具体可从以下维度进行解析：</w:t>
      </w:r>
    </w:p>
    <w:p w14:paraId="231B9B5C" w14:textId="77777777" w:rsidR="00000000" w:rsidRDefault="00000000">
      <w:pPr>
        <w:pStyle w:val="afd"/>
        <w:numPr>
          <w:ilvl w:val="0"/>
          <w:numId w:val="19"/>
        </w:numPr>
        <w:ind w:firstLineChars="0"/>
        <w:rPr>
          <w:rFonts w:cs="宋体" w:hint="eastAsia"/>
          <w:color w:val="auto"/>
          <w:lang w:bidi="ar"/>
        </w:rPr>
      </w:pPr>
      <w:r>
        <w:rPr>
          <w:rFonts w:cs="宋体" w:hint="eastAsia"/>
          <w:color w:val="auto"/>
          <w:lang w:bidi="ar"/>
        </w:rPr>
        <w:t>概念与构成要素</w:t>
      </w:r>
    </w:p>
    <w:p w14:paraId="7523E7B1" w14:textId="77777777" w:rsidR="00000000" w:rsidRDefault="00000000">
      <w:pPr>
        <w:pStyle w:val="afd"/>
        <w:ind w:firstLine="486"/>
        <w:rPr>
          <w:color w:val="auto"/>
        </w:rPr>
      </w:pPr>
      <w:r>
        <w:rPr>
          <w:rFonts w:cs="宋体" w:hint="eastAsia"/>
          <w:color w:val="000000"/>
          <w:lang w:bidi="ar"/>
        </w:rPr>
        <w:t>轻资产运营模式使企业打破固定资产投入的刚性约束，其实质是一个资本结构创新的问题，即以品牌、技术等无形资产和“微笑曲线”两端的高收益环节（专利技术、品牌等无形资产）以及战略性重要资源（管理经验、供应链资源、人力资产）锁定企业核心能力。迈克尔·波特基于价值链理论指出，企业的轻资产式运营就是能够战略性地将重要资源分配于研发设计、品牌推广等环节，从而</w:t>
      </w:r>
      <w:r>
        <w:rPr>
          <w:rFonts w:cs="宋体" w:hint="eastAsia"/>
          <w:color w:val="000000"/>
          <w:lang w:bidi="ar"/>
        </w:rPr>
        <w:lastRenderedPageBreak/>
        <w:t>获得综合价值的提升。廖涵平则从财务管理角度得出轻资产模式的财务特征（表2-1），</w:t>
      </w:r>
      <w:r>
        <w:rPr>
          <w:rFonts w:cs="宋体" w:hint="eastAsia"/>
          <w:color w:val="auto"/>
          <w:lang w:bidi="ar"/>
        </w:rPr>
        <w:t>强调轻资产企业倾向于低固定资产占比与高无息负债结构。</w:t>
      </w:r>
    </w:p>
    <w:p w14:paraId="7D7C783E" w14:textId="77777777" w:rsidR="00000000" w:rsidRDefault="00000000">
      <w:pPr>
        <w:widowControl/>
        <w:wordWrap w:val="0"/>
        <w:spacing w:beforeLines="50" w:before="207" w:afterLines="50" w:after="207" w:line="400" w:lineRule="exact"/>
        <w:ind w:firstLine="0"/>
        <w:jc w:val="center"/>
        <w:rPr>
          <w:rFonts w:ascii="宋体" w:hAnsi="宋体" w:cs="宋体"/>
          <w:kern w:val="0"/>
          <w:sz w:val="21"/>
          <w:szCs w:val="21"/>
          <w:lang w:bidi="ar"/>
        </w:rPr>
      </w:pPr>
      <w:r>
        <w:rPr>
          <w:rFonts w:ascii="宋体" w:hAnsi="宋体" w:cs="宋体" w:hint="eastAsia"/>
          <w:kern w:val="0"/>
          <w:sz w:val="21"/>
          <w:szCs w:val="21"/>
          <w:lang w:bidi="ar"/>
        </w:rPr>
        <w:t>表2-1轻资产运营模式特征</w:t>
      </w:r>
    </w:p>
    <w:tbl>
      <w:tblPr>
        <w:tblW w:w="8639" w:type="dxa"/>
        <w:jc w:val="center"/>
        <w:tblInd w:w="0" w:type="dxa"/>
        <w:tblCellMar>
          <w:top w:w="64" w:type="dxa"/>
          <w:left w:w="128" w:type="dxa"/>
          <w:bottom w:w="64" w:type="dxa"/>
          <w:right w:w="128" w:type="dxa"/>
        </w:tblCellMar>
        <w:tblLook w:val="0000" w:firstRow="0" w:lastRow="0" w:firstColumn="0" w:lastColumn="0" w:noHBand="0" w:noVBand="0"/>
      </w:tblPr>
      <w:tblGrid>
        <w:gridCol w:w="1456"/>
        <w:gridCol w:w="7183"/>
      </w:tblGrid>
      <w:tr w:rsidR="00000000" w14:paraId="32B8B722" w14:textId="77777777">
        <w:trPr>
          <w:tblHeader/>
          <w:jc w:val="center"/>
        </w:trPr>
        <w:tc>
          <w:tcPr>
            <w:tcW w:w="1456" w:type="dxa"/>
            <w:tcBorders>
              <w:top w:val="single" w:sz="12" w:space="0" w:color="000000"/>
              <w:left w:val="nil"/>
              <w:bottom w:val="single" w:sz="4" w:space="0" w:color="000000"/>
              <w:right w:val="nil"/>
            </w:tcBorders>
            <w:vAlign w:val="center"/>
          </w:tcPr>
          <w:p w14:paraId="2B1DE7F9" w14:textId="77777777" w:rsidR="00000000" w:rsidRDefault="00000000">
            <w:pPr>
              <w:pStyle w:val="afd"/>
              <w:wordWrap/>
              <w:snapToGrid w:val="0"/>
              <w:ind w:firstLineChars="0" w:firstLine="0"/>
              <w:jc w:val="center"/>
              <w:rPr>
                <w:b/>
                <w:bCs/>
                <w:color w:val="auto"/>
                <w:sz w:val="21"/>
                <w:szCs w:val="21"/>
              </w:rPr>
            </w:pPr>
            <w:r>
              <w:rPr>
                <w:rFonts w:hint="eastAsia"/>
                <w:b/>
                <w:bCs/>
                <w:color w:val="auto"/>
                <w:sz w:val="21"/>
                <w:szCs w:val="21"/>
              </w:rPr>
              <w:t>项目</w:t>
            </w:r>
          </w:p>
        </w:tc>
        <w:tc>
          <w:tcPr>
            <w:tcW w:w="7183" w:type="dxa"/>
            <w:tcBorders>
              <w:top w:val="single" w:sz="12" w:space="0" w:color="000000"/>
              <w:left w:val="nil"/>
              <w:bottom w:val="single" w:sz="4" w:space="0" w:color="000000"/>
              <w:right w:val="nil"/>
            </w:tcBorders>
            <w:vAlign w:val="center"/>
          </w:tcPr>
          <w:p w14:paraId="35590244" w14:textId="77777777" w:rsidR="00000000" w:rsidRDefault="00000000">
            <w:pPr>
              <w:pStyle w:val="afd"/>
              <w:wordWrap/>
              <w:snapToGrid w:val="0"/>
              <w:ind w:firstLineChars="0" w:firstLine="0"/>
              <w:jc w:val="center"/>
              <w:rPr>
                <w:b/>
                <w:bCs/>
                <w:color w:val="auto"/>
                <w:sz w:val="21"/>
                <w:szCs w:val="21"/>
              </w:rPr>
            </w:pPr>
            <w:r>
              <w:rPr>
                <w:rFonts w:hint="eastAsia"/>
                <w:b/>
                <w:bCs/>
                <w:color w:val="auto"/>
                <w:sz w:val="21"/>
                <w:szCs w:val="21"/>
              </w:rPr>
              <w:t>特征</w:t>
            </w:r>
          </w:p>
        </w:tc>
      </w:tr>
      <w:tr w:rsidR="00000000" w14:paraId="618A962B" w14:textId="77777777">
        <w:trPr>
          <w:jc w:val="center"/>
        </w:trPr>
        <w:tc>
          <w:tcPr>
            <w:tcW w:w="1456" w:type="dxa"/>
            <w:tcBorders>
              <w:top w:val="single" w:sz="4" w:space="0" w:color="000000"/>
              <w:left w:val="nil"/>
              <w:bottom w:val="nil"/>
              <w:right w:val="nil"/>
            </w:tcBorders>
            <w:vAlign w:val="center"/>
          </w:tcPr>
          <w:p w14:paraId="73565151" w14:textId="77777777" w:rsidR="00000000" w:rsidRDefault="00000000">
            <w:pPr>
              <w:pStyle w:val="afd"/>
              <w:snapToGrid w:val="0"/>
              <w:ind w:firstLineChars="0" w:firstLine="0"/>
              <w:jc w:val="center"/>
              <w:rPr>
                <w:color w:val="auto"/>
                <w:sz w:val="21"/>
                <w:szCs w:val="21"/>
              </w:rPr>
            </w:pPr>
            <w:r>
              <w:rPr>
                <w:rFonts w:hint="eastAsia"/>
                <w:color w:val="auto"/>
                <w:sz w:val="21"/>
                <w:szCs w:val="21"/>
              </w:rPr>
              <w:t>资产结构</w:t>
            </w:r>
          </w:p>
        </w:tc>
        <w:tc>
          <w:tcPr>
            <w:tcW w:w="7183" w:type="dxa"/>
            <w:tcBorders>
              <w:top w:val="single" w:sz="4" w:space="0" w:color="000000"/>
              <w:left w:val="nil"/>
              <w:bottom w:val="nil"/>
              <w:right w:val="nil"/>
            </w:tcBorders>
            <w:vAlign w:val="center"/>
          </w:tcPr>
          <w:p w14:paraId="517A7295" w14:textId="77777777" w:rsidR="00000000" w:rsidRDefault="00000000">
            <w:pPr>
              <w:pStyle w:val="afd"/>
              <w:snapToGrid w:val="0"/>
              <w:ind w:firstLineChars="0" w:firstLine="0"/>
              <w:jc w:val="center"/>
              <w:rPr>
                <w:color w:val="auto"/>
                <w:sz w:val="21"/>
                <w:szCs w:val="21"/>
              </w:rPr>
            </w:pPr>
            <w:r>
              <w:rPr>
                <w:rFonts w:hint="eastAsia"/>
                <w:color w:val="auto"/>
                <w:sz w:val="21"/>
                <w:szCs w:val="21"/>
              </w:rPr>
              <w:t>流动资产比重相对较高，固定资产比重相对较低；</w:t>
            </w:r>
          </w:p>
        </w:tc>
      </w:tr>
      <w:tr w:rsidR="00000000" w14:paraId="16DC6E95" w14:textId="77777777">
        <w:trPr>
          <w:jc w:val="center"/>
        </w:trPr>
        <w:tc>
          <w:tcPr>
            <w:tcW w:w="1456" w:type="dxa"/>
            <w:tcBorders>
              <w:top w:val="nil"/>
              <w:left w:val="nil"/>
              <w:bottom w:val="nil"/>
              <w:right w:val="nil"/>
            </w:tcBorders>
            <w:vAlign w:val="center"/>
          </w:tcPr>
          <w:p w14:paraId="1CAFD9DF" w14:textId="77777777" w:rsidR="00000000" w:rsidRDefault="00000000">
            <w:pPr>
              <w:pStyle w:val="afd"/>
              <w:snapToGrid w:val="0"/>
              <w:ind w:firstLineChars="0" w:firstLine="0"/>
              <w:jc w:val="center"/>
              <w:rPr>
                <w:color w:val="auto"/>
                <w:sz w:val="21"/>
                <w:szCs w:val="21"/>
              </w:rPr>
            </w:pPr>
            <w:r>
              <w:rPr>
                <w:rFonts w:hint="eastAsia"/>
                <w:color w:val="auto"/>
                <w:sz w:val="21"/>
                <w:szCs w:val="21"/>
              </w:rPr>
              <w:t>负债结构</w:t>
            </w:r>
          </w:p>
        </w:tc>
        <w:tc>
          <w:tcPr>
            <w:tcW w:w="7183" w:type="dxa"/>
            <w:tcBorders>
              <w:top w:val="nil"/>
              <w:left w:val="nil"/>
              <w:bottom w:val="nil"/>
              <w:right w:val="nil"/>
            </w:tcBorders>
            <w:vAlign w:val="center"/>
          </w:tcPr>
          <w:p w14:paraId="21460938" w14:textId="77777777" w:rsidR="00000000" w:rsidRDefault="00000000">
            <w:pPr>
              <w:pStyle w:val="afd"/>
              <w:snapToGrid w:val="0"/>
              <w:ind w:leftChars="200" w:left="486" w:firstLineChars="0" w:firstLine="0"/>
              <w:jc w:val="center"/>
              <w:rPr>
                <w:color w:val="auto"/>
                <w:sz w:val="21"/>
                <w:szCs w:val="21"/>
              </w:rPr>
            </w:pPr>
            <w:r>
              <w:rPr>
                <w:rFonts w:hint="eastAsia"/>
                <w:color w:val="auto"/>
                <w:sz w:val="21"/>
                <w:szCs w:val="21"/>
              </w:rPr>
              <w:t>总负债中流动负债比重较高；流动负债中应付账款比重较高；负债总额中长期借款比例较低</w:t>
            </w:r>
          </w:p>
        </w:tc>
      </w:tr>
      <w:tr w:rsidR="00000000" w14:paraId="57BB5BC2" w14:textId="77777777">
        <w:trPr>
          <w:jc w:val="center"/>
        </w:trPr>
        <w:tc>
          <w:tcPr>
            <w:tcW w:w="1456" w:type="dxa"/>
            <w:tcBorders>
              <w:top w:val="nil"/>
              <w:left w:val="nil"/>
              <w:bottom w:val="nil"/>
              <w:right w:val="nil"/>
            </w:tcBorders>
            <w:vAlign w:val="center"/>
          </w:tcPr>
          <w:p w14:paraId="218AF750" w14:textId="77777777" w:rsidR="00000000" w:rsidRDefault="00000000">
            <w:pPr>
              <w:pStyle w:val="afd"/>
              <w:snapToGrid w:val="0"/>
              <w:ind w:firstLineChars="0" w:firstLine="0"/>
              <w:jc w:val="center"/>
              <w:rPr>
                <w:color w:val="auto"/>
                <w:sz w:val="21"/>
                <w:szCs w:val="21"/>
              </w:rPr>
            </w:pPr>
            <w:r>
              <w:rPr>
                <w:rFonts w:hint="eastAsia"/>
                <w:color w:val="auto"/>
                <w:sz w:val="21"/>
                <w:szCs w:val="21"/>
              </w:rPr>
              <w:t>权益结构</w:t>
            </w:r>
          </w:p>
        </w:tc>
        <w:tc>
          <w:tcPr>
            <w:tcW w:w="7183" w:type="dxa"/>
            <w:tcBorders>
              <w:top w:val="nil"/>
              <w:left w:val="nil"/>
              <w:bottom w:val="nil"/>
              <w:right w:val="nil"/>
            </w:tcBorders>
            <w:vAlign w:val="center"/>
          </w:tcPr>
          <w:p w14:paraId="6B3E7FD7" w14:textId="77777777" w:rsidR="00000000" w:rsidRDefault="00000000">
            <w:pPr>
              <w:pStyle w:val="afd"/>
              <w:snapToGrid w:val="0"/>
              <w:ind w:firstLineChars="0" w:firstLine="0"/>
              <w:jc w:val="center"/>
              <w:rPr>
                <w:color w:val="auto"/>
                <w:sz w:val="21"/>
                <w:szCs w:val="21"/>
              </w:rPr>
            </w:pPr>
            <w:r>
              <w:rPr>
                <w:rFonts w:hint="eastAsia"/>
                <w:color w:val="auto"/>
                <w:sz w:val="21"/>
                <w:szCs w:val="21"/>
              </w:rPr>
              <w:t>现金红利在股本结构中占比偏低；高比例保留收益；低成本权益资本</w:t>
            </w:r>
          </w:p>
        </w:tc>
      </w:tr>
      <w:tr w:rsidR="00000000" w14:paraId="64590740" w14:textId="77777777">
        <w:trPr>
          <w:jc w:val="center"/>
        </w:trPr>
        <w:tc>
          <w:tcPr>
            <w:tcW w:w="1456" w:type="dxa"/>
            <w:tcBorders>
              <w:top w:val="nil"/>
              <w:left w:val="nil"/>
              <w:bottom w:val="single" w:sz="12" w:space="0" w:color="000000"/>
              <w:right w:val="nil"/>
            </w:tcBorders>
            <w:vAlign w:val="center"/>
          </w:tcPr>
          <w:p w14:paraId="49BBF6AB" w14:textId="77777777" w:rsidR="00000000" w:rsidRDefault="00000000">
            <w:pPr>
              <w:pStyle w:val="afd"/>
              <w:snapToGrid w:val="0"/>
              <w:ind w:firstLineChars="0" w:firstLine="0"/>
              <w:jc w:val="center"/>
              <w:rPr>
                <w:color w:val="auto"/>
                <w:sz w:val="21"/>
                <w:szCs w:val="21"/>
              </w:rPr>
            </w:pPr>
            <w:r>
              <w:rPr>
                <w:rFonts w:hint="eastAsia"/>
                <w:color w:val="auto"/>
                <w:sz w:val="21"/>
                <w:szCs w:val="21"/>
              </w:rPr>
              <w:t>收益结构</w:t>
            </w:r>
          </w:p>
        </w:tc>
        <w:tc>
          <w:tcPr>
            <w:tcW w:w="7183" w:type="dxa"/>
            <w:tcBorders>
              <w:top w:val="nil"/>
              <w:left w:val="nil"/>
              <w:bottom w:val="single" w:sz="12" w:space="0" w:color="000000"/>
              <w:right w:val="nil"/>
            </w:tcBorders>
            <w:vAlign w:val="center"/>
          </w:tcPr>
          <w:p w14:paraId="4AF2EC1E" w14:textId="77777777" w:rsidR="00000000" w:rsidRDefault="00000000">
            <w:pPr>
              <w:pStyle w:val="afd"/>
              <w:snapToGrid w:val="0"/>
              <w:ind w:firstLineChars="0" w:firstLine="0"/>
              <w:jc w:val="center"/>
              <w:rPr>
                <w:color w:val="auto"/>
                <w:sz w:val="21"/>
                <w:szCs w:val="21"/>
              </w:rPr>
            </w:pPr>
            <w:r>
              <w:rPr>
                <w:rFonts w:hint="eastAsia"/>
                <w:color w:val="auto"/>
                <w:sz w:val="21"/>
                <w:szCs w:val="21"/>
              </w:rPr>
              <w:t>高盈利、高现金流、高销售费用</w:t>
            </w:r>
          </w:p>
        </w:tc>
      </w:tr>
    </w:tbl>
    <w:p w14:paraId="4677FF9C" w14:textId="77777777" w:rsidR="00000000" w:rsidRDefault="00000000">
      <w:pPr>
        <w:widowControl/>
        <w:wordWrap w:val="0"/>
        <w:spacing w:line="400" w:lineRule="exact"/>
        <w:ind w:firstLineChars="200" w:firstLine="426"/>
        <w:rPr>
          <w:rFonts w:ascii="宋体" w:hAnsi="宋体" w:cs="宋体"/>
          <w:kern w:val="0"/>
          <w:sz w:val="21"/>
          <w:szCs w:val="21"/>
          <w:lang w:bidi="ar"/>
        </w:rPr>
      </w:pPr>
    </w:p>
    <w:p w14:paraId="0495E9F4" w14:textId="77777777" w:rsidR="00000000" w:rsidRDefault="00000000">
      <w:pPr>
        <w:pStyle w:val="afd"/>
        <w:numPr>
          <w:ilvl w:val="0"/>
          <w:numId w:val="19"/>
        </w:numPr>
        <w:ind w:firstLineChars="0"/>
        <w:rPr>
          <w:rFonts w:cs="宋体" w:hint="eastAsia"/>
          <w:color w:val="auto"/>
          <w:lang w:bidi="ar"/>
        </w:rPr>
      </w:pPr>
      <w:r>
        <w:rPr>
          <w:rFonts w:cs="宋体" w:hint="eastAsia"/>
          <w:color w:val="auto"/>
          <w:lang w:bidi="ar"/>
        </w:rPr>
        <w:t>与重资产运营模式的差异化对比</w:t>
      </w:r>
    </w:p>
    <w:p w14:paraId="063CE6CC" w14:textId="77777777" w:rsidR="00000000" w:rsidRDefault="00000000">
      <w:pPr>
        <w:pStyle w:val="afd"/>
        <w:ind w:firstLine="486"/>
        <w:rPr>
          <w:rFonts w:cs="宋体" w:hint="eastAsia"/>
          <w:color w:val="auto"/>
          <w:lang w:bidi="ar"/>
        </w:rPr>
      </w:pPr>
      <w:r>
        <w:rPr>
          <w:rFonts w:cs="宋体" w:hint="eastAsia"/>
          <w:color w:val="auto"/>
          <w:lang w:bidi="ar"/>
        </w:rPr>
        <w:t>重资产运营以大规模投资于厂房、设备等固定资产为特征，依靠规模经济提高盈利能力，具有资金占用大、退出成本高的刚性约束。轻资产运营则将资源从非生产主业剥离出来，专注于对生产起到关键作用的技术、研发和品牌塑造，借助轻资产撬动外部资源，用最少的重资产撬动外部资源，形成“低投入-高回报”的杠杆效应。从财务结构上来看，轻资产企业依赖无息负债（如应付账款）缓解资金压力，重资产企业的负债结构则以有息债务为主，两者在融资能力与风险敞口上形成鲜明对比。表2-2 列举了重资产、轻资产两种运营模式的基本特征。</w:t>
      </w:r>
    </w:p>
    <w:p w14:paraId="696ED994" w14:textId="77777777" w:rsidR="00000000" w:rsidRDefault="00000000">
      <w:pPr>
        <w:widowControl/>
        <w:wordWrap w:val="0"/>
        <w:spacing w:beforeLines="50" w:before="207" w:afterLines="50" w:after="207" w:line="400" w:lineRule="exact"/>
        <w:ind w:firstLine="0"/>
        <w:jc w:val="center"/>
        <w:rPr>
          <w:rFonts w:ascii="宋体" w:hAnsi="宋体" w:cs="宋体"/>
          <w:kern w:val="0"/>
          <w:sz w:val="21"/>
          <w:szCs w:val="21"/>
          <w:lang w:bidi="ar"/>
        </w:rPr>
      </w:pPr>
      <w:r>
        <w:rPr>
          <w:rFonts w:ascii="宋体" w:hAnsi="宋体" w:cs="宋体" w:hint="eastAsia"/>
          <w:kern w:val="0"/>
          <w:sz w:val="21"/>
          <w:szCs w:val="21"/>
          <w:lang w:bidi="ar"/>
        </w:rPr>
        <w:t>表2-2重资产运营模式与轻资产运营模式特征对比</w:t>
      </w:r>
    </w:p>
    <w:tbl>
      <w:tblPr>
        <w:tblW w:w="8639" w:type="dxa"/>
        <w:jc w:val="center"/>
        <w:tblInd w:w="0" w:type="dxa"/>
        <w:tblCellMar>
          <w:top w:w="80" w:type="dxa"/>
          <w:left w:w="128" w:type="dxa"/>
          <w:bottom w:w="80" w:type="dxa"/>
          <w:right w:w="128" w:type="dxa"/>
        </w:tblCellMar>
        <w:tblLook w:val="0000" w:firstRow="0" w:lastRow="0" w:firstColumn="0" w:lastColumn="0" w:noHBand="0" w:noVBand="0"/>
      </w:tblPr>
      <w:tblGrid>
        <w:gridCol w:w="1433"/>
        <w:gridCol w:w="2907"/>
        <w:gridCol w:w="4299"/>
      </w:tblGrid>
      <w:tr w:rsidR="00000000" w14:paraId="2AF3B3AE" w14:textId="77777777">
        <w:trPr>
          <w:tblHeader/>
          <w:jc w:val="center"/>
        </w:trPr>
        <w:tc>
          <w:tcPr>
            <w:tcW w:w="1433" w:type="dxa"/>
            <w:tcBorders>
              <w:top w:val="single" w:sz="12" w:space="0" w:color="000000"/>
              <w:left w:val="nil"/>
              <w:bottom w:val="single" w:sz="4" w:space="0" w:color="000000"/>
              <w:right w:val="nil"/>
            </w:tcBorders>
            <w:vAlign w:val="center"/>
          </w:tcPr>
          <w:p w14:paraId="5C9DE8D1" w14:textId="77777777" w:rsidR="00000000" w:rsidRDefault="00000000">
            <w:pPr>
              <w:widowControl/>
              <w:snapToGrid w:val="0"/>
              <w:spacing w:line="400" w:lineRule="exact"/>
              <w:ind w:firstLine="0"/>
              <w:jc w:val="center"/>
              <w:textAlignment w:val="center"/>
              <w:rPr>
                <w:rFonts w:ascii="宋体" w:hAnsi="宋体" w:cs="宋体"/>
                <w:b/>
                <w:bCs/>
                <w:sz w:val="21"/>
                <w:szCs w:val="21"/>
              </w:rPr>
            </w:pPr>
            <w:r>
              <w:rPr>
                <w:rFonts w:ascii="宋体" w:hAnsi="宋体" w:cs="宋体" w:hint="eastAsia"/>
                <w:b/>
                <w:bCs/>
                <w:kern w:val="0"/>
                <w:sz w:val="21"/>
                <w:szCs w:val="21"/>
                <w:lang w:bidi="ar"/>
              </w:rPr>
              <w:t>模式</w:t>
            </w:r>
          </w:p>
        </w:tc>
        <w:tc>
          <w:tcPr>
            <w:tcW w:w="2907" w:type="dxa"/>
            <w:tcBorders>
              <w:top w:val="single" w:sz="12" w:space="0" w:color="000000"/>
              <w:left w:val="nil"/>
              <w:bottom w:val="single" w:sz="4" w:space="0" w:color="000000"/>
              <w:right w:val="nil"/>
            </w:tcBorders>
            <w:vAlign w:val="center"/>
          </w:tcPr>
          <w:p w14:paraId="30F982E7" w14:textId="77777777" w:rsidR="00000000" w:rsidRDefault="00000000">
            <w:pPr>
              <w:widowControl/>
              <w:snapToGrid w:val="0"/>
              <w:spacing w:line="400" w:lineRule="exact"/>
              <w:ind w:firstLine="0"/>
              <w:jc w:val="center"/>
              <w:textAlignment w:val="center"/>
              <w:rPr>
                <w:rFonts w:ascii="宋体" w:hAnsi="宋体" w:cs="宋体"/>
                <w:b/>
                <w:bCs/>
                <w:sz w:val="21"/>
                <w:szCs w:val="21"/>
              </w:rPr>
            </w:pPr>
            <w:r>
              <w:rPr>
                <w:rFonts w:ascii="宋体" w:hAnsi="宋体" w:cs="宋体" w:hint="eastAsia"/>
                <w:b/>
                <w:bCs/>
                <w:kern w:val="0"/>
                <w:sz w:val="21"/>
                <w:szCs w:val="21"/>
                <w:lang w:bidi="ar"/>
              </w:rPr>
              <w:t>重资产运营模式</w:t>
            </w:r>
          </w:p>
        </w:tc>
        <w:tc>
          <w:tcPr>
            <w:tcW w:w="4299" w:type="dxa"/>
            <w:tcBorders>
              <w:top w:val="single" w:sz="12" w:space="0" w:color="000000"/>
              <w:left w:val="nil"/>
              <w:bottom w:val="single" w:sz="4" w:space="0" w:color="000000"/>
              <w:right w:val="nil"/>
            </w:tcBorders>
            <w:vAlign w:val="center"/>
          </w:tcPr>
          <w:p w14:paraId="6F1F9DC0" w14:textId="77777777" w:rsidR="00000000" w:rsidRDefault="00000000">
            <w:pPr>
              <w:widowControl/>
              <w:snapToGrid w:val="0"/>
              <w:spacing w:line="400" w:lineRule="exact"/>
              <w:ind w:firstLine="0"/>
              <w:jc w:val="center"/>
              <w:textAlignment w:val="center"/>
              <w:rPr>
                <w:rFonts w:ascii="宋体" w:hAnsi="宋体" w:cs="宋体"/>
                <w:b/>
                <w:bCs/>
                <w:sz w:val="21"/>
                <w:szCs w:val="21"/>
              </w:rPr>
            </w:pPr>
            <w:r>
              <w:rPr>
                <w:rFonts w:ascii="宋体" w:hAnsi="宋体" w:cs="宋体" w:hint="eastAsia"/>
                <w:b/>
                <w:bCs/>
                <w:kern w:val="0"/>
                <w:sz w:val="21"/>
                <w:szCs w:val="21"/>
                <w:lang w:bidi="ar"/>
              </w:rPr>
              <w:t>轻资产运营模式</w:t>
            </w:r>
          </w:p>
        </w:tc>
      </w:tr>
      <w:tr w:rsidR="00000000" w14:paraId="18BE85DE" w14:textId="77777777">
        <w:trPr>
          <w:trHeight w:val="90"/>
          <w:jc w:val="center"/>
        </w:trPr>
        <w:tc>
          <w:tcPr>
            <w:tcW w:w="1433" w:type="dxa"/>
            <w:tcBorders>
              <w:top w:val="single" w:sz="4" w:space="0" w:color="000000"/>
              <w:left w:val="nil"/>
              <w:bottom w:val="nil"/>
              <w:right w:val="nil"/>
            </w:tcBorders>
            <w:vAlign w:val="center"/>
          </w:tcPr>
          <w:p w14:paraId="6240E776" w14:textId="77777777" w:rsidR="00000000" w:rsidRDefault="00000000">
            <w:pPr>
              <w:widowControl/>
              <w:snapToGrid w:val="0"/>
              <w:spacing w:line="400" w:lineRule="exact"/>
              <w:ind w:firstLine="0"/>
              <w:jc w:val="center"/>
              <w:textAlignment w:val="center"/>
              <w:rPr>
                <w:rFonts w:ascii="宋体" w:hAnsi="宋体" w:cs="宋体"/>
                <w:sz w:val="21"/>
                <w:szCs w:val="21"/>
              </w:rPr>
            </w:pPr>
            <w:r>
              <w:rPr>
                <w:rFonts w:ascii="宋体" w:hAnsi="宋体" w:cs="宋体" w:hint="eastAsia"/>
                <w:kern w:val="0"/>
                <w:sz w:val="21"/>
                <w:szCs w:val="21"/>
                <w:lang w:bidi="ar"/>
              </w:rPr>
              <w:t>资产结构</w:t>
            </w:r>
          </w:p>
        </w:tc>
        <w:tc>
          <w:tcPr>
            <w:tcW w:w="2907" w:type="dxa"/>
            <w:tcBorders>
              <w:top w:val="single" w:sz="4" w:space="0" w:color="000000"/>
              <w:left w:val="nil"/>
              <w:bottom w:val="nil"/>
              <w:right w:val="nil"/>
            </w:tcBorders>
            <w:vAlign w:val="center"/>
          </w:tcPr>
          <w:p w14:paraId="6EFC7E1E" w14:textId="77777777" w:rsidR="00000000" w:rsidRDefault="00000000">
            <w:pPr>
              <w:widowControl/>
              <w:snapToGrid w:val="0"/>
              <w:spacing w:line="400" w:lineRule="exact"/>
              <w:ind w:firstLine="0"/>
              <w:jc w:val="center"/>
              <w:textAlignment w:val="center"/>
              <w:rPr>
                <w:rFonts w:ascii="宋体" w:hAnsi="宋体" w:cs="宋体"/>
                <w:sz w:val="21"/>
                <w:szCs w:val="21"/>
              </w:rPr>
            </w:pPr>
            <w:r>
              <w:rPr>
                <w:rFonts w:ascii="宋体" w:hAnsi="宋体" w:cs="宋体" w:hint="eastAsia"/>
                <w:kern w:val="0"/>
                <w:sz w:val="21"/>
                <w:szCs w:val="21"/>
                <w:lang w:bidi="ar"/>
              </w:rPr>
              <w:t>高固定资产投入</w:t>
            </w:r>
          </w:p>
        </w:tc>
        <w:tc>
          <w:tcPr>
            <w:tcW w:w="4299" w:type="dxa"/>
            <w:tcBorders>
              <w:top w:val="single" w:sz="4" w:space="0" w:color="000000"/>
              <w:left w:val="nil"/>
              <w:bottom w:val="nil"/>
              <w:right w:val="nil"/>
            </w:tcBorders>
            <w:vAlign w:val="center"/>
          </w:tcPr>
          <w:p w14:paraId="677F4673" w14:textId="77777777" w:rsidR="00000000" w:rsidRDefault="00000000">
            <w:pPr>
              <w:widowControl/>
              <w:snapToGrid w:val="0"/>
              <w:spacing w:line="400" w:lineRule="exact"/>
              <w:ind w:firstLine="0"/>
              <w:jc w:val="center"/>
              <w:textAlignment w:val="center"/>
              <w:rPr>
                <w:rFonts w:ascii="宋体" w:hAnsi="宋体" w:cs="宋体"/>
                <w:sz w:val="21"/>
                <w:szCs w:val="21"/>
              </w:rPr>
            </w:pPr>
            <w:r>
              <w:rPr>
                <w:rFonts w:ascii="Segoe UI" w:eastAsia="Segoe UI" w:hAnsi="Segoe UI" w:cs="Segoe UI"/>
                <w:sz w:val="19"/>
                <w:szCs w:val="19"/>
              </w:rPr>
              <w:t>固定资产投入规模较小，较为充裕的现金储备</w:t>
            </w:r>
          </w:p>
        </w:tc>
      </w:tr>
      <w:tr w:rsidR="00000000" w14:paraId="546B91C2" w14:textId="77777777">
        <w:trPr>
          <w:jc w:val="center"/>
        </w:trPr>
        <w:tc>
          <w:tcPr>
            <w:tcW w:w="1433" w:type="dxa"/>
            <w:tcBorders>
              <w:top w:val="nil"/>
              <w:left w:val="nil"/>
              <w:bottom w:val="nil"/>
              <w:right w:val="nil"/>
            </w:tcBorders>
            <w:vAlign w:val="center"/>
          </w:tcPr>
          <w:p w14:paraId="60225230" w14:textId="77777777" w:rsidR="00000000" w:rsidRDefault="00000000">
            <w:pPr>
              <w:widowControl/>
              <w:snapToGrid w:val="0"/>
              <w:spacing w:line="400" w:lineRule="exact"/>
              <w:ind w:firstLine="0"/>
              <w:jc w:val="center"/>
              <w:textAlignment w:val="center"/>
              <w:rPr>
                <w:rFonts w:ascii="宋体" w:hAnsi="宋体" w:cs="宋体"/>
                <w:sz w:val="21"/>
                <w:szCs w:val="21"/>
              </w:rPr>
            </w:pPr>
            <w:r>
              <w:rPr>
                <w:rFonts w:ascii="宋体" w:hAnsi="宋体" w:cs="宋体" w:hint="eastAsia"/>
                <w:kern w:val="0"/>
                <w:sz w:val="21"/>
                <w:szCs w:val="21"/>
                <w:lang w:bidi="ar"/>
              </w:rPr>
              <w:t>负债特征</w:t>
            </w:r>
          </w:p>
        </w:tc>
        <w:tc>
          <w:tcPr>
            <w:tcW w:w="2907" w:type="dxa"/>
            <w:tcBorders>
              <w:top w:val="nil"/>
              <w:left w:val="nil"/>
              <w:bottom w:val="nil"/>
              <w:right w:val="nil"/>
            </w:tcBorders>
            <w:vAlign w:val="center"/>
          </w:tcPr>
          <w:p w14:paraId="1FB7F2A7" w14:textId="77777777" w:rsidR="00000000" w:rsidRDefault="00000000">
            <w:pPr>
              <w:widowControl/>
              <w:snapToGrid w:val="0"/>
              <w:spacing w:line="400" w:lineRule="exact"/>
              <w:ind w:firstLine="0"/>
              <w:jc w:val="center"/>
              <w:textAlignment w:val="center"/>
              <w:rPr>
                <w:rFonts w:ascii="宋体" w:hAnsi="宋体" w:cs="宋体"/>
                <w:sz w:val="21"/>
                <w:szCs w:val="21"/>
              </w:rPr>
            </w:pPr>
            <w:r>
              <w:rPr>
                <w:rFonts w:ascii="宋体" w:hAnsi="宋体" w:cs="宋体" w:hint="eastAsia"/>
                <w:kern w:val="0"/>
                <w:sz w:val="21"/>
                <w:szCs w:val="21"/>
                <w:lang w:bidi="ar"/>
              </w:rPr>
              <w:t>高有息负债</w:t>
            </w:r>
          </w:p>
        </w:tc>
        <w:tc>
          <w:tcPr>
            <w:tcW w:w="4299" w:type="dxa"/>
            <w:tcBorders>
              <w:top w:val="nil"/>
              <w:left w:val="nil"/>
              <w:bottom w:val="nil"/>
              <w:right w:val="nil"/>
            </w:tcBorders>
            <w:vAlign w:val="center"/>
          </w:tcPr>
          <w:p w14:paraId="6EE4A3C4" w14:textId="77777777" w:rsidR="00000000" w:rsidRDefault="00000000">
            <w:pPr>
              <w:widowControl/>
              <w:snapToGrid w:val="0"/>
              <w:spacing w:line="400" w:lineRule="exact"/>
              <w:ind w:firstLine="0"/>
              <w:jc w:val="center"/>
              <w:textAlignment w:val="center"/>
              <w:rPr>
                <w:rFonts w:ascii="宋体" w:hAnsi="宋体" w:cs="宋体"/>
                <w:sz w:val="21"/>
                <w:szCs w:val="21"/>
              </w:rPr>
            </w:pPr>
            <w:r>
              <w:rPr>
                <w:rFonts w:ascii="宋体" w:hAnsi="宋体" w:cs="宋体" w:hint="eastAsia"/>
                <w:kern w:val="0"/>
                <w:sz w:val="21"/>
                <w:szCs w:val="21"/>
                <w:lang w:bidi="ar"/>
              </w:rPr>
              <w:t>高无息负债</w:t>
            </w:r>
          </w:p>
        </w:tc>
      </w:tr>
      <w:tr w:rsidR="00000000" w14:paraId="7F0618ED" w14:textId="77777777">
        <w:trPr>
          <w:jc w:val="center"/>
        </w:trPr>
        <w:tc>
          <w:tcPr>
            <w:tcW w:w="1433" w:type="dxa"/>
            <w:tcBorders>
              <w:top w:val="nil"/>
              <w:left w:val="nil"/>
              <w:bottom w:val="single" w:sz="12" w:space="0" w:color="000000"/>
              <w:right w:val="nil"/>
            </w:tcBorders>
            <w:vAlign w:val="center"/>
          </w:tcPr>
          <w:p w14:paraId="3DC3AD8C" w14:textId="77777777" w:rsidR="00000000" w:rsidRDefault="00000000">
            <w:pPr>
              <w:widowControl/>
              <w:snapToGrid w:val="0"/>
              <w:spacing w:line="400" w:lineRule="exact"/>
              <w:ind w:firstLine="0"/>
              <w:jc w:val="center"/>
              <w:textAlignment w:val="center"/>
              <w:rPr>
                <w:rFonts w:ascii="宋体" w:hAnsi="宋体" w:cs="宋体"/>
                <w:sz w:val="21"/>
                <w:szCs w:val="21"/>
              </w:rPr>
            </w:pPr>
            <w:r>
              <w:rPr>
                <w:rFonts w:ascii="宋体" w:hAnsi="宋体" w:cs="宋体" w:hint="eastAsia"/>
                <w:kern w:val="0"/>
                <w:sz w:val="21"/>
                <w:szCs w:val="21"/>
                <w:lang w:bidi="ar"/>
              </w:rPr>
              <w:t>获利方式</w:t>
            </w:r>
          </w:p>
        </w:tc>
        <w:tc>
          <w:tcPr>
            <w:tcW w:w="2907" w:type="dxa"/>
            <w:tcBorders>
              <w:top w:val="nil"/>
              <w:left w:val="nil"/>
              <w:bottom w:val="single" w:sz="12" w:space="0" w:color="000000"/>
              <w:right w:val="nil"/>
            </w:tcBorders>
            <w:vAlign w:val="center"/>
          </w:tcPr>
          <w:p w14:paraId="16E5A72F" w14:textId="77777777" w:rsidR="00000000" w:rsidRDefault="00000000">
            <w:pPr>
              <w:widowControl/>
              <w:snapToGrid w:val="0"/>
              <w:spacing w:line="400" w:lineRule="exact"/>
              <w:ind w:firstLine="0"/>
              <w:jc w:val="center"/>
              <w:textAlignment w:val="center"/>
              <w:rPr>
                <w:rFonts w:ascii="宋体" w:hAnsi="宋体" w:cs="宋体"/>
                <w:sz w:val="21"/>
                <w:szCs w:val="21"/>
              </w:rPr>
            </w:pPr>
            <w:r>
              <w:rPr>
                <w:rFonts w:ascii="宋体" w:hAnsi="宋体" w:cs="宋体" w:hint="eastAsia"/>
                <w:kern w:val="0"/>
                <w:sz w:val="21"/>
                <w:szCs w:val="21"/>
                <w:lang w:bidi="ar"/>
              </w:rPr>
              <w:t>生产规模化</w:t>
            </w:r>
          </w:p>
        </w:tc>
        <w:tc>
          <w:tcPr>
            <w:tcW w:w="4299" w:type="dxa"/>
            <w:tcBorders>
              <w:top w:val="nil"/>
              <w:left w:val="nil"/>
              <w:bottom w:val="single" w:sz="12" w:space="0" w:color="000000"/>
              <w:right w:val="nil"/>
            </w:tcBorders>
            <w:vAlign w:val="center"/>
          </w:tcPr>
          <w:p w14:paraId="034B68F4" w14:textId="77777777" w:rsidR="00000000" w:rsidRDefault="00000000">
            <w:pPr>
              <w:widowControl/>
              <w:snapToGrid w:val="0"/>
              <w:spacing w:line="400" w:lineRule="exact"/>
              <w:ind w:firstLine="0"/>
              <w:jc w:val="center"/>
              <w:textAlignment w:val="center"/>
              <w:rPr>
                <w:rFonts w:ascii="宋体" w:hAnsi="宋体" w:cs="宋体"/>
                <w:sz w:val="21"/>
                <w:szCs w:val="21"/>
              </w:rPr>
            </w:pPr>
            <w:r>
              <w:rPr>
                <w:rFonts w:ascii="宋体" w:hAnsi="宋体" w:cs="宋体" w:hint="eastAsia"/>
                <w:kern w:val="0"/>
                <w:sz w:val="21"/>
                <w:szCs w:val="21"/>
                <w:lang w:bidi="ar"/>
              </w:rPr>
              <w:t>注重价值创造</w:t>
            </w:r>
          </w:p>
        </w:tc>
      </w:tr>
    </w:tbl>
    <w:p w14:paraId="27F73676" w14:textId="77777777" w:rsidR="00000000" w:rsidRDefault="00000000">
      <w:pPr>
        <w:pStyle w:val="afd"/>
        <w:ind w:firstLineChars="0" w:firstLine="0"/>
        <w:rPr>
          <w:rFonts w:cs="宋体" w:hint="eastAsia"/>
          <w:color w:val="auto"/>
          <w:lang w:bidi="ar"/>
        </w:rPr>
      </w:pPr>
    </w:p>
    <w:p w14:paraId="51F108BC" w14:textId="77777777" w:rsidR="00000000" w:rsidRDefault="00000000">
      <w:pPr>
        <w:pStyle w:val="afd"/>
        <w:numPr>
          <w:ilvl w:val="0"/>
          <w:numId w:val="19"/>
        </w:numPr>
        <w:ind w:firstLineChars="0"/>
        <w:rPr>
          <w:rFonts w:cs="宋体" w:hint="eastAsia"/>
          <w:color w:val="auto"/>
          <w:lang w:bidi="ar"/>
        </w:rPr>
      </w:pPr>
      <w:r>
        <w:rPr>
          <w:rFonts w:cs="宋体" w:hint="eastAsia"/>
          <w:color w:val="auto"/>
          <w:lang w:bidi="ar"/>
        </w:rPr>
        <w:t>实践特征与潜在风险                                              轻资产模式的客户群体结构特征是低固定资产占比与高流动资产周转率，其</w:t>
      </w:r>
      <w:r>
        <w:rPr>
          <w:rFonts w:cs="宋体" w:hint="eastAsia"/>
          <w:color w:val="auto"/>
          <w:lang w:bidi="ar"/>
        </w:rPr>
        <w:lastRenderedPageBreak/>
        <w:t>通过整合供应链、品牌塑造扩张客户群体。但其上下游过度合作、无息债务等特征容易受到上下游供应链中断或应收账款难以收回的冲击，导致资金链脆弱性增加。此外，轻资产企业因缺乏抵押资产，融资渠道受限，可能制约长期战略投入。尽管如此，该模式通过灵活的市场响应与创新驱动，仍成为企业适应动态竞争环境的重要战略选择。</w:t>
      </w:r>
    </w:p>
    <w:p w14:paraId="26E8F328" w14:textId="77777777" w:rsidR="00000000" w:rsidRDefault="00000000">
      <w:pPr>
        <w:pStyle w:val="afd"/>
        <w:numPr>
          <w:ilvl w:val="0"/>
          <w:numId w:val="19"/>
        </w:numPr>
        <w:ind w:firstLineChars="0"/>
        <w:rPr>
          <w:rFonts w:cs="宋体"/>
          <w:color w:val="auto"/>
          <w:lang w:bidi="ar"/>
        </w:rPr>
      </w:pPr>
      <w:r>
        <w:rPr>
          <w:rFonts w:cs="宋体" w:hint="eastAsia"/>
          <w:color w:val="000000"/>
          <w:lang w:bidi="ar"/>
        </w:rPr>
        <w:t xml:space="preserve">战略价值与实施路径 </w:t>
      </w:r>
    </w:p>
    <w:p w14:paraId="51C51DB9" w14:textId="77777777" w:rsidR="00000000" w:rsidRDefault="00000000">
      <w:pPr>
        <w:pStyle w:val="afd"/>
        <w:ind w:firstLine="486"/>
        <w:rPr>
          <w:rFonts w:cs="宋体" w:hint="eastAsia"/>
          <w:color w:val="auto"/>
          <w:lang w:bidi="ar"/>
        </w:rPr>
      </w:pPr>
      <w:r>
        <w:rPr>
          <w:rFonts w:cs="宋体" w:hint="eastAsia"/>
          <w:color w:val="auto"/>
          <w:lang w:bidi="ar"/>
        </w:rPr>
        <w:t>轻资产运营模式的战略地位和优势在于将企业的资源回归到知识创造，依托技术进步和品牌增值延展竞争的优势。以服装行业为例，企业可通过数字化管理、柔性供应链与精准营销等轻资产要素，实现轻量化扩张。其成功实施需平衡短期效率与长期风险，强化核心资源掌控能力，同时通过生态化合作规避外部依赖性风险。</w:t>
      </w:r>
    </w:p>
    <w:p w14:paraId="12121408" w14:textId="77777777" w:rsidR="00000000" w:rsidRDefault="00000000">
      <w:pPr>
        <w:pStyle w:val="afd"/>
        <w:ind w:firstLine="486"/>
        <w:rPr>
          <w:rFonts w:cs="宋体"/>
          <w:color w:val="auto"/>
          <w:lang w:bidi="ar"/>
        </w:rPr>
      </w:pPr>
      <w:r>
        <w:rPr>
          <w:rFonts w:cs="宋体" w:hint="eastAsia"/>
          <w:color w:val="000000"/>
          <w:lang w:bidi="ar"/>
        </w:rPr>
        <w:t>总之，轻资产运营模式是以无形资源为核心、</w:t>
      </w:r>
      <w:r>
        <w:rPr>
          <w:rFonts w:cs="宋体" w:hint="eastAsia"/>
          <w:color w:val="auto"/>
          <w:lang w:bidi="ar"/>
        </w:rPr>
        <w:t>以价值创造为导向</w:t>
      </w:r>
      <w:r>
        <w:rPr>
          <w:rFonts w:cs="宋体" w:hint="eastAsia"/>
          <w:color w:val="000000"/>
          <w:lang w:bidi="ar"/>
        </w:rPr>
        <w:t>的战略形态，它以资源再配置和杠杆</w:t>
      </w:r>
      <w:r>
        <w:rPr>
          <w:rFonts w:cs="宋体" w:hint="eastAsia"/>
          <w:color w:val="auto"/>
          <w:lang w:bidi="ar"/>
        </w:rPr>
        <w:t>效应驱动企业高效成长</w:t>
      </w:r>
      <w:r>
        <w:rPr>
          <w:rFonts w:cs="宋体" w:hint="eastAsia"/>
          <w:color w:val="000000"/>
          <w:lang w:bidi="ar"/>
        </w:rPr>
        <w:t>，但也需要辅以系统性地财务风险和运营管理风险考量和控制，在降低资金成本的前提下维持竞争优势的可永续性。</w:t>
      </w:r>
    </w:p>
    <w:p w14:paraId="5A9737DE" w14:textId="77777777" w:rsidR="00000000" w:rsidRDefault="00000000">
      <w:pPr>
        <w:pStyle w:val="afc"/>
        <w:numPr>
          <w:ilvl w:val="0"/>
          <w:numId w:val="18"/>
        </w:numPr>
        <w:tabs>
          <w:tab w:val="left" w:pos="0"/>
        </w:tabs>
        <w:spacing w:before="207"/>
        <w:rPr>
          <w:rFonts w:hint="eastAsia"/>
        </w:rPr>
      </w:pPr>
      <w:bookmarkStart w:id="37" w:name="_Toc21957"/>
      <w:r>
        <w:rPr>
          <w:rFonts w:hint="eastAsia"/>
        </w:rPr>
        <w:t>财务风险</w:t>
      </w:r>
      <w:bookmarkEnd w:id="37"/>
    </w:p>
    <w:p w14:paraId="76472BFE" w14:textId="77777777" w:rsidR="00000000" w:rsidRDefault="00000000">
      <w:pPr>
        <w:pStyle w:val="afd"/>
        <w:ind w:firstLine="486"/>
        <w:rPr>
          <w:rFonts w:cs="宋体" w:hint="eastAsia"/>
          <w:color w:val="000000"/>
          <w:lang w:bidi="ar"/>
        </w:rPr>
      </w:pPr>
      <w:r>
        <w:rPr>
          <w:rFonts w:cs="宋体" w:hint="eastAsia"/>
          <w:color w:val="000000"/>
          <w:lang w:bidi="ar"/>
        </w:rPr>
        <w:t>财务风险概念源自风险理论范畴。风险通常指未来事项发展的不确定性，以及由此引发损失的可能性，这类不确定性可能使企业面临显著的财务损失。财务风险具有客观性与不确定性双重特征，会直接作用于企业筹资、投资、经营运作及利润分配等核心财务活动。其形成受多重因素综合影响，发生过程与结果均存在较强不确定性。企业虽可依据风险成因制定针对性防控策略，以降低财务风险发生概率，但无法从根本上完全消除财务风险。</w:t>
      </w:r>
    </w:p>
    <w:p w14:paraId="236FA224" w14:textId="77777777" w:rsidR="00000000" w:rsidRDefault="00000000">
      <w:pPr>
        <w:pStyle w:val="afd"/>
        <w:ind w:firstLine="486"/>
        <w:rPr>
          <w:rFonts w:cs="宋体" w:hint="eastAsia"/>
          <w:color w:val="auto"/>
          <w:lang w:bidi="ar"/>
        </w:rPr>
      </w:pPr>
      <w:r>
        <w:rPr>
          <w:rFonts w:cs="宋体" w:hint="eastAsia"/>
          <w:color w:val="auto"/>
          <w:lang w:bidi="ar"/>
        </w:rPr>
        <w:t>财务风险通常被划分为狭义和广义两个维度。狭义层面上，它特指筹资风险，即企业因借入资金而面临的未来收益不确定，进而导致无法按期偿债的可能性。从广义层面上看，它涵盖了财务活动中所有不可预见的因素，这些因素会加剧财务体系的不稳定性，从而引发经济损失。尽管学术界对财务风险的分类众说纷纭，但主流观点通常依据企业财务活动的四大核心环节，将其细分为以下四类：筹资风险，即企业为谋求发展借入资金，但在债务到期时面临无力偿还的困境。投资风险，即由于投资回报具有不确定性，导致企业面临本金损失或收益不及预期的风险。营运风险：即受日常经营中各种不确定因素干扰，导致企业资金周转受阻或效率低下的风险。收益分配风险，即因利润分配方案设计不当，对企业的后续经营或资金链造成负面影响的风险。</w:t>
      </w:r>
    </w:p>
    <w:p w14:paraId="0CAC0417" w14:textId="77777777" w:rsidR="00000000" w:rsidRDefault="00000000">
      <w:pPr>
        <w:pStyle w:val="afd"/>
        <w:ind w:firstLine="486"/>
        <w:rPr>
          <w:rFonts w:cs="宋体" w:hint="eastAsia"/>
          <w:color w:val="auto"/>
          <w:lang w:bidi="ar"/>
        </w:rPr>
      </w:pPr>
      <w:r>
        <w:rPr>
          <w:rFonts w:cs="宋体" w:hint="eastAsia"/>
          <w:color w:val="auto"/>
          <w:lang w:bidi="ar"/>
        </w:rPr>
        <w:lastRenderedPageBreak/>
        <w:t>本文基于广义财务风险的视角，以M公司的轻资产运营模式为研究对象，深入剖析其在筹资、投资、营运及收益分配四大关键环节中的风险表现。文章旨在通过系统的识别与评价，精准定位潜在隐患，并据此提出切实可行的财务风险防范建议，以期为相关企业提供参考。</w:t>
      </w:r>
    </w:p>
    <w:p w14:paraId="3E25A4FF" w14:textId="77777777" w:rsidR="00000000" w:rsidRDefault="00000000">
      <w:pPr>
        <w:pStyle w:val="afc"/>
        <w:numPr>
          <w:ilvl w:val="0"/>
          <w:numId w:val="18"/>
        </w:numPr>
        <w:tabs>
          <w:tab w:val="left" w:pos="0"/>
        </w:tabs>
        <w:spacing w:before="207"/>
      </w:pPr>
      <w:bookmarkStart w:id="38" w:name="_Toc13044"/>
      <w:r>
        <w:rPr>
          <w:rFonts w:hint="eastAsia"/>
        </w:rPr>
        <w:t>财务风险管理</w:t>
      </w:r>
      <w:bookmarkEnd w:id="38"/>
    </w:p>
    <w:p w14:paraId="45379EC8" w14:textId="77777777" w:rsidR="00000000" w:rsidRDefault="00000000">
      <w:pPr>
        <w:pStyle w:val="afd"/>
        <w:ind w:firstLine="486"/>
        <w:rPr>
          <w:rFonts w:cs="宋体" w:hint="eastAsia"/>
          <w:color w:val="auto"/>
          <w:lang w:bidi="ar"/>
        </w:rPr>
      </w:pPr>
      <w:r>
        <w:rPr>
          <w:rFonts w:cs="宋体" w:hint="eastAsia"/>
          <w:color w:val="auto"/>
          <w:lang w:bidi="ar"/>
        </w:rPr>
        <w:t>财务风险管理是指企业在财务活动全过程中，针对潜在风险实施系统识别、科学测度与客观评价，结合自身财务状况与经营特点，制定并实施具有针对性的有效控制措施，最终实现保障企业生产经营稳定性、规避或减少经济利益损失的管理目标。财务风险管理遵循“识别-评价-控制”的逻辑理路，三个环节依次递进，缺一不可，共同形成对企业现有及潜在财务风险的精准化、科学化管控体系。</w:t>
      </w:r>
    </w:p>
    <w:p w14:paraId="01D337D3" w14:textId="77777777" w:rsidR="00000000" w:rsidRDefault="00000000">
      <w:pPr>
        <w:pStyle w:val="afd"/>
        <w:numPr>
          <w:ilvl w:val="0"/>
          <w:numId w:val="20"/>
        </w:numPr>
        <w:ind w:firstLineChars="0"/>
        <w:rPr>
          <w:rFonts w:cs="宋体" w:hint="eastAsia"/>
          <w:color w:val="auto"/>
          <w:lang w:bidi="ar"/>
        </w:rPr>
      </w:pPr>
      <w:r>
        <w:rPr>
          <w:rFonts w:cs="宋体" w:hint="eastAsia"/>
          <w:color w:val="auto"/>
          <w:lang w:bidi="ar"/>
        </w:rPr>
        <w:t>财务风险识别</w:t>
      </w:r>
    </w:p>
    <w:p w14:paraId="1F1152FA" w14:textId="77777777" w:rsidR="00000000" w:rsidRDefault="00000000">
      <w:pPr>
        <w:pStyle w:val="afd"/>
        <w:ind w:firstLine="486"/>
        <w:rPr>
          <w:rFonts w:cs="宋体" w:hint="eastAsia"/>
          <w:color w:val="auto"/>
          <w:lang w:bidi="ar"/>
        </w:rPr>
      </w:pPr>
      <w:r>
        <w:rPr>
          <w:rFonts w:cs="宋体" w:hint="eastAsia"/>
          <w:color w:val="auto"/>
          <w:lang w:bidi="ar"/>
        </w:rPr>
        <w:t>财务风险识别是指通过对企业财务数据趋势的动态分析，结合经营战略规划与执行情况，全面排查财务活动中存在的风险隐患。财务风险识别涵盖筹资、投资、营运及收益分配四个维度。其中，筹资风险主要源于企业在资金筹集活动中，因融资渠道受限、融资成本过高或债务结构不合理等问题，导致筹资难度增加、偿债能力下降，进而引发现金流紧张的风险类型；投资风险主要指企业将资金投入具体项目建设与运营后，受内部管理水平、外部市场环境、政策调整等多因素影响，未能实现预期收益稳定增长目标，甚至出现投资损失的风险；营运风险主要指企业在日常经营活动中，由于资金周转效率不稳定、成本费用管控能力不足、供应链协同不畅等原因，致使整体运营效能不彰，潜藏财务风险；收益分配风险主要指企业制定的股息收益分配制度、分配形式及分配额度不合理，可能降低股东投资积极性，从而阻碍企业可持续发展与再融资能力的财务风险。</w:t>
      </w:r>
    </w:p>
    <w:p w14:paraId="76A8F292" w14:textId="77777777" w:rsidR="00000000" w:rsidRDefault="00000000">
      <w:pPr>
        <w:pStyle w:val="afd"/>
        <w:numPr>
          <w:ilvl w:val="0"/>
          <w:numId w:val="20"/>
        </w:numPr>
        <w:ind w:firstLineChars="0"/>
        <w:rPr>
          <w:rFonts w:cs="宋体" w:hint="eastAsia"/>
          <w:color w:val="auto"/>
          <w:lang w:bidi="ar"/>
        </w:rPr>
      </w:pPr>
      <w:r>
        <w:rPr>
          <w:rFonts w:cs="宋体" w:hint="eastAsia"/>
          <w:color w:val="auto"/>
          <w:lang w:bidi="ar"/>
        </w:rPr>
        <w:t>财务风险评价</w:t>
      </w:r>
    </w:p>
    <w:p w14:paraId="4A6ED342" w14:textId="77777777" w:rsidR="00000000" w:rsidRDefault="00000000">
      <w:pPr>
        <w:pStyle w:val="afd"/>
        <w:ind w:firstLine="486"/>
        <w:rPr>
          <w:rFonts w:cs="宋体" w:hint="eastAsia"/>
          <w:color w:val="auto"/>
          <w:lang w:bidi="ar"/>
        </w:rPr>
      </w:pPr>
      <w:r>
        <w:rPr>
          <w:rFonts w:cs="宋体" w:hint="eastAsia"/>
          <w:color w:val="auto"/>
          <w:lang w:bidi="ar"/>
        </w:rPr>
        <w:t>财务风险评价工作建立在前期风险识别与指标筛选的基础之上，财务风险评价是基于标准化模型，对风险可能性与损失程度进行量化评估的系统过程。传统评价方法涵盖Z值法、层次分析法及功效系数法等；而随着多指标综合评价需求的增长，以熵值法为代表的客观赋权模型（如熵权-TOPSIS）逐渐成为研究主流。</w:t>
      </w:r>
    </w:p>
    <w:p w14:paraId="18AB6D83" w14:textId="77777777" w:rsidR="00000000" w:rsidRDefault="00000000">
      <w:pPr>
        <w:pStyle w:val="afd"/>
        <w:numPr>
          <w:ilvl w:val="0"/>
          <w:numId w:val="20"/>
        </w:numPr>
        <w:ind w:firstLineChars="0"/>
        <w:rPr>
          <w:rFonts w:cs="宋体" w:hint="eastAsia"/>
          <w:color w:val="auto"/>
          <w:lang w:bidi="ar"/>
        </w:rPr>
      </w:pPr>
      <w:r>
        <w:rPr>
          <w:rFonts w:cs="宋体" w:hint="eastAsia"/>
          <w:color w:val="auto"/>
          <w:lang w:bidi="ar"/>
        </w:rPr>
        <w:t>财务风险控制</w:t>
      </w:r>
    </w:p>
    <w:p w14:paraId="0394E89A" w14:textId="77777777" w:rsidR="00000000" w:rsidRDefault="00000000">
      <w:pPr>
        <w:pStyle w:val="afd"/>
        <w:ind w:firstLine="486"/>
        <w:rPr>
          <w:rFonts w:cs="宋体"/>
          <w:color w:val="auto"/>
          <w:lang w:bidi="ar"/>
        </w:rPr>
      </w:pPr>
      <w:bookmarkStart w:id="39" w:name="_Toc685"/>
      <w:r>
        <w:rPr>
          <w:rFonts w:cs="宋体" w:hint="eastAsia"/>
          <w:color w:val="auto"/>
          <w:lang w:bidi="ar"/>
        </w:rPr>
        <w:t>财务风险控制是财务风险管理的最后一环，决定着财务管理风险目标能否实现。其核心逻辑就是在识别评价风险完成之后，根据已经确定的风险影响因素和</w:t>
      </w:r>
      <w:r>
        <w:rPr>
          <w:rFonts w:cs="宋体" w:hint="eastAsia"/>
          <w:color w:val="auto"/>
          <w:lang w:bidi="ar"/>
        </w:rPr>
        <w:lastRenderedPageBreak/>
        <w:t>风险等级，从企业自身财务状况、经营规模、发展阶段实际出发，确定较为合理的、可行的控制措施，并对财务管理流程和内部经营管理流程进行有针对性的调整，对资金投入进行优化配置、对内部经营管理进行内部控制、建立健全风险控制监测预警机制，把财务风险控制在企业可承受的范围内，从而保证企业的稳定、持续的发展。轻资产运营模式因企业资本结构轻量化（低固定资产占比、高无形资产依赖）与战略导向差异，其财务风险呈现显著特异性。</w:t>
      </w:r>
    </w:p>
    <w:p w14:paraId="02ABFD4B" w14:textId="77777777" w:rsidR="00000000" w:rsidRDefault="00000000">
      <w:pPr>
        <w:pStyle w:val="afd"/>
        <w:ind w:firstLine="486"/>
        <w:rPr>
          <w:rFonts w:cs="宋体" w:hint="eastAsia"/>
          <w:color w:val="auto"/>
          <w:lang w:bidi="ar"/>
        </w:rPr>
      </w:pPr>
      <w:r>
        <w:rPr>
          <w:rFonts w:cs="宋体" w:hint="eastAsia"/>
          <w:color w:val="auto"/>
          <w:lang w:bidi="ar"/>
        </w:rPr>
        <w:t>本文基于广义财务风险，聚焦于轻资产运营模式，通过深入剖析其特有的风险诱因，具体从筹资、投资、营运及收益分配四大维度展开机制解析，旨在揭示其与传统重资产模式的差异化风险特征，以期为企业优化风险管理策略提供理论依据。</w:t>
      </w:r>
    </w:p>
    <w:p w14:paraId="1B20D335" w14:textId="77777777" w:rsidR="00000000" w:rsidRDefault="00000000">
      <w:pPr>
        <w:pStyle w:val="afb"/>
        <w:numPr>
          <w:ilvl w:val="0"/>
          <w:numId w:val="0"/>
        </w:numPr>
        <w:tabs>
          <w:tab w:val="left" w:pos="0"/>
          <w:tab w:val="left" w:pos="3260"/>
        </w:tabs>
        <w:spacing w:before="207" w:after="207"/>
        <w:ind w:firstLineChars="200" w:firstLine="568"/>
        <w:rPr>
          <w:rFonts w:hint="default"/>
        </w:rPr>
      </w:pPr>
      <w:bookmarkStart w:id="40" w:name="_Toc7540"/>
      <w:r>
        <w:rPr>
          <w:rFonts w:cs="宋体"/>
          <w:lang w:bidi="ar"/>
        </w:rPr>
        <w:t>第二节</w:t>
      </w:r>
      <w:r>
        <w:rPr>
          <w:rFonts w:cs="宋体"/>
          <w:lang w:bidi="ar"/>
        </w:rPr>
        <w:t xml:space="preserve"> </w:t>
      </w:r>
      <w:r>
        <w:t>理论基础</w:t>
      </w:r>
      <w:bookmarkEnd w:id="39"/>
      <w:bookmarkEnd w:id="40"/>
    </w:p>
    <w:p w14:paraId="55534B22" w14:textId="77777777" w:rsidR="00000000" w:rsidRDefault="00000000">
      <w:pPr>
        <w:pStyle w:val="afc"/>
        <w:numPr>
          <w:ilvl w:val="0"/>
          <w:numId w:val="21"/>
        </w:numPr>
        <w:tabs>
          <w:tab w:val="left" w:pos="0"/>
        </w:tabs>
        <w:spacing w:before="207"/>
        <w:rPr>
          <w:rFonts w:ascii="Times New Roman" w:hAnsi="Times New Roman" w:cs="Times New Roman"/>
          <w:b w:val="0"/>
          <w:bCs w:val="0"/>
          <w:kern w:val="2"/>
        </w:rPr>
      </w:pPr>
      <w:bookmarkStart w:id="41" w:name="_Toc7827"/>
      <w:bookmarkStart w:id="42" w:name="_Toc12731"/>
      <w:r>
        <w:t>劳动分工理论</w:t>
      </w:r>
      <w:bookmarkEnd w:id="41"/>
      <w:bookmarkEnd w:id="42"/>
    </w:p>
    <w:p w14:paraId="77762EA4" w14:textId="77777777" w:rsidR="00000000" w:rsidRDefault="00000000">
      <w:pPr>
        <w:pStyle w:val="afd"/>
        <w:ind w:firstLine="486"/>
        <w:rPr>
          <w:rFonts w:cs="宋体" w:hint="eastAsia"/>
          <w:color w:val="auto"/>
          <w:lang w:bidi="ar"/>
        </w:rPr>
      </w:pPr>
      <w:r>
        <w:rPr>
          <w:rFonts w:cs="宋体" w:hint="eastAsia"/>
          <w:color w:val="auto"/>
          <w:lang w:bidi="ar"/>
        </w:rPr>
        <w:t>劳动分工的思想最早由古典经济学创始人亚当·斯密在1776年出版的经典著作《国富论》中提出。该理论深入阐释了专业化分工对劳动生产率内在的促进作用，其核心观点是将一个完整的生产过程分解为若干个互不影响的多个劳动环节，根据劳动者身体禀赋、技术水平、经验阅历的不同，为劳动者分配最适合的工作任务，如此可以提高劳动者作业熟练程度，降低环节转换成本，从而驱动劳动效率的显著提升。</w:t>
      </w:r>
    </w:p>
    <w:p w14:paraId="0BE83AE0" w14:textId="77777777" w:rsidR="00000000" w:rsidRDefault="00000000">
      <w:pPr>
        <w:pStyle w:val="afd"/>
        <w:ind w:firstLine="486"/>
        <w:rPr>
          <w:rFonts w:cs="宋体" w:hint="eastAsia"/>
          <w:color w:val="auto"/>
          <w:lang w:bidi="ar"/>
        </w:rPr>
      </w:pPr>
      <w:r>
        <w:rPr>
          <w:rFonts w:cs="宋体" w:hint="eastAsia"/>
          <w:color w:val="auto"/>
          <w:lang w:bidi="ar"/>
        </w:rPr>
        <w:t>劳动分工理论是现代经济理论体系构成的重要组成部分，不仅构建了管理科学的组织设计、流程设计等相关管理研究的理论根基，更为现代轻资产运营模式的兴起和演化形成了坚实的逻辑基础。轻资产运营模式以价值链理论为基础，将劳动分工的理念从微观产品生产过程拓展到企业的经营发展战略上，其核心战略导向在于通过整合产业链上下游资源、明晰各主体分工定位，实现固定资产投入的最低化和资本周转效率的最高化。​</w:t>
      </w:r>
    </w:p>
    <w:p w14:paraId="67274910" w14:textId="77777777" w:rsidR="00000000" w:rsidRDefault="00000000">
      <w:pPr>
        <w:pStyle w:val="afd"/>
        <w:ind w:firstLine="486"/>
        <w:rPr>
          <w:rFonts w:cs="宋体" w:hint="eastAsia"/>
          <w:color w:val="auto"/>
          <w:lang w:bidi="ar"/>
        </w:rPr>
      </w:pPr>
      <w:r>
        <w:rPr>
          <w:rFonts w:cs="宋体" w:hint="eastAsia"/>
          <w:color w:val="auto"/>
          <w:lang w:bidi="ar"/>
        </w:rPr>
        <w:t>具体而言，采取轻资产运营模式的企业通过聚焦价值链上高附加值环节（如技术开发、品牌建设、数字化与柔性供应链管理等），舍弃或弱化低附加值的生产制造、仓储物流等环节，可以减少固定资产折旧、场地租赁等刚性生产费用，依靠集聚优势，企业能够打造自有高壁垒品牌与技术优势，从而在全球化市场创造可持续的价值捕获能力，最终实现企业的持续发展目标。</w:t>
      </w:r>
    </w:p>
    <w:p w14:paraId="692AD2A9" w14:textId="77777777" w:rsidR="00000000" w:rsidRDefault="00000000">
      <w:pPr>
        <w:pStyle w:val="afc"/>
        <w:numPr>
          <w:ilvl w:val="0"/>
          <w:numId w:val="21"/>
        </w:numPr>
        <w:tabs>
          <w:tab w:val="left" w:pos="0"/>
        </w:tabs>
        <w:spacing w:before="207"/>
        <w:rPr>
          <w:rFonts w:hint="eastAsia"/>
          <w:color w:val="000000"/>
        </w:rPr>
      </w:pPr>
      <w:bookmarkStart w:id="43" w:name="_Toc11201"/>
      <w:bookmarkStart w:id="44" w:name="_Toc15469"/>
      <w:r>
        <w:rPr>
          <w:color w:val="000000"/>
        </w:rPr>
        <w:t>微笑曲线理论</w:t>
      </w:r>
      <w:bookmarkEnd w:id="43"/>
      <w:bookmarkEnd w:id="44"/>
      <w:r>
        <w:rPr>
          <w:rFonts w:hint="eastAsia"/>
          <w:color w:val="000000"/>
        </w:rPr>
        <w:t xml:space="preserve"> </w:t>
      </w:r>
    </w:p>
    <w:p w14:paraId="2AE09428" w14:textId="77777777" w:rsidR="00000000" w:rsidRDefault="00000000">
      <w:pPr>
        <w:pStyle w:val="afd"/>
        <w:ind w:firstLine="486"/>
        <w:rPr>
          <w:rFonts w:cs="宋体" w:hint="eastAsia"/>
          <w:color w:val="auto"/>
          <w:lang w:bidi="ar"/>
        </w:rPr>
      </w:pPr>
      <w:r>
        <w:rPr>
          <w:rFonts w:cs="宋体" w:hint="eastAsia"/>
          <w:color w:val="auto"/>
          <w:lang w:bidi="ar"/>
        </w:rPr>
        <w:lastRenderedPageBreak/>
        <w:t>1992年，施振荣基于价值链视角提出微笑曲线理论，其核心观点是：企业应依据价值链中各环节价值的差异，优先将战略资源配置于高附加值环节，以此来强化资本经营的效率和竞争力。微笑曲线理论通过研究企业完整的经营过程，把整个价值链划分为两个区间：一是由研究、创新、品牌、营销、渠道管理工作为代表的高价值区段；二是由大规模的标准化生产制造构成的低价值区段。从价值链视角看，“微笑曲线”的两端是高附加值区，附加值因投入的知识资本越多、品牌市场的掌控性越强而日益增长；“微笑曲线”的底端为低附加值区，受制于生产要素边际报酬的递减、市场竞争同质化等因素，其附加值的局限感比较明显。​</w:t>
      </w:r>
    </w:p>
    <w:p w14:paraId="04A0988E" w14:textId="77777777" w:rsidR="00000000" w:rsidRDefault="00000000">
      <w:pPr>
        <w:pStyle w:val="afd"/>
        <w:ind w:firstLine="486"/>
        <w:rPr>
          <w:rFonts w:cs="宋体" w:hint="eastAsia"/>
          <w:color w:val="auto"/>
          <w:lang w:bidi="ar"/>
        </w:rPr>
      </w:pPr>
      <w:r>
        <w:rPr>
          <w:rFonts w:cs="宋体" w:hint="eastAsia"/>
          <w:color w:val="auto"/>
          <w:lang w:bidi="ar"/>
        </w:rPr>
        <w:t>微笑曲线理论不仅为企业战略资源配置提供了启迪，更指引轻资产企业通过“两端突破、中间外包”，实现价值链的重置与布局。以服装行业为例，采取轻资产化运作的公司可以聚焦“微笑曲线”两端高级别、高附加值区域，构筑核心竞争力，前端利用数字平台提升产品创新效率，借助IP孵化与运营强化品牌文化价值，后端打通DTC渠道能缩短供应链层级，实现市场信息的实时反馈与快速响应。同时，把技术门槛低、劳动密集型的成衣生产环节外包给在技术水平、规模数量上成本较低的供应链合作伙伴，剥离重资产部分。​</w:t>
      </w:r>
    </w:p>
    <w:p w14:paraId="200920C8" w14:textId="77777777" w:rsidR="00000000" w:rsidRDefault="00000000">
      <w:pPr>
        <w:pStyle w:val="afd"/>
        <w:ind w:firstLine="486"/>
        <w:rPr>
          <w:rFonts w:cs="宋体" w:hint="eastAsia"/>
          <w:color w:val="auto"/>
          <w:lang w:bidi="ar"/>
        </w:rPr>
      </w:pPr>
      <w:r>
        <w:rPr>
          <w:rFonts w:cs="宋体" w:hint="eastAsia"/>
          <w:color w:val="auto"/>
          <w:lang w:bidi="ar"/>
        </w:rPr>
        <w:t>这种基于微笑曲线理论的资源配置模式，不仅能够降低企业的固定资产占比、提升资产周转效率，还可以借助品牌溢价，在产业链利润分配中占据最大份额，并构建起企业持续的竞争能力和价值获取能力。轻资产运营模式下服装企业价值链附加值分布形态如图2-1所示：</w:t>
      </w:r>
    </w:p>
    <w:p w14:paraId="193B5E0B" w14:textId="77777777" w:rsidR="00000000" w:rsidRDefault="00000000">
      <w:r>
        <w:pict w14:anchorId="028CF41D">
          <v:group id="画布 487" o:spid="_x0000_s2102" editas="canvas" style="width:392.2pt;height:245.25pt;mso-position-horizontal-relative:char;mso-position-vertical-relative:line" coordsize="49809,31146">
            <o:diagram v:ext="edit" dgmstyle="0" dgmscalex="0" dgmscaley="0"/>
            <v:shape id="_x0000_s2103" type="#_x0000_t75" style="position:absolute;width:49809;height:31146;mso-wrap-style:square;mso-position-horizontal-relative:char;mso-position-vertical-relative:line">
              <v:path o:extrusionok="t"/>
              <o:lock v:ext="edit" rotation="t" aspectratio="f"/>
              <o:diagram v:ext="edit" dgmstyle="0" dgmscalex="0" dgmscaley="0"/>
            </v:shape>
            <v:line id="直线 489" o:spid="_x0000_s2104" style="position:absolute;flip:y;mso-wrap-style:square" from="8909,787" to="8997,26587">
              <v:stroke endarrow="open" joinstyle="miter"/>
            </v:line>
            <v:line id="直线 490" o:spid="_x0000_s2105" style="position:absolute;mso-wrap-style:square" from="8997,26587" to="42164,26593">
              <v:stroke endarrow="open" joinstyle="miter"/>
            </v:line>
            <v:shape id="任意多边形 491" o:spid="_x0000_s2106" style="position:absolute;left:13068;top:4438;width:22511;height:18561;mso-wrap-style:square" coordsize="3545,2923" path="m,c313,641,1036,2913,1745,2918,2454,2923,3220,664,3545,27e" filled="f">
              <v:stroke joinstyle="miter"/>
              <v:path arrowok="t"/>
            </v:shape>
            <v:shapetype id="_x0000_t202" coordsize="21600,21600" o:spt="202" path="m,l,21600r21600,l21600,xe">
              <v:stroke joinstyle="miter"/>
              <v:path gradientshapeok="t" o:connecttype="rect"/>
            </v:shapetype>
            <v:shape id="文本框 492" o:spid="_x0000_s2107" type="#_x0000_t202" style="position:absolute;left:6134;top:12147;width:2286;height:2667;mso-wrap-style:square" stroked="f">
              <v:fill opacity="0"/>
              <v:textbox>
                <w:txbxContent>
                  <w:p w14:paraId="3353FB67" w14:textId="77777777" w:rsidR="00000000" w:rsidRDefault="00000000">
                    <w:r>
                      <w:rPr>
                        <w:rFonts w:hint="eastAsia"/>
                        <w:color w:val="000000"/>
                      </w:rPr>
                      <w:t>中</w:t>
                    </w:r>
                  </w:p>
                </w:txbxContent>
              </v:textbox>
            </v:shape>
            <v:shape id="文本框 493" o:spid="_x0000_s2108" type="#_x0000_t202" style="position:absolute;left:6908;top:27298;width:11240;height:3239;mso-wrap-style:square" stroked="f">
              <v:fill opacity="0"/>
              <v:textbox>
                <w:txbxContent>
                  <w:p w14:paraId="35535D1D" w14:textId="77777777" w:rsidR="00000000" w:rsidRDefault="00000000">
                    <w:r>
                      <w:rPr>
                        <w:rFonts w:hint="eastAsia"/>
                        <w:color w:val="000000"/>
                        <w:sz w:val="21"/>
                        <w:szCs w:val="21"/>
                      </w:rPr>
                      <w:t>上游</w:t>
                    </w:r>
                  </w:p>
                </w:txbxContent>
              </v:textbox>
            </v:shape>
            <v:shape id="文本框 494" o:spid="_x0000_s2109" type="#_x0000_t202" style="position:absolute;left:20612;top:27190;width:10852;height:3620;mso-wrap-style:square" stroked="f">
              <v:fill opacity="0"/>
              <v:textbox>
                <w:txbxContent>
                  <w:p w14:paraId="47822A79" w14:textId="77777777" w:rsidR="00000000" w:rsidRDefault="00000000">
                    <w:pPr>
                      <w:rPr>
                        <w:sz w:val="21"/>
                        <w:szCs w:val="21"/>
                      </w:rPr>
                    </w:pPr>
                    <w:r>
                      <w:rPr>
                        <w:rFonts w:hint="eastAsia"/>
                        <w:color w:val="000000"/>
                        <w:sz w:val="21"/>
                        <w:szCs w:val="21"/>
                      </w:rPr>
                      <w:t>中游</w:t>
                    </w:r>
                  </w:p>
                </w:txbxContent>
              </v:textbox>
            </v:shape>
            <v:shape id="文本框 495" o:spid="_x0000_s2110" type="#_x0000_t202" style="position:absolute;left:33921;top:27285;width:12192;height:3810;mso-wrap-style:square" stroked="f">
              <v:fill opacity="0"/>
              <v:textbox>
                <w:txbxContent>
                  <w:p w14:paraId="24BDD772" w14:textId="77777777" w:rsidR="00000000" w:rsidRDefault="00000000">
                    <w:r>
                      <w:rPr>
                        <w:rFonts w:hint="eastAsia"/>
                        <w:color w:val="000000"/>
                        <w:sz w:val="21"/>
                        <w:szCs w:val="21"/>
                      </w:rPr>
                      <w:t>下游</w:t>
                    </w:r>
                  </w:p>
                </w:txbxContent>
              </v:textbox>
            </v:shape>
            <v:shape id="文本框 496" o:spid="_x0000_s2111" type="#_x0000_t202" style="position:absolute;left:9429;width:2502;height:10947;mso-wrap-style:square" stroked="f">
              <v:fill opacity="0"/>
              <v:textbox>
                <w:txbxContent>
                  <w:p w14:paraId="4BFD820A" w14:textId="77777777" w:rsidR="00000000" w:rsidRDefault="00000000">
                    <w:pPr>
                      <w:spacing w:line="300" w:lineRule="exact"/>
                      <w:rPr>
                        <w:sz w:val="21"/>
                        <w:szCs w:val="21"/>
                      </w:rPr>
                    </w:pPr>
                    <w:r>
                      <w:rPr>
                        <w:rFonts w:hint="eastAsia"/>
                        <w:color w:val="000000"/>
                      </w:rPr>
                      <w:t>附</w:t>
                    </w:r>
                    <w:r>
                      <w:rPr>
                        <w:rFonts w:hint="eastAsia"/>
                        <w:color w:val="000000"/>
                        <w:sz w:val="21"/>
                        <w:szCs w:val="21"/>
                      </w:rPr>
                      <w:t>附加值</w:t>
                    </w:r>
                  </w:p>
                </w:txbxContent>
              </v:textbox>
            </v:shape>
            <v:shape id="文本框 497" o:spid="_x0000_s2112" type="#_x0000_t202" style="position:absolute;left:9455;top:3397;width:11969;height:3422;mso-wrap-style:square" stroked="f">
              <v:fill opacity="0"/>
              <v:textbox>
                <w:txbxContent>
                  <w:p w14:paraId="645C1A6D" w14:textId="77777777" w:rsidR="00000000" w:rsidRDefault="00000000">
                    <w:pPr>
                      <w:rPr>
                        <w:sz w:val="21"/>
                        <w:szCs w:val="21"/>
                      </w:rPr>
                    </w:pPr>
                    <w:r>
                      <w:rPr>
                        <w:rFonts w:hint="eastAsia"/>
                        <w:color w:val="000000"/>
                        <w:sz w:val="21"/>
                        <w:szCs w:val="21"/>
                      </w:rPr>
                      <w:t>研发设计</w:t>
                    </w:r>
                  </w:p>
                </w:txbxContent>
              </v:textbox>
            </v:shape>
            <v:shape id="文本框 498" o:spid="_x0000_s2113" type="#_x0000_t202" style="position:absolute;left:11944;top:7524;width:12363;height:3334;mso-wrap-style:square" stroked="f">
              <v:fill opacity="0"/>
              <v:textbox>
                <w:txbxContent>
                  <w:p w14:paraId="7C95A773" w14:textId="77777777" w:rsidR="00000000" w:rsidRDefault="00000000">
                    <w:r>
                      <w:rPr>
                        <w:rFonts w:hint="eastAsia"/>
                        <w:color w:val="000000"/>
                        <w:sz w:val="21"/>
                        <w:szCs w:val="21"/>
                      </w:rPr>
                      <w:t>原料生产</w:t>
                    </w:r>
                  </w:p>
                </w:txbxContent>
              </v:textbox>
            </v:shape>
            <v:shape id="文本框 499" o:spid="_x0000_s2114" type="#_x0000_t202" style="position:absolute;left:13227;top:12490;width:12223;height:3181;mso-wrap-style:square" stroked="f">
              <v:fill opacity="0"/>
              <v:textbox>
                <w:txbxContent>
                  <w:p w14:paraId="57706BBA" w14:textId="77777777" w:rsidR="00000000" w:rsidRDefault="00000000">
                    <w:pPr>
                      <w:rPr>
                        <w:sz w:val="21"/>
                        <w:szCs w:val="21"/>
                      </w:rPr>
                    </w:pPr>
                    <w:r>
                      <w:rPr>
                        <w:rFonts w:hint="eastAsia"/>
                        <w:color w:val="000000"/>
                        <w:sz w:val="21"/>
                        <w:szCs w:val="21"/>
                      </w:rPr>
                      <w:t>布料加工</w:t>
                    </w:r>
                  </w:p>
                </w:txbxContent>
              </v:textbox>
            </v:shape>
            <v:shape id="文本框 500" o:spid="_x0000_s2115" type="#_x0000_t202" style="position:absolute;left:17151;top:17672;width:12446;height:3009;mso-wrap-style:square" stroked="f">
              <v:fill opacity="0"/>
              <v:textbox>
                <w:txbxContent>
                  <w:p w14:paraId="0197CF30" w14:textId="77777777" w:rsidR="00000000" w:rsidRDefault="00000000">
                    <w:pPr>
                      <w:rPr>
                        <w:sz w:val="21"/>
                        <w:szCs w:val="21"/>
                      </w:rPr>
                    </w:pPr>
                    <w:r>
                      <w:rPr>
                        <w:rFonts w:hint="eastAsia"/>
                        <w:color w:val="000000"/>
                        <w:sz w:val="21"/>
                        <w:szCs w:val="21"/>
                      </w:rPr>
                      <w:t>成衣制造</w:t>
                    </w:r>
                  </w:p>
                </w:txbxContent>
              </v:textbox>
            </v:shape>
            <v:shape id="文本框 501" o:spid="_x0000_s2116" type="#_x0000_t202" style="position:absolute;left:20256;top:12496;width:13367;height:3067;mso-wrap-style:square" stroked="f">
              <v:fill opacity="0"/>
              <v:textbox>
                <w:txbxContent>
                  <w:p w14:paraId="2B5D1123" w14:textId="77777777" w:rsidR="00000000" w:rsidRDefault="00000000">
                    <w:pPr>
                      <w:rPr>
                        <w:sz w:val="21"/>
                        <w:szCs w:val="21"/>
                      </w:rPr>
                    </w:pPr>
                    <w:r>
                      <w:rPr>
                        <w:rFonts w:hint="eastAsia"/>
                        <w:color w:val="000000"/>
                        <w:sz w:val="21"/>
                        <w:szCs w:val="21"/>
                      </w:rPr>
                      <w:t>物流运输</w:t>
                    </w:r>
                  </w:p>
                </w:txbxContent>
              </v:textbox>
            </v:shape>
            <v:shape id="文本框 502" o:spid="_x0000_s2117" type="#_x0000_t202" style="position:absolute;left:23539;top:3314;width:12776;height:3131;mso-wrap-style:square" stroked="f">
              <v:fill opacity="0"/>
              <v:textbox>
                <w:txbxContent>
                  <w:p w14:paraId="1020B30E" w14:textId="77777777" w:rsidR="00000000" w:rsidRDefault="00000000">
                    <w:pPr>
                      <w:rPr>
                        <w:sz w:val="21"/>
                        <w:szCs w:val="21"/>
                      </w:rPr>
                    </w:pPr>
                    <w:r>
                      <w:rPr>
                        <w:rFonts w:hint="eastAsia"/>
                        <w:color w:val="000000"/>
                        <w:sz w:val="21"/>
                        <w:szCs w:val="21"/>
                      </w:rPr>
                      <w:t>品牌运作</w:t>
                    </w:r>
                  </w:p>
                </w:txbxContent>
              </v:textbox>
            </v:shape>
            <v:shape id="文本框 503" o:spid="_x0000_s2118" type="#_x0000_t202" style="position:absolute;left:35731;top:22948;width:11290;height:3055;mso-wrap-style:square" stroked="f">
              <v:fill opacity="0"/>
              <v:textbox>
                <w:txbxContent>
                  <w:p w14:paraId="7E4D3995" w14:textId="77777777" w:rsidR="00000000" w:rsidRDefault="00000000">
                    <w:pPr>
                      <w:rPr>
                        <w:sz w:val="21"/>
                        <w:szCs w:val="21"/>
                      </w:rPr>
                    </w:pPr>
                    <w:r>
                      <w:rPr>
                        <w:rFonts w:hint="eastAsia"/>
                        <w:color w:val="000000"/>
                        <w:sz w:val="21"/>
                        <w:szCs w:val="21"/>
                      </w:rPr>
                      <w:t>价值链</w:t>
                    </w:r>
                  </w:p>
                </w:txbxContent>
              </v:textbox>
            </v:shape>
            <v:shape id="文本框 504" o:spid="_x0000_s2119" type="#_x0000_t202" style="position:absolute;left:5981;top:21056;width:2286;height:3289;mso-wrap-style:square" stroked="f">
              <v:fill opacity="0"/>
              <v:textbox>
                <w:txbxContent>
                  <w:p w14:paraId="6965DBE6" w14:textId="77777777" w:rsidR="00000000" w:rsidRDefault="00000000">
                    <w:r>
                      <w:rPr>
                        <w:rFonts w:hint="eastAsia"/>
                        <w:color w:val="000000"/>
                      </w:rPr>
                      <w:t>中</w:t>
                    </w:r>
                  </w:p>
                </w:txbxContent>
              </v:textbox>
            </v:shape>
            <v:shape id="文本框 505" o:spid="_x0000_s2120" type="#_x0000_t202" style="position:absolute;left:5416;top:27863;width:2286;height:3175;mso-wrap-style:square" stroked="f">
              <v:fill opacity="0"/>
              <v:textbox>
                <w:txbxContent>
                  <w:p w14:paraId="5FFF0F0B" w14:textId="77777777" w:rsidR="00000000" w:rsidRDefault="00000000"/>
                </w:txbxContent>
              </v:textbox>
            </v:shape>
            <v:shape id="文本框 506" o:spid="_x0000_s2121" type="#_x0000_t202" style="position:absolute;left:5378;width:2857;height:6178;mso-wrap-style:square" filled="f" stroked="f">
              <v:textbox>
                <w:txbxContent>
                  <w:p w14:paraId="76FC7241" w14:textId="77777777" w:rsidR="00000000" w:rsidRDefault="00000000">
                    <w:pPr>
                      <w:rPr>
                        <w:sz w:val="21"/>
                        <w:szCs w:val="21"/>
                      </w:rPr>
                    </w:pPr>
                    <w:r>
                      <w:rPr>
                        <w:rFonts w:hint="eastAsia"/>
                        <w:color w:val="000000"/>
                      </w:rPr>
                      <w:t>高</w:t>
                    </w:r>
                    <w:r>
                      <w:rPr>
                        <w:rFonts w:hint="eastAsia"/>
                        <w:color w:val="000000"/>
                        <w:sz w:val="21"/>
                        <w:szCs w:val="21"/>
                      </w:rPr>
                      <w:t>高</w:t>
                    </w:r>
                  </w:p>
                </w:txbxContent>
              </v:textbox>
            </v:shape>
            <v:shape id="文本框 507" o:spid="_x0000_s2122" type="#_x0000_t202" style="position:absolute;left:5600;top:10699;width:2413;height:5842;mso-wrap-style:square" filled="f" stroked="f">
              <v:textbox>
                <w:txbxContent>
                  <w:p w14:paraId="2994F470" w14:textId="77777777" w:rsidR="00000000" w:rsidRDefault="00000000">
                    <w:r>
                      <w:rPr>
                        <w:rFonts w:hint="eastAsia"/>
                        <w:color w:val="000000"/>
                      </w:rPr>
                      <w:t>高</w:t>
                    </w:r>
                  </w:p>
                </w:txbxContent>
              </v:textbox>
            </v:shape>
            <v:shape id="文本框 508" o:spid="_x0000_s2123" type="#_x0000_t202" style="position:absolute;left:5041;top:20720;width:2979;height:5543;mso-wrap-style:square" filled="f" stroked="f">
              <v:textbox>
                <w:txbxContent>
                  <w:p w14:paraId="025F395E" w14:textId="77777777" w:rsidR="00000000" w:rsidRDefault="00000000">
                    <w:r>
                      <w:rPr>
                        <w:rFonts w:hint="eastAsia"/>
                        <w:color w:val="000000"/>
                      </w:rPr>
                      <w:t>低</w:t>
                    </w:r>
                    <w:r>
                      <w:rPr>
                        <w:rFonts w:hint="eastAsia"/>
                        <w:color w:val="000000"/>
                        <w:sz w:val="21"/>
                        <w:szCs w:val="21"/>
                      </w:rPr>
                      <w:t>低</w:t>
                    </w:r>
                  </w:p>
                </w:txbxContent>
              </v:textbox>
            </v:shape>
            <v:shape id="文本框 509" o:spid="_x0000_s2124" type="#_x0000_t202" style="position:absolute;left:4749;top:10706;width:2413;height:5842;mso-wrap-style:square" filled="f" stroked="f">
              <v:textbox>
                <w:txbxContent>
                  <w:p w14:paraId="2120D430" w14:textId="77777777" w:rsidR="00000000" w:rsidRDefault="00000000">
                    <w:r>
                      <w:rPr>
                        <w:rFonts w:hint="eastAsia"/>
                        <w:color w:val="000000"/>
                      </w:rPr>
                      <w:t>高</w:t>
                    </w:r>
                  </w:p>
                </w:txbxContent>
              </v:textbox>
            </v:shape>
            <v:shape id="文本框 510" o:spid="_x0000_s2125" type="#_x0000_t202" style="position:absolute;left:1714;top:13544;width:5626;height:3270;mso-wrap-style:square" filled="f" stroked="f">
              <v:textbox>
                <w:txbxContent>
                  <w:p w14:paraId="507AEB74" w14:textId="77777777" w:rsidR="00000000" w:rsidRDefault="00000000">
                    <w:pPr>
                      <w:ind w:firstLineChars="200" w:firstLine="486"/>
                    </w:pPr>
                    <w:r>
                      <w:rPr>
                        <w:rFonts w:hint="eastAsia"/>
                        <w:color w:val="000000"/>
                      </w:rPr>
                      <w:t>中</w:t>
                    </w:r>
                  </w:p>
                </w:txbxContent>
              </v:textbox>
            </v:shape>
            <v:shape id="文本框 511" o:spid="_x0000_s2126" type="#_x0000_t202" style="position:absolute;left:22542;top:7359;width:11811;height:3423;mso-wrap-style:square" filled="f" stroked="f">
              <v:textbox>
                <w:txbxContent>
                  <w:p w14:paraId="3A94B6F4" w14:textId="77777777" w:rsidR="00000000" w:rsidRDefault="00000000">
                    <w:pPr>
                      <w:rPr>
                        <w:sz w:val="21"/>
                        <w:szCs w:val="21"/>
                      </w:rPr>
                    </w:pPr>
                    <w:r>
                      <w:rPr>
                        <w:rFonts w:hint="eastAsia"/>
                        <w:color w:val="000000"/>
                        <w:sz w:val="21"/>
                        <w:szCs w:val="21"/>
                      </w:rPr>
                      <w:t>市场营销</w:t>
                    </w:r>
                  </w:p>
                </w:txbxContent>
              </v:textbox>
            </v:shape>
            <w10:anchorlock/>
          </v:group>
        </w:pict>
      </w:r>
    </w:p>
    <w:p w14:paraId="1593871E" w14:textId="77777777" w:rsidR="00000000" w:rsidRDefault="00000000">
      <w:pPr>
        <w:widowControl/>
        <w:wordWrap w:val="0"/>
        <w:spacing w:line="400" w:lineRule="exact"/>
        <w:ind w:firstLine="0"/>
        <w:jc w:val="center"/>
        <w:rPr>
          <w:rFonts w:ascii="宋体" w:hAnsi="宋体" w:cs="宋体" w:hint="eastAsia"/>
          <w:kern w:val="0"/>
          <w:sz w:val="21"/>
          <w:szCs w:val="21"/>
          <w:lang w:bidi="ar"/>
        </w:rPr>
      </w:pPr>
      <w:r>
        <w:rPr>
          <w:rFonts w:ascii="宋体" w:hAnsi="宋体" w:cs="宋体" w:hint="eastAsia"/>
          <w:kern w:val="0"/>
          <w:sz w:val="21"/>
          <w:szCs w:val="21"/>
          <w:lang w:bidi="ar"/>
        </w:rPr>
        <w:t>图2-1轻资产运营模式下服装企业微笑曲线示意图</w:t>
      </w:r>
    </w:p>
    <w:p w14:paraId="57B34970" w14:textId="77777777" w:rsidR="00000000" w:rsidRDefault="00000000">
      <w:pPr>
        <w:widowControl/>
        <w:wordWrap w:val="0"/>
        <w:spacing w:line="400" w:lineRule="exact"/>
        <w:ind w:firstLine="0"/>
        <w:jc w:val="center"/>
        <w:rPr>
          <w:rFonts w:ascii="宋体" w:hAnsi="宋体" w:cs="宋体" w:hint="eastAsia"/>
          <w:kern w:val="0"/>
          <w:sz w:val="21"/>
          <w:szCs w:val="21"/>
          <w:lang w:bidi="ar"/>
        </w:rPr>
      </w:pPr>
    </w:p>
    <w:p w14:paraId="141528BA" w14:textId="77777777" w:rsidR="00000000" w:rsidRDefault="00000000">
      <w:pPr>
        <w:pStyle w:val="afc"/>
        <w:numPr>
          <w:ilvl w:val="0"/>
          <w:numId w:val="21"/>
        </w:numPr>
        <w:tabs>
          <w:tab w:val="left" w:pos="0"/>
        </w:tabs>
        <w:spacing w:before="207"/>
      </w:pPr>
      <w:bookmarkStart w:id="45" w:name="_Toc17038"/>
      <w:bookmarkStart w:id="46" w:name="_Toc1200"/>
      <w:r>
        <w:rPr>
          <w:rFonts w:hint="eastAsia"/>
        </w:rPr>
        <w:t>全面</w:t>
      </w:r>
      <w:r>
        <w:t>风险管理理论</w:t>
      </w:r>
      <w:bookmarkEnd w:id="45"/>
      <w:bookmarkEnd w:id="46"/>
    </w:p>
    <w:p w14:paraId="0AC835A6" w14:textId="77777777" w:rsidR="00000000" w:rsidRDefault="00000000">
      <w:pPr>
        <w:pStyle w:val="afd"/>
        <w:ind w:firstLine="486"/>
        <w:rPr>
          <w:rFonts w:cs="宋体" w:hint="eastAsia"/>
          <w:color w:val="auto"/>
          <w:lang w:bidi="ar"/>
        </w:rPr>
      </w:pPr>
      <w:bookmarkStart w:id="47" w:name="_Toc9000"/>
      <w:r>
        <w:rPr>
          <w:rFonts w:cs="宋体" w:hint="eastAsia"/>
          <w:color w:val="auto"/>
          <w:lang w:bidi="ar"/>
        </w:rPr>
        <w:t>风险管理理论由Stulz（1984）首次进行系统性阐述。其核心要义是通过结构化、流程化的风险控制或管理，减少企业业务经营中的各种不测因素的干扰，实现“资源优化运用”和“实现企业价值最大化”之间的动态均衡。风险管理理论包括风险识别、风险评价、风险控制三个环节，且三个环节是相互递进不断融合的系统过程。</w:t>
      </w:r>
    </w:p>
    <w:p w14:paraId="3DBEDF1F" w14:textId="77777777" w:rsidR="00000000" w:rsidRDefault="00000000">
      <w:pPr>
        <w:pStyle w:val="afd"/>
        <w:ind w:firstLine="486"/>
        <w:rPr>
          <w:rFonts w:cs="宋体" w:hint="eastAsia"/>
          <w:color w:val="auto"/>
          <w:lang w:bidi="ar"/>
        </w:rPr>
      </w:pPr>
      <w:r>
        <w:rPr>
          <w:rFonts w:cs="宋体" w:hint="eastAsia"/>
          <w:color w:val="auto"/>
          <w:lang w:bidi="ar"/>
        </w:rPr>
        <w:t>全面风险管理理论也被称为风险管理理论的衍生和深化。全面风险管理理论最大的贡献在于要求企业风险管理理念、机制贯穿于企业运营的全生命周期、企业的组织系统与规则的设计之中，强调风险管理的执行与反馈要在企业的运营、财务、合规、战略四大风险元素运行上具有全面的投影与覆盖。同时，引入PDCA（计划-执行-检查-处置）循环机制对风险管理体系自身进行调整、演化和改进，保证企业风险管理有效契合于企业的战略等。​</w:t>
      </w:r>
    </w:p>
    <w:p w14:paraId="5E827C7B" w14:textId="77777777" w:rsidR="00000000" w:rsidRDefault="00000000">
      <w:pPr>
        <w:pStyle w:val="afd"/>
        <w:ind w:firstLine="486"/>
        <w:rPr>
          <w:rFonts w:cs="宋体" w:hint="eastAsia"/>
          <w:color w:val="auto"/>
          <w:lang w:bidi="ar"/>
        </w:rPr>
        <w:sectPr w:rsidR="00000000">
          <w:headerReference w:type="even" r:id="rId28"/>
          <w:headerReference w:type="default" r:id="rId29"/>
          <w:footerReference w:type="even" r:id="rId30"/>
          <w:footerReference w:type="default" r:id="rId31"/>
          <w:footnotePr>
            <w:numRestart w:val="eachPage"/>
          </w:footnotePr>
          <w:pgSz w:w="11909" w:h="16834"/>
          <w:pgMar w:top="1701" w:right="1701" w:bottom="1418" w:left="1701" w:header="1304" w:footer="1021" w:gutter="0"/>
          <w:cols w:space="720"/>
          <w:docGrid w:type="linesAndChars" w:linePitch="415" w:charSpace="614"/>
        </w:sectPr>
      </w:pPr>
      <w:r>
        <w:rPr>
          <w:rFonts w:cs="宋体" w:hint="eastAsia"/>
          <w:color w:val="auto"/>
          <w:lang w:bidi="ar"/>
        </w:rPr>
        <w:t>企业风险管理理论从一种企业风险管理工具发展成为贯穿企业行为全过程的一种战略风险管理理论，这种理论拓展与转变使二者之间的吻合度和契合度得以增强。轻资产运营模式的企业外部依赖度高、风险传导链长，企业全面风险管理理论恰好为企业外部的资源提供了系统化的风险识别、评价、控制解决方案，不仅能够防范价值链协同活动的风险，而且能把握平衡好价值链风险管理带来的风险与收益实现价值优化，为企业最终实现“风险控制下的价值最大化”提供理论基础和实际借鉴。</w:t>
      </w:r>
    </w:p>
    <w:p w14:paraId="4EEE5AD1" w14:textId="77777777" w:rsidR="00000000" w:rsidRDefault="00000000">
      <w:pPr>
        <w:pStyle w:val="afd"/>
        <w:ind w:firstLine="486"/>
        <w:rPr>
          <w:rFonts w:cs="宋体" w:hint="eastAsia"/>
          <w:color w:val="auto"/>
          <w:lang w:bidi="ar"/>
        </w:rPr>
        <w:sectPr w:rsidR="00000000">
          <w:footnotePr>
            <w:numRestart w:val="eachPage"/>
          </w:footnotePr>
          <w:pgSz w:w="11909" w:h="16834"/>
          <w:pgMar w:top="1701" w:right="1701" w:bottom="1418" w:left="1701" w:header="1304" w:footer="1021" w:gutter="0"/>
          <w:cols w:space="720"/>
          <w:docGrid w:type="linesAndChars" w:linePitch="415" w:charSpace="614"/>
        </w:sectPr>
      </w:pPr>
    </w:p>
    <w:p w14:paraId="291EDF7D" w14:textId="77777777" w:rsidR="00000000" w:rsidRDefault="00000000">
      <w:pPr>
        <w:pStyle w:val="afa"/>
        <w:numPr>
          <w:ilvl w:val="0"/>
          <w:numId w:val="0"/>
        </w:numPr>
        <w:spacing w:before="415" w:after="207"/>
        <w:ind w:left="402"/>
        <w:rPr>
          <w:rFonts w:hint="default"/>
        </w:rPr>
      </w:pPr>
      <w:bookmarkStart w:id="48" w:name="_Toc13119"/>
      <w:r>
        <w:lastRenderedPageBreak/>
        <w:t>第三章</w:t>
      </w:r>
      <w:r>
        <w:t xml:space="preserve"> M</w:t>
      </w:r>
      <w:r>
        <w:t>公司概况及轻资产运营模式现状分析</w:t>
      </w:r>
      <w:bookmarkEnd w:id="47"/>
      <w:bookmarkEnd w:id="48"/>
    </w:p>
    <w:p w14:paraId="207096E7" w14:textId="77777777" w:rsidR="00000000" w:rsidRDefault="00000000">
      <w:pPr>
        <w:pStyle w:val="afb"/>
        <w:numPr>
          <w:ilvl w:val="0"/>
          <w:numId w:val="22"/>
        </w:numPr>
        <w:tabs>
          <w:tab w:val="left" w:pos="0"/>
        </w:tabs>
        <w:spacing w:before="207" w:after="207"/>
        <w:rPr>
          <w:rFonts w:hint="default"/>
        </w:rPr>
      </w:pPr>
      <w:bookmarkStart w:id="49" w:name="_Toc3049"/>
      <w:bookmarkStart w:id="50" w:name="_Toc14034"/>
      <w:r>
        <w:t>行业概况</w:t>
      </w:r>
      <w:bookmarkEnd w:id="49"/>
      <w:bookmarkEnd w:id="50"/>
    </w:p>
    <w:p w14:paraId="1A59E341" w14:textId="77777777" w:rsidR="00000000" w:rsidRDefault="00000000">
      <w:pPr>
        <w:pStyle w:val="afc"/>
        <w:numPr>
          <w:ilvl w:val="0"/>
          <w:numId w:val="23"/>
        </w:numPr>
        <w:tabs>
          <w:tab w:val="left" w:pos="0"/>
        </w:tabs>
        <w:spacing w:before="207"/>
        <w:ind w:firstLine="567"/>
      </w:pPr>
      <w:bookmarkStart w:id="51" w:name="_Toc18262"/>
      <w:bookmarkStart w:id="52" w:name="_Toc3158"/>
      <w:r>
        <w:rPr>
          <w:rFonts w:hint="eastAsia"/>
        </w:rPr>
        <w:t>服装行业发展现状</w:t>
      </w:r>
      <w:bookmarkEnd w:id="51"/>
      <w:bookmarkEnd w:id="52"/>
    </w:p>
    <w:p w14:paraId="056FE519" w14:textId="77777777" w:rsidR="00000000" w:rsidRDefault="00000000">
      <w:pPr>
        <w:pStyle w:val="afd"/>
        <w:ind w:firstLine="486"/>
        <w:rPr>
          <w:rFonts w:cs="宋体" w:hint="eastAsia"/>
          <w:color w:val="auto"/>
          <w:lang w:bidi="ar"/>
        </w:rPr>
      </w:pPr>
      <w:r>
        <w:rPr>
          <w:rFonts w:cs="宋体" w:hint="eastAsia"/>
          <w:color w:val="auto"/>
          <w:lang w:bidi="ar"/>
        </w:rPr>
        <w:t>服装产业作为国家经济体系中的关键构成，在推动国民经济增长与塑造民生消费格局方面发挥着不可替代的作用。近年来，服装行业竞争加剧，发展机遇与挑战并存，受经济增长速度放缓和供给侧改革深化影响，当前正经历由传统制造向智能制造与数字化管理的深刻转型；与此同时，全球经济复苏乏力导致外需市场萎缩，服装出口下行压力骤增。此外，由于原材料价格上涨、劳动力成本上升和国内需求疲软等压力，服装企业在生产规模上也呈现下降趋势。</w:t>
      </w:r>
    </w:p>
    <w:p w14:paraId="30B49134" w14:textId="77777777" w:rsidR="00000000" w:rsidRDefault="00000000">
      <w:pPr>
        <w:pStyle w:val="afd"/>
        <w:ind w:firstLine="486"/>
        <w:rPr>
          <w:rFonts w:cs="宋体" w:hint="eastAsia"/>
          <w:color w:val="auto"/>
          <w:lang w:bidi="ar"/>
        </w:rPr>
      </w:pPr>
      <w:bookmarkStart w:id="53" w:name="_Toc1450"/>
      <w:r>
        <w:rPr>
          <w:rFonts w:cs="宋体" w:hint="eastAsia"/>
          <w:color w:val="auto"/>
          <w:lang w:bidi="ar"/>
        </w:rPr>
        <w:t>据国家统计局数据显示：2024 年我国限额以上单位服装类商品零售额同比增长0.1%，增速较2023年大幅回落15.3个百分点，市场增长动能明显减弱。尽管整体零售保持微增，但传统渠道承压，重点大型零售企业服装零售额同比下降4.9%。在线上市场，实物商品网上穿类商品零售额同比增长1.5%，增速较2023年回落9.3个百分点，线上增长亦显著放缓。总的来看，我国服装业的形势是比较复杂、严峻的。为此，服装企业要认清形势，坚定不移地加快创新发展步伐，不断推进现代产业体系的建设，推进服装产业的发展向“高端化、智能化、绿色化、融合化”发展。同时也要把握大局、强抓机遇，以适应市场变化与挑战。</w:t>
      </w:r>
    </w:p>
    <w:p w14:paraId="1A33364F" w14:textId="77777777" w:rsidR="00000000" w:rsidRDefault="00000000">
      <w:pPr>
        <w:pStyle w:val="afc"/>
        <w:numPr>
          <w:ilvl w:val="0"/>
          <w:numId w:val="23"/>
        </w:numPr>
        <w:tabs>
          <w:tab w:val="left" w:pos="0"/>
        </w:tabs>
        <w:spacing w:before="207"/>
        <w:ind w:firstLine="567"/>
        <w:rPr>
          <w:rFonts w:hint="eastAsia"/>
        </w:rPr>
      </w:pPr>
      <w:bookmarkStart w:id="54" w:name="_Toc1925"/>
      <w:r>
        <w:rPr>
          <w:rFonts w:hint="eastAsia"/>
        </w:rPr>
        <w:t>轻资产运营模式在服装行业的应用</w:t>
      </w:r>
      <w:bookmarkEnd w:id="54"/>
    </w:p>
    <w:p w14:paraId="39B733F0" w14:textId="77777777" w:rsidR="00000000" w:rsidRDefault="00000000">
      <w:pPr>
        <w:pStyle w:val="afd"/>
        <w:ind w:firstLine="486"/>
        <w:rPr>
          <w:rFonts w:cs="宋体" w:hint="eastAsia"/>
          <w:color w:val="auto"/>
          <w:lang w:bidi="ar"/>
        </w:rPr>
      </w:pPr>
      <w:r>
        <w:rPr>
          <w:rFonts w:cs="宋体" w:hint="eastAsia"/>
          <w:color w:val="auto"/>
          <w:lang w:bidi="ar"/>
        </w:rPr>
        <w:t>当今轻资产在服装领域中的运用逐渐成为服装行业发展的主流。轻资产模式指企业固定资产投资投入最小化、将外部资源利用最大化，通过提高企业的经营效率和灵活性来追求经济效益。它的演变可以分为三个阶段：</w:t>
      </w:r>
    </w:p>
    <w:p w14:paraId="445063B7" w14:textId="77777777" w:rsidR="00000000" w:rsidRDefault="00000000">
      <w:pPr>
        <w:widowControl/>
        <w:wordWrap w:val="0"/>
        <w:spacing w:line="400" w:lineRule="exact"/>
        <w:ind w:firstLineChars="200" w:firstLine="486"/>
        <w:rPr>
          <w:rFonts w:ascii="宋体" w:hAnsi="宋体" w:cs="宋体" w:hint="eastAsia"/>
          <w:kern w:val="0"/>
          <w:lang w:bidi="ar"/>
        </w:rPr>
      </w:pPr>
      <w:r>
        <w:rPr>
          <w:rFonts w:cs="宋体" w:hint="eastAsia"/>
          <w:lang w:bidi="ar"/>
        </w:rPr>
        <w:t>第一阶段：外包生产职能。基于生产外包的第一代轻资产模式侧重于重资产剥离，通过将生产场所、设备投资外包实现营运成本最小化。由于专业供应商拥有先进的生产和流程等方面的专业技能，这种轻资产模式不仅保证了产品质量和生产效率，而且还帮助企业高度灵活性地应对市场。同时，由于产品原材料价格变动、生产安全等经营风险转移至供应链上游企业，使得轻资产企业更能聚焦经营核心业务，</w:t>
      </w:r>
      <w:r>
        <w:rPr>
          <w:rFonts w:ascii="宋体" w:hAnsi="宋体" w:cs="宋体" w:hint="eastAsia"/>
          <w:kern w:val="0"/>
          <w:lang w:bidi="ar"/>
        </w:rPr>
        <w:t>以轻量化资产结构灵活应对市场竞争。</w:t>
      </w:r>
    </w:p>
    <w:p w14:paraId="5B0E420A" w14:textId="77777777" w:rsidR="00000000" w:rsidRDefault="00000000">
      <w:pPr>
        <w:pStyle w:val="afd"/>
        <w:ind w:firstLine="486"/>
        <w:rPr>
          <w:rFonts w:cs="宋体" w:hint="eastAsia"/>
          <w:color w:val="auto"/>
          <w:lang w:bidi="ar"/>
        </w:rPr>
      </w:pPr>
      <w:r>
        <w:rPr>
          <w:rFonts w:cs="宋体" w:hint="eastAsia"/>
          <w:color w:val="auto"/>
          <w:lang w:bidi="ar"/>
        </w:rPr>
        <w:t>第二阶段：外包资金投入。作为第二代轻资产服装企业的代表，海澜之家通过全托管特许加盟模式对加盟店实施直营化管理。企业将外包链条由生产、销售</w:t>
      </w:r>
      <w:r>
        <w:rPr>
          <w:rFonts w:cs="宋体" w:hint="eastAsia"/>
          <w:color w:val="auto"/>
          <w:lang w:bidi="ar"/>
        </w:rPr>
        <w:lastRenderedPageBreak/>
        <w:t>延伸至资金投入，由加盟商承担资本与运营责任，自身专注于品牌与管理输出，从而在保留规模优势的同时完成资本结构的轻资产化转型。</w:t>
      </w:r>
    </w:p>
    <w:p w14:paraId="4D085C50" w14:textId="77777777" w:rsidR="00000000" w:rsidRDefault="00000000">
      <w:pPr>
        <w:pStyle w:val="afd"/>
        <w:ind w:firstLine="486"/>
        <w:rPr>
          <w:rFonts w:cs="宋体" w:hint="eastAsia"/>
          <w:color w:val="auto"/>
          <w:lang w:bidi="ar"/>
        </w:rPr>
      </w:pPr>
      <w:r>
        <w:rPr>
          <w:rFonts w:cs="宋体" w:hint="eastAsia"/>
          <w:color w:val="auto"/>
          <w:lang w:bidi="ar"/>
        </w:rPr>
        <w:t>第三个阶段：供应链管理精准化。以PPG为典型代表的无实体门店轻资产服装企业，在第三代运营中广泛应用ERP系统、大数据分析及云计算等前沿技术，对供应链各个环节进行实时监控，对市场需求进行精准预测，对市场变化做出快速反应，对库存、物流进行有效管理，从而实现成本控制和利润提升。尽管如此，这种能够实现“全链轻量化”的精准供应链，目前在国内仍属稀缺能力。对于绝大多数轻资产服装企业而言，如何突破资源统筹瓶颈并提升供应链韧性，仍是亟待解决的战略难题。</w:t>
      </w:r>
    </w:p>
    <w:p w14:paraId="54CA4B5E" w14:textId="77777777" w:rsidR="00000000" w:rsidRDefault="00000000">
      <w:pPr>
        <w:pStyle w:val="afb"/>
        <w:numPr>
          <w:ilvl w:val="0"/>
          <w:numId w:val="22"/>
        </w:numPr>
        <w:tabs>
          <w:tab w:val="left" w:pos="0"/>
        </w:tabs>
        <w:spacing w:before="207" w:after="207"/>
        <w:rPr>
          <w:rFonts w:hint="default"/>
        </w:rPr>
      </w:pPr>
      <w:bookmarkStart w:id="55" w:name="_Toc3447"/>
      <w:r>
        <w:t>M</w:t>
      </w:r>
      <w:r>
        <w:t>公司概况</w:t>
      </w:r>
      <w:bookmarkEnd w:id="53"/>
      <w:bookmarkEnd w:id="55"/>
    </w:p>
    <w:p w14:paraId="6FBA3AF9" w14:textId="77777777" w:rsidR="00000000" w:rsidRDefault="00000000">
      <w:pPr>
        <w:pStyle w:val="afc"/>
        <w:numPr>
          <w:ilvl w:val="0"/>
          <w:numId w:val="24"/>
        </w:numPr>
        <w:tabs>
          <w:tab w:val="left" w:pos="0"/>
        </w:tabs>
        <w:spacing w:before="207"/>
        <w:ind w:firstLine="567"/>
      </w:pPr>
      <w:bookmarkStart w:id="56" w:name="_Toc8778"/>
      <w:bookmarkStart w:id="57" w:name="_Toc5395"/>
      <w:r>
        <w:rPr>
          <w:rFonts w:hint="eastAsia"/>
        </w:rPr>
        <w:t>M公司基本情况</w:t>
      </w:r>
      <w:bookmarkEnd w:id="56"/>
      <w:bookmarkEnd w:id="57"/>
    </w:p>
    <w:p w14:paraId="56755CE4" w14:textId="77777777" w:rsidR="00000000" w:rsidRDefault="00000000">
      <w:pPr>
        <w:pStyle w:val="afd"/>
        <w:ind w:firstLine="486"/>
        <w:rPr>
          <w:rFonts w:cs="宋体" w:hint="eastAsia"/>
          <w:color w:val="auto"/>
          <w:lang w:bidi="ar"/>
        </w:rPr>
      </w:pPr>
      <w:r>
        <w:rPr>
          <w:rFonts w:cs="宋体" w:hint="eastAsia"/>
          <w:color w:val="auto"/>
          <w:lang w:bidi="ar"/>
        </w:rPr>
        <w:t>M公司是一家专门从事男装和针纺织品的综合型服装企业，公司的发展历程可以分为自主品牌孵化期、品牌经营崛起期、战略转型升级期三个时期。它属于福建省第一批在深交所上市的公司（2004年上市），公司自1990年创立至今，主要从事高品质男装和针纺织品设计、制造、生产和营销，并建立了多样化的产品体系，涉及商务装、时尚休闲、运动休闲等多场景产品。</w:t>
      </w:r>
    </w:p>
    <w:p w14:paraId="6F79692C" w14:textId="77777777" w:rsidR="00000000" w:rsidRDefault="00000000">
      <w:pPr>
        <w:pStyle w:val="afd"/>
        <w:ind w:firstLine="486"/>
        <w:rPr>
          <w:rFonts w:cs="宋体" w:hint="eastAsia"/>
          <w:color w:val="auto"/>
          <w:lang w:bidi="ar"/>
        </w:rPr>
      </w:pPr>
      <w:r>
        <w:rPr>
          <w:rFonts w:cs="宋体" w:hint="eastAsia"/>
          <w:color w:val="auto"/>
          <w:lang w:bidi="ar"/>
        </w:rPr>
        <w:t>遵循微笑曲线理论，M公司在2013年实施轻资产运营，从制造环节向两端的研发设计、品牌营销环节倾斜，向供应链精细运营要价值，在运营上实现轻装前行，由传统制造企业发展成为一个现代服饰集团。如今，M公司有七大产品系列，包括国际设计师系列(Karl Lagerfeld)、经典商务系列、时尚休闲系列、童装系列等，并以“自主孵化、战略投资”相结合的方式自主推出过“16N”、“Wolf Totem”等子品牌，“品牌矩阵”层次丰富。同时通过系列战略举措持续巩固行业领先地位，例如实行跨界联名（苏炳添），强化“中国茄克领航者”IP，输出品牌文化；与国际奢侈品牌商Karl Lagerfeld深度合作，实现子品牌年度业绩首次扭亏。在渠道经营上，公司现已建立覆盖全国的1,800余个零售终端网络，形成了“直营+加盟”的立体化渠道系统。</w:t>
      </w:r>
    </w:p>
    <w:p w14:paraId="1FC4AEBA" w14:textId="77777777" w:rsidR="00000000" w:rsidRDefault="00000000">
      <w:pPr>
        <w:pStyle w:val="afd"/>
        <w:ind w:firstLine="486"/>
        <w:rPr>
          <w:rFonts w:cs="宋体" w:hint="eastAsia"/>
          <w:color w:val="auto"/>
          <w:lang w:bidi="ar"/>
        </w:rPr>
      </w:pPr>
      <w:r>
        <w:rPr>
          <w:rFonts w:cs="宋体" w:hint="eastAsia"/>
          <w:color w:val="auto"/>
          <w:lang w:bidi="ar"/>
        </w:rPr>
        <w:t>据行业数据显示，该品牌连续24年蝉联同类产品市场占有率首位，其成功实践为中国传统服饰企业的转型升级提供了典型范式。在产学研融合方面，企业持续将狼性文化基因与新生代消费群体的审美诉求有机结合，通过数字化设计平台和柔性供应链体系的协同创新，持续强化在男装领域的标杆地位。</w:t>
      </w:r>
      <w:bookmarkStart w:id="58" w:name="_Toc19899"/>
    </w:p>
    <w:p w14:paraId="576FE538" w14:textId="77777777" w:rsidR="00000000" w:rsidRDefault="00000000">
      <w:pPr>
        <w:pStyle w:val="afd"/>
        <w:ind w:firstLine="486"/>
        <w:rPr>
          <w:rFonts w:cs="宋体" w:hint="eastAsia"/>
          <w:color w:val="auto"/>
          <w:lang w:bidi="ar"/>
        </w:rPr>
      </w:pPr>
    </w:p>
    <w:p w14:paraId="7AB97267" w14:textId="77777777" w:rsidR="00000000" w:rsidRDefault="00000000">
      <w:pPr>
        <w:pStyle w:val="afc"/>
        <w:numPr>
          <w:ilvl w:val="0"/>
          <w:numId w:val="24"/>
        </w:numPr>
        <w:tabs>
          <w:tab w:val="left" w:pos="0"/>
        </w:tabs>
        <w:spacing w:before="207"/>
        <w:ind w:firstLine="567"/>
        <w:rPr>
          <w:rFonts w:hint="eastAsia"/>
        </w:rPr>
      </w:pPr>
      <w:bookmarkStart w:id="59" w:name="_Toc29209"/>
      <w:r>
        <w:rPr>
          <w:rFonts w:hint="eastAsia"/>
        </w:rPr>
        <w:lastRenderedPageBreak/>
        <w:t>M公司的发展历程</w:t>
      </w:r>
      <w:bookmarkEnd w:id="58"/>
      <w:bookmarkEnd w:id="59"/>
    </w:p>
    <w:p w14:paraId="3766CA30" w14:textId="77777777" w:rsidR="00000000" w:rsidRDefault="00000000">
      <w:pPr>
        <w:pStyle w:val="afd"/>
        <w:ind w:firstLine="486"/>
        <w:rPr>
          <w:rFonts w:cs="宋体" w:hint="eastAsia"/>
          <w:color w:val="auto"/>
          <w:lang w:bidi="ar"/>
        </w:rPr>
      </w:pPr>
      <w:bookmarkStart w:id="60" w:name="_Toc5393"/>
      <w:r>
        <w:rPr>
          <w:rFonts w:cs="宋体" w:hint="eastAsia"/>
          <w:color w:val="auto"/>
          <w:lang w:bidi="ar"/>
        </w:rPr>
        <w:t>在梳理了M公司的发展历程之后，我们把它分为三个阶段</w:t>
      </w:r>
      <w:bookmarkEnd w:id="60"/>
      <w:r>
        <w:rPr>
          <w:rFonts w:cs="宋体" w:hint="eastAsia"/>
          <w:color w:val="auto"/>
          <w:lang w:bidi="ar"/>
        </w:rPr>
        <w:t>：</w:t>
      </w:r>
    </w:p>
    <w:p w14:paraId="7D675525" w14:textId="77777777" w:rsidR="00000000" w:rsidRDefault="00000000">
      <w:pPr>
        <w:pStyle w:val="afd"/>
        <w:numPr>
          <w:ilvl w:val="0"/>
          <w:numId w:val="25"/>
        </w:numPr>
        <w:ind w:firstLineChars="0"/>
        <w:rPr>
          <w:rFonts w:cs="宋体"/>
          <w:color w:val="auto"/>
          <w:lang w:bidi="ar"/>
        </w:rPr>
      </w:pPr>
      <w:bookmarkStart w:id="61" w:name="_Toc13289"/>
      <w:r>
        <w:rPr>
          <w:rFonts w:cs="宋体" w:hint="eastAsia"/>
          <w:color w:val="auto"/>
          <w:lang w:bidi="ar"/>
        </w:rPr>
        <w:t>自主品牌孵化期</w:t>
      </w:r>
      <w:r>
        <w:rPr>
          <w:rFonts w:cs="宋体" w:hint="eastAsia"/>
          <w:color w:val="000000"/>
          <w:lang w:bidi="ar"/>
        </w:rPr>
        <w:t>（1990-1997年）</w:t>
      </w:r>
    </w:p>
    <w:p w14:paraId="003A781D" w14:textId="77777777" w:rsidR="00000000" w:rsidRDefault="00000000">
      <w:pPr>
        <w:pStyle w:val="afd"/>
        <w:ind w:firstLine="486"/>
        <w:rPr>
          <w:rFonts w:cs="宋体" w:hint="eastAsia"/>
          <w:color w:val="auto"/>
          <w:lang w:bidi="ar"/>
        </w:rPr>
      </w:pPr>
      <w:r>
        <w:rPr>
          <w:rFonts w:cs="宋体" w:hint="eastAsia"/>
          <w:color w:val="auto"/>
          <w:lang w:bidi="ar"/>
        </w:rPr>
        <w:t>该阶段企业实现了从区域品牌到全国性服饰企业的关键蜕变，步入了规模化发展新阶段。M公司1990年完成商标注册，在福建省服装企业中开创了自主知识产权保护的先河。同年上市的双色茄克设计，以“茄克专家”的产品形象，通过对“中国茄克之王”的精准定位，迅速在全国消费市场获得认可。在此期间，企业还初步构建“创新基因+市场敏锐度”的核心文化体系，为后续发展奠定战略基础。</w:t>
      </w:r>
    </w:p>
    <w:p w14:paraId="5E1E93D3" w14:textId="77777777" w:rsidR="00000000" w:rsidRDefault="00000000">
      <w:pPr>
        <w:pStyle w:val="afd"/>
        <w:numPr>
          <w:ilvl w:val="0"/>
          <w:numId w:val="25"/>
        </w:numPr>
        <w:ind w:firstLineChars="0"/>
        <w:rPr>
          <w:rFonts w:cs="宋体"/>
          <w:color w:val="auto"/>
          <w:lang w:bidi="ar"/>
        </w:rPr>
      </w:pPr>
      <w:r>
        <w:rPr>
          <w:rFonts w:cs="宋体" w:hint="eastAsia"/>
          <w:color w:val="auto"/>
          <w:lang w:bidi="ar"/>
        </w:rPr>
        <w:t>品牌经营崛起期</w:t>
      </w:r>
      <w:r>
        <w:rPr>
          <w:rFonts w:cs="宋体" w:hint="eastAsia"/>
          <w:color w:val="000000"/>
          <w:lang w:bidi="ar"/>
        </w:rPr>
        <w:t>（1997-2013年）</w:t>
      </w:r>
    </w:p>
    <w:p w14:paraId="5619F4B2" w14:textId="77777777" w:rsidR="00000000" w:rsidRDefault="00000000">
      <w:pPr>
        <w:pStyle w:val="afd"/>
        <w:ind w:firstLine="486"/>
        <w:rPr>
          <w:rFonts w:cs="宋体" w:hint="eastAsia"/>
          <w:color w:val="auto"/>
          <w:lang w:bidi="ar"/>
        </w:rPr>
      </w:pPr>
      <w:r>
        <w:rPr>
          <w:rFonts w:cs="宋体" w:hint="eastAsia"/>
          <w:color w:val="auto"/>
          <w:lang w:bidi="ar"/>
        </w:rPr>
        <w:t>该阶段企业依托轻资产运营逻辑，实现了规模的快速跃升：一方面，1997年通过连锁加盟模式以轻资产撬动渠道资源；另一方面，借势皇马中国行等顶级体育赛事，以低成本营销杠杆显著提升品牌知名度。2004年深交所上市使其成为国内男装行业资本化先驱，至2012年实现营业收入35亿元，较IPO初期增长13倍，印证战略扩张成效。</w:t>
      </w:r>
    </w:p>
    <w:p w14:paraId="3CCD403C" w14:textId="77777777" w:rsidR="00000000" w:rsidRDefault="00000000">
      <w:pPr>
        <w:pStyle w:val="afd"/>
        <w:numPr>
          <w:ilvl w:val="0"/>
          <w:numId w:val="25"/>
        </w:numPr>
        <w:ind w:firstLineChars="0"/>
        <w:rPr>
          <w:rFonts w:cs="宋体"/>
          <w:color w:val="auto"/>
          <w:lang w:bidi="ar"/>
        </w:rPr>
      </w:pPr>
      <w:r>
        <w:rPr>
          <w:rFonts w:cs="宋体" w:hint="eastAsia"/>
          <w:color w:val="auto"/>
          <w:lang w:bidi="ar"/>
        </w:rPr>
        <w:t>战略转型升级期</w:t>
      </w:r>
      <w:r>
        <w:rPr>
          <w:rFonts w:cs="宋体" w:hint="eastAsia"/>
          <w:color w:val="000000"/>
          <w:lang w:bidi="ar"/>
        </w:rPr>
        <w:t>（2014年至今）</w:t>
      </w:r>
    </w:p>
    <w:p w14:paraId="29260308" w14:textId="77777777" w:rsidR="00000000" w:rsidRDefault="00000000">
      <w:pPr>
        <w:pStyle w:val="afd"/>
        <w:ind w:firstLine="486"/>
        <w:rPr>
          <w:rFonts w:cs="宋体" w:hint="eastAsia"/>
          <w:color w:val="auto"/>
          <w:lang w:bidi="ar"/>
        </w:rPr>
      </w:pPr>
      <w:r>
        <w:rPr>
          <w:rFonts w:cs="宋体" w:hint="eastAsia"/>
          <w:color w:val="auto"/>
          <w:lang w:bidi="ar"/>
        </w:rPr>
        <w:t>新时代背景下，M公司实施“双轮驱动”战略：实业界发力，完成针纺类商标整合，收购国际轻奢Karl Lagerfeld品牌，打出了“核心品牌+战略投资”的“组合拳”；投资界与专业机构合作建立时尚投资平台，继续深化供应链数字化等。该阶段M公司通过采取“实业精细化+投资平台化”战略方针，实现了从传统型企业向现代时尚集团的发展战略转换，奠定了行业高地。</w:t>
      </w:r>
    </w:p>
    <w:p w14:paraId="324F1D74" w14:textId="77777777" w:rsidR="00000000" w:rsidRDefault="00000000">
      <w:pPr>
        <w:pStyle w:val="afb"/>
        <w:numPr>
          <w:ilvl w:val="0"/>
          <w:numId w:val="22"/>
        </w:numPr>
        <w:tabs>
          <w:tab w:val="left" w:pos="0"/>
        </w:tabs>
        <w:spacing w:before="207" w:after="207"/>
        <w:rPr>
          <w:rFonts w:hint="default"/>
        </w:rPr>
      </w:pPr>
      <w:bookmarkStart w:id="62" w:name="_Toc32490"/>
      <w:r>
        <w:t>M</w:t>
      </w:r>
      <w:r>
        <w:t>公司轻资产运营模式现状分析</w:t>
      </w:r>
      <w:bookmarkEnd w:id="61"/>
      <w:bookmarkEnd w:id="62"/>
    </w:p>
    <w:p w14:paraId="2029B2ED" w14:textId="77777777" w:rsidR="00000000" w:rsidRDefault="00000000">
      <w:pPr>
        <w:pStyle w:val="afc"/>
        <w:numPr>
          <w:ilvl w:val="0"/>
          <w:numId w:val="26"/>
        </w:numPr>
        <w:tabs>
          <w:tab w:val="left" w:pos="0"/>
        </w:tabs>
        <w:spacing w:before="207"/>
        <w:ind w:firstLine="567"/>
      </w:pPr>
      <w:bookmarkStart w:id="63" w:name="_Toc11896"/>
      <w:bookmarkStart w:id="64" w:name="_Toc17042"/>
      <w:r>
        <w:rPr>
          <w:rFonts w:hint="eastAsia"/>
        </w:rPr>
        <w:t>M公司轻资产运营模式运营现状</w:t>
      </w:r>
      <w:bookmarkEnd w:id="63"/>
      <w:bookmarkEnd w:id="64"/>
    </w:p>
    <w:p w14:paraId="7AC1E205" w14:textId="77777777" w:rsidR="00000000" w:rsidRDefault="00000000">
      <w:pPr>
        <w:pStyle w:val="afd"/>
        <w:ind w:firstLine="486"/>
      </w:pPr>
      <w:r>
        <w:rPr>
          <w:rFonts w:cs="宋体" w:hint="eastAsia"/>
          <w:color w:val="auto"/>
          <w:lang w:bidi="ar"/>
        </w:rPr>
        <w:t>2013年之前，M公司采取垂直一体化模式经营，其表现主要有：（1）供应链管理松散，依靠批发进行渠道销售，库存周转率低，季节性库存不足；（2）终端门头大规模扩充，加之店铺租金、人工等成本日益增长，出现很多经营低效的低效终端；（3）受2012年前后宏观经济增速放缓这一影响，消费不振、运营成本刚性增长的双重挤压下，公司2013年净利润出现上市以来首次负增长（-32.46%），经营模式已经不适应当时的市场环境。面对终端持续的亏本经营、消费结构的变化，M公司自2013年起全面推进策略的变革。一是改造运营模式，从粗放的管理向精细的运营转向，革新企业的内部管理。如通过ERP升级改造了供应链可视化，实施动态库存预警管理，存货周转天数从2013年的218天压缩到</w:t>
      </w:r>
      <w:r>
        <w:rPr>
          <w:rFonts w:cs="宋体" w:hint="eastAsia"/>
          <w:color w:val="auto"/>
          <w:lang w:bidi="ar"/>
        </w:rPr>
        <w:lastRenderedPageBreak/>
        <w:t>2015年的182天。二是开发终端渠道。实施“关店提质”策略，2016年低效门市占比由2013年的37％下降至12％，终端在一些主打商圈实行联营销售模式，共担风险实现渠道经营杠杆化。规划O2O立体销售通路，把O2O渠道从单纯的过季产品清分销渠道向陈设当季新品、网络产品的销售通路转型。2015年，公司电商的销售额占比超过了20％，线上业务已成为公司的新增长点。三是实施机制创新。此外，建立“权责对等的过程性激励模型”，将对经销商的考核从单一的销售业绩扩展到库存周转率、客户回购率等平衡计分卡指标，形成经销商有风险、有回报的利益共同体，构建保持供应链和组织稳定的竞争力，M公司是本土服装企业的轻资产转型“范本”，用战略聚焦和模式创新带动了企业运营效率大幅提升，它也印证了在消费换代和数字化浪潮背景下，传统制造企业舍弃重资产、改变价值链、打造商业模式仍然可以有二次增长。</w:t>
      </w:r>
    </w:p>
    <w:p w14:paraId="7B08D54C" w14:textId="77777777" w:rsidR="00000000" w:rsidRDefault="00000000">
      <w:pPr>
        <w:ind w:firstLine="0"/>
        <w:jc w:val="center"/>
        <w:rPr>
          <w:sz w:val="21"/>
          <w:szCs w:val="21"/>
        </w:rPr>
      </w:pPr>
      <w:r>
        <w:rPr>
          <w:sz w:val="21"/>
          <w:szCs w:val="21"/>
        </w:rPr>
        <w:pict w14:anchorId="50167530">
          <v:shape id="文本框 652" o:spid="_x0000_s2127" type="#_x0000_t202" style="position:absolute;left:0;text-align:left;margin-left:99.9pt;margin-top:77.75pt;width:90.7pt;height:24pt;z-index:3;mso-wrap-style:square" filled="f" stroked="f">
            <v:stroke endarrow="open"/>
            <v:textbox>
              <w:txbxContent>
                <w:p w14:paraId="65FDDC32" w14:textId="77777777" w:rsidR="00000000" w:rsidRDefault="00000000">
                  <w:pPr>
                    <w:ind w:firstLine="0"/>
                    <w:jc w:val="left"/>
                    <w:rPr>
                      <w:sz w:val="18"/>
                      <w:szCs w:val="13"/>
                    </w:rPr>
                  </w:pPr>
                  <w:r>
                    <w:rPr>
                      <w:rFonts w:hint="eastAsia"/>
                      <w:color w:val="000000"/>
                      <w:sz w:val="18"/>
                      <w:szCs w:val="13"/>
                    </w:rPr>
                    <w:t>指导市场策略</w:t>
                  </w:r>
                </w:p>
              </w:txbxContent>
            </v:textbox>
          </v:shape>
        </w:pict>
      </w:r>
      <w:r>
        <w:pict w14:anchorId="747DB34E">
          <v:group id="画布 622" o:spid="_x0000_s2128" editas="canvas" style="width:418.75pt;height:191.95pt;mso-position-horizontal-relative:char;mso-position-vertical-relative:line" coordsize="53181,24377">
            <o:diagram v:ext="edit" dgmstyle="0" dgmscalex="0" dgmscaley="0"/>
            <v:shape id="_x0000_s2129" type="#_x0000_t75" style="position:absolute;width:53181;height:24377;mso-wrap-style:square;mso-position-horizontal-relative:char;mso-position-vertical-relative:line">
              <v:path o:extrusionok="t"/>
              <o:lock v:ext="edit" rotation="t" aspectratio="f"/>
              <o:diagram v:ext="edit" dgmstyle="0" dgmscalex="0" dgmscaley="0"/>
            </v:shape>
            <v:shape id="文本框 623" o:spid="_x0000_s2130" type="#_x0000_t202" style="position:absolute;left:8858;top:3371;width:7150;height:3645;mso-wrap-style:square" filled="f">
              <v:textbox style="mso-fit-shape-to-text:t">
                <w:txbxContent>
                  <w:p w14:paraId="1F5D7111" w14:textId="77777777" w:rsidR="00000000" w:rsidRDefault="00000000">
                    <w:pPr>
                      <w:ind w:firstLine="0"/>
                      <w:jc w:val="center"/>
                      <w:rPr>
                        <w:sz w:val="21"/>
                        <w:szCs w:val="21"/>
                      </w:rPr>
                    </w:pPr>
                    <w:r>
                      <w:rPr>
                        <w:rFonts w:hint="eastAsia"/>
                        <w:color w:val="000000"/>
                        <w:sz w:val="21"/>
                        <w:szCs w:val="21"/>
                      </w:rPr>
                      <w:t>企划</w:t>
                    </w:r>
                  </w:p>
                </w:txbxContent>
              </v:textbox>
            </v:shape>
            <v:shape id="文本框 624" o:spid="_x0000_s2131" type="#_x0000_t202" style="position:absolute;left:23050;top:3086;width:7366;height:3333;mso-wrap-style:square" filled="f">
              <v:textbox>
                <w:txbxContent>
                  <w:p w14:paraId="1EDA3415" w14:textId="77777777" w:rsidR="00000000" w:rsidRDefault="00000000">
                    <w:pPr>
                      <w:ind w:firstLine="0"/>
                      <w:jc w:val="center"/>
                    </w:pPr>
                    <w:r>
                      <w:rPr>
                        <w:rFonts w:hint="eastAsia"/>
                        <w:color w:val="000000"/>
                        <w:sz w:val="21"/>
                        <w:szCs w:val="21"/>
                      </w:rPr>
                      <w:t>设计</w:t>
                    </w:r>
                  </w:p>
                </w:txbxContent>
              </v:textbox>
            </v:shape>
            <v:shape id="文本框 625" o:spid="_x0000_s2132" type="#_x0000_t202" style="position:absolute;left:36385;top:1276;width:7366;height:3143;mso-wrap-style:square" filled="f">
              <v:textbox>
                <w:txbxContent>
                  <w:p w14:paraId="6C31D344" w14:textId="77777777" w:rsidR="00000000" w:rsidRDefault="00000000">
                    <w:pPr>
                      <w:ind w:firstLine="0"/>
                      <w:jc w:val="center"/>
                    </w:pPr>
                    <w:r>
                      <w:rPr>
                        <w:rFonts w:hint="eastAsia"/>
                        <w:color w:val="000000"/>
                        <w:sz w:val="21"/>
                        <w:szCs w:val="21"/>
                      </w:rPr>
                      <w:t>定价</w:t>
                    </w:r>
                  </w:p>
                </w:txbxContent>
              </v:textbox>
            </v:shape>
            <v:shape id="文本框 626" o:spid="_x0000_s2133" type="#_x0000_t202" style="position:absolute;left:36480;top:6229;width:7366;height:3143;mso-wrap-style:square" filled="f">
              <v:textbox>
                <w:txbxContent>
                  <w:p w14:paraId="09771580" w14:textId="77777777" w:rsidR="00000000" w:rsidRDefault="00000000">
                    <w:pPr>
                      <w:ind w:firstLine="0"/>
                      <w:jc w:val="center"/>
                      <w:rPr>
                        <w:sz w:val="21"/>
                        <w:szCs w:val="21"/>
                      </w:rPr>
                    </w:pPr>
                    <w:r>
                      <w:rPr>
                        <w:rFonts w:hint="eastAsia"/>
                        <w:color w:val="000000"/>
                        <w:sz w:val="21"/>
                        <w:szCs w:val="21"/>
                      </w:rPr>
                      <w:t>定样</w:t>
                    </w:r>
                  </w:p>
                </w:txbxContent>
              </v:textbox>
            </v:shape>
            <v:shape id="文本框 627" o:spid="_x0000_s2134" type="#_x0000_t202" style="position:absolute;left:22860;top:14420;width:7366;height:3239;mso-wrap-style:square" filled="f">
              <v:textbox>
                <w:txbxContent>
                  <w:p w14:paraId="37D6C3D8" w14:textId="77777777" w:rsidR="00000000" w:rsidRDefault="00000000">
                    <w:pPr>
                      <w:ind w:firstLine="0"/>
                      <w:jc w:val="center"/>
                    </w:pPr>
                    <w:r>
                      <w:rPr>
                        <w:rFonts w:hint="eastAsia"/>
                        <w:color w:val="000000"/>
                        <w:sz w:val="21"/>
                        <w:szCs w:val="21"/>
                      </w:rPr>
                      <w:t>工厂</w:t>
                    </w:r>
                  </w:p>
                </w:txbxContent>
              </v:textbox>
            </v:shape>
            <v:shape id="文本框 629" o:spid="_x0000_s2135" type="#_x0000_t202" style="position:absolute;left:34956;top:14135;width:10027;height:3429;mso-wrap-style:square" filled="f">
              <v:textbox>
                <w:txbxContent>
                  <w:p w14:paraId="10B75A8B" w14:textId="77777777" w:rsidR="00000000" w:rsidRDefault="00000000">
                    <w:pPr>
                      <w:ind w:firstLine="0"/>
                      <w:jc w:val="center"/>
                      <w:rPr>
                        <w:sz w:val="21"/>
                        <w:szCs w:val="21"/>
                      </w:rPr>
                    </w:pPr>
                    <w:r>
                      <w:rPr>
                        <w:rFonts w:hint="eastAsia"/>
                        <w:color w:val="000000"/>
                        <w:sz w:val="21"/>
                        <w:szCs w:val="21"/>
                      </w:rPr>
                      <w:t>供应链中心</w:t>
                    </w:r>
                  </w:p>
                </w:txbxContent>
              </v:textbox>
            </v:shape>
            <v:shape id="文本框 631" o:spid="_x0000_s2136" type="#_x0000_t202" style="position:absolute;left:9239;top:14420;width:7366;height:3048;mso-wrap-style:square" filled="f">
              <v:textbox>
                <w:txbxContent>
                  <w:p w14:paraId="131CBF48" w14:textId="77777777" w:rsidR="00000000" w:rsidRDefault="00000000">
                    <w:pPr>
                      <w:ind w:firstLine="0"/>
                      <w:jc w:val="center"/>
                    </w:pPr>
                    <w:r>
                      <w:rPr>
                        <w:rFonts w:hint="eastAsia"/>
                        <w:color w:val="000000"/>
                        <w:sz w:val="21"/>
                        <w:szCs w:val="21"/>
                      </w:rPr>
                      <w:t>终端</w:t>
                    </w:r>
                  </w:p>
                </w:txbxContent>
              </v:textbox>
            </v:shape>
            <v:line id="直线 634" o:spid="_x0000_s2137" style="position:absolute;flip:y;mso-wrap-style:square" from="30480,4800" to="34575,4895">
              <v:stroke endarrow="open"/>
            </v:line>
            <v:line id="直线 645" o:spid="_x0000_s2138" style="position:absolute;flip:x;mso-wrap-style:square" from="30194,15919" to="34925,15925">
              <v:stroke endarrow="open"/>
            </v:line>
            <v:line id="直线 646" o:spid="_x0000_s2139" style="position:absolute;mso-wrap-style:square" from="16090,4870" to="23050,4876">
              <v:stroke endarrow="open"/>
            </v:line>
            <v:line id="直线 648" o:spid="_x0000_s2140" style="position:absolute;flip:x;mso-wrap-style:square" from="16573,15919" to="22764,15925">
              <v:stroke endarrow="open"/>
            </v:line>
            <v:shapetype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自选图形 649" o:spid="_x0000_s2141" type="#_x0000_t38" style="position:absolute;left:8858;top:5143;width:381;height:10801;rotation:180;mso-wrap-style:square" adj="156600">
              <v:stroke endarrow="open"/>
            </v:shape>
            <v:shapetype id="_x0000_t32" coordsize="21600,21600" o:spt="32" o:oned="t" path="m,l21600,21600e" filled="f">
              <v:path arrowok="t" fillok="f" o:connecttype="none"/>
              <o:lock v:ext="edit" shapetype="t"/>
            </v:shapetype>
            <v:shape id="自选图形 650" o:spid="_x0000_s2142" type="#_x0000_t32" style="position:absolute;left:12382;top:6915;width:51;height:7670;flip:x;mso-wrap-style:square">
              <v:stroke endarrow="open"/>
            </v:shape>
            <v:shape id="文本框 651" o:spid="_x0000_s2143" type="#_x0000_t202" style="position:absolute;left:6572;top:7156;width:4477;height:7518;mso-wrap-style:square" filled="f" stroked="f">
              <v:textbox style="layout-flow:vertical-ideographic">
                <w:txbxContent>
                  <w:p w14:paraId="296928B1" w14:textId="77777777" w:rsidR="00000000" w:rsidRDefault="00000000">
                    <w:pPr>
                      <w:ind w:firstLine="0"/>
                      <w:jc w:val="center"/>
                      <w:rPr>
                        <w:sz w:val="21"/>
                        <w:szCs w:val="21"/>
                      </w:rPr>
                    </w:pPr>
                    <w:r>
                      <w:rPr>
                        <w:rFonts w:hint="eastAsia"/>
                        <w:color w:val="000000"/>
                        <w:sz w:val="21"/>
                        <w:szCs w:val="21"/>
                      </w:rPr>
                      <w:t>数据反馈</w:t>
                    </w:r>
                  </w:p>
                </w:txbxContent>
              </v:textbox>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自选图形 653" o:spid="_x0000_s2144" type="#_x0000_t34" style="position:absolute;left:36379;top:2851;width:95;height:4953;rotation:180;mso-wrap-style:square" adj="410400"/>
            <v:shape id="自选图形 655" o:spid="_x0000_s2145" type="#_x0000_t34" style="position:absolute;left:43751;top:2851;width:95;height:4953;mso-wrap-style:square" adj="432000">
              <v:stroke startarrowlength="short"/>
            </v:shape>
            <v:line id="直线 669" o:spid="_x0000_s2146" style="position:absolute;flip:y;mso-wrap-style:square" from="45815,4965" to="47529,4972">
              <v:stroke startarrowlength="short"/>
            </v:line>
            <v:line id="直线 670" o:spid="_x0000_s2147" style="position:absolute;mso-wrap-style:square" from="47434,5060" to="47440,15824">
              <v:stroke startarrowlength="short"/>
            </v:line>
            <v:line id="直线 671" o:spid="_x0000_s2148" style="position:absolute;flip:x;mso-wrap-style:square" from="45053,15824" to="47434,15830">
              <v:stroke endarrow="open"/>
            </v:line>
            <v:shape id="文本框 672" o:spid="_x0000_s2149" type="#_x0000_t202" style="position:absolute;left:47720;top:3397;width:3619;height:13576;mso-wrap-style:square" filled="f" stroked="f">
              <v:textbox>
                <w:txbxContent>
                  <w:p w14:paraId="4B5D056B" w14:textId="77777777" w:rsidR="00000000" w:rsidRDefault="00000000">
                    <w:pPr>
                      <w:ind w:firstLine="0"/>
                      <w:jc w:val="center"/>
                      <w:rPr>
                        <w:spacing w:val="-23"/>
                        <w:sz w:val="21"/>
                        <w:szCs w:val="21"/>
                      </w:rPr>
                    </w:pPr>
                    <w:r>
                      <w:rPr>
                        <w:rFonts w:hint="eastAsia"/>
                        <w:color w:val="000000"/>
                        <w:spacing w:val="-23"/>
                        <w:sz w:val="21"/>
                        <w:szCs w:val="21"/>
                      </w:rPr>
                      <w:t>订货会下单</w:t>
                    </w:r>
                  </w:p>
                </w:txbxContent>
              </v:textbox>
            </v:shape>
            <w10:anchorlock/>
          </v:group>
        </w:pict>
      </w:r>
    </w:p>
    <w:p w14:paraId="1CEBABA3" w14:textId="77777777" w:rsidR="00000000" w:rsidRDefault="00000000">
      <w:pPr>
        <w:ind w:firstLine="0"/>
        <w:jc w:val="center"/>
        <w:rPr>
          <w:sz w:val="21"/>
          <w:szCs w:val="21"/>
        </w:rPr>
      </w:pPr>
      <w:r>
        <w:rPr>
          <w:rFonts w:hint="eastAsia"/>
          <w:sz w:val="21"/>
          <w:szCs w:val="21"/>
        </w:rPr>
        <w:t>图</w:t>
      </w:r>
      <w:r>
        <w:rPr>
          <w:rFonts w:hint="eastAsia"/>
          <w:sz w:val="21"/>
          <w:szCs w:val="21"/>
        </w:rPr>
        <w:t>3-1 M</w:t>
      </w:r>
      <w:r>
        <w:rPr>
          <w:rFonts w:hint="eastAsia"/>
          <w:sz w:val="21"/>
          <w:szCs w:val="21"/>
        </w:rPr>
        <w:t>公司轻资产运营模式图</w:t>
      </w:r>
    </w:p>
    <w:p w14:paraId="18245CC4" w14:textId="77777777" w:rsidR="00000000" w:rsidRDefault="00000000">
      <w:pPr>
        <w:spacing w:line="400" w:lineRule="exact"/>
        <w:ind w:firstLineChars="200" w:firstLine="486"/>
        <w:rPr>
          <w:rFonts w:ascii="宋体" w:hAnsi="宋体" w:cs="宋体"/>
        </w:rPr>
      </w:pPr>
    </w:p>
    <w:p w14:paraId="460788CB" w14:textId="77777777" w:rsidR="00000000" w:rsidRDefault="00000000">
      <w:pPr>
        <w:pStyle w:val="afd"/>
        <w:ind w:firstLine="486"/>
        <w:rPr>
          <w:color w:val="auto"/>
        </w:rPr>
      </w:pPr>
      <w:r>
        <w:rPr>
          <w:rFonts w:hint="eastAsia"/>
          <w:color w:val="auto"/>
        </w:rPr>
        <w:t>M公司构建了以企划为核心的轻资产运营体系，其商业模式创新体现在五个维度：</w:t>
      </w:r>
    </w:p>
    <w:p w14:paraId="2A17B96D" w14:textId="77777777" w:rsidR="00000000" w:rsidRDefault="00000000">
      <w:pPr>
        <w:pStyle w:val="afd"/>
        <w:numPr>
          <w:ilvl w:val="0"/>
          <w:numId w:val="27"/>
        </w:numPr>
        <w:ind w:firstLineChars="0"/>
        <w:rPr>
          <w:color w:val="auto"/>
        </w:rPr>
      </w:pPr>
      <w:bookmarkStart w:id="65" w:name="_Toc8940"/>
      <w:r>
        <w:rPr>
          <w:rFonts w:hint="eastAsia"/>
          <w:color w:val="000000"/>
        </w:rPr>
        <w:t xml:space="preserve">需求驱动的产品开发机制 </w:t>
      </w:r>
    </w:p>
    <w:p w14:paraId="6B3150BA" w14:textId="77777777" w:rsidR="00000000" w:rsidRDefault="00000000">
      <w:pPr>
        <w:pStyle w:val="afd"/>
        <w:ind w:firstLine="486"/>
        <w:rPr>
          <w:rFonts w:cs="宋体" w:hint="eastAsia"/>
          <w:color w:val="auto"/>
          <w:lang w:bidi="ar"/>
        </w:rPr>
      </w:pPr>
      <w:r>
        <w:rPr>
          <w:rFonts w:cs="宋体" w:hint="eastAsia"/>
          <w:color w:val="auto"/>
          <w:lang w:bidi="ar"/>
        </w:rPr>
        <w:t>企业建立动态企划管理系统，建设智能化决策平台支持“趋势决策-设计研发-市场测试-加速调整”的动态企划。基于消费者行为大数据分析用户需求，结合A/B实验以及实时动态市场信息优化产品组合，实现“动态企划-柔性生产-快速协同”的供应链联动。</w:t>
      </w:r>
    </w:p>
    <w:p w14:paraId="5DF2F05F" w14:textId="77777777" w:rsidR="00000000" w:rsidRDefault="00000000">
      <w:pPr>
        <w:pStyle w:val="afd"/>
        <w:numPr>
          <w:ilvl w:val="0"/>
          <w:numId w:val="27"/>
        </w:numPr>
        <w:ind w:firstLineChars="0"/>
        <w:rPr>
          <w:color w:val="auto"/>
        </w:rPr>
      </w:pPr>
      <w:r>
        <w:rPr>
          <w:rFonts w:hint="eastAsia"/>
          <w:color w:val="auto"/>
        </w:rPr>
        <w:t xml:space="preserve">混合采购与订单管理创新                                          </w:t>
      </w:r>
      <w:r>
        <w:rPr>
          <w:rFonts w:hint="eastAsia"/>
          <w:color w:val="000000"/>
        </w:rPr>
        <w:t>采用“双轨道”订购会模式，实行买断销售和代销模式相结合，</w:t>
      </w:r>
      <w:r>
        <w:rPr>
          <w:rFonts w:hint="eastAsia"/>
          <w:color w:val="auto"/>
        </w:rPr>
        <w:t>构建风险共</w:t>
      </w:r>
      <w:r>
        <w:rPr>
          <w:rFonts w:hint="eastAsia"/>
          <w:color w:val="auto"/>
        </w:rPr>
        <w:lastRenderedPageBreak/>
        <w:t>担的经销商网络。</w:t>
      </w:r>
      <w:r>
        <w:rPr>
          <w:rFonts w:hint="eastAsia"/>
          <w:color w:val="000000"/>
        </w:rPr>
        <w:t>这样既可以促进新品快速上市，又能根据订单反馈调整生产计划，推动存货周转率上升，平抑买卖不稳定现象。</w:t>
      </w:r>
    </w:p>
    <w:p w14:paraId="4BFC4FA4" w14:textId="77777777" w:rsidR="00000000" w:rsidRDefault="00000000">
      <w:pPr>
        <w:pStyle w:val="afd"/>
        <w:numPr>
          <w:ilvl w:val="0"/>
          <w:numId w:val="27"/>
        </w:numPr>
        <w:ind w:firstLineChars="0"/>
        <w:rPr>
          <w:color w:val="auto"/>
        </w:rPr>
      </w:pPr>
      <w:r>
        <w:rPr>
          <w:rFonts w:hint="eastAsia"/>
          <w:color w:val="000000"/>
        </w:rPr>
        <w:t>弹性生产网络构建</w:t>
      </w:r>
    </w:p>
    <w:p w14:paraId="29882C55" w14:textId="77777777" w:rsidR="00000000" w:rsidRDefault="00000000">
      <w:pPr>
        <w:pStyle w:val="afd"/>
        <w:ind w:firstLine="486"/>
        <w:rPr>
          <w:color w:val="auto"/>
        </w:rPr>
      </w:pPr>
      <w:r>
        <w:rPr>
          <w:rFonts w:hint="eastAsia"/>
          <w:color w:val="000000"/>
        </w:rPr>
        <w:t>采取“自产+外包”战略生产布局，建立供应商协同管理平台（SCP）。通过ERP系统实现产能智能匹配，形成“</w:t>
      </w:r>
      <w:r>
        <w:rPr>
          <w:rFonts w:hint="eastAsia"/>
          <w:color w:val="auto"/>
        </w:rPr>
        <w:t>需求预测-产能调度-质量监控</w:t>
      </w:r>
      <w:r>
        <w:rPr>
          <w:rFonts w:hint="eastAsia"/>
          <w:color w:val="000000"/>
        </w:rPr>
        <w:t>”的闭环化生产管理。与12个供应商建立战略合作关系，</w:t>
      </w:r>
      <w:r>
        <w:rPr>
          <w:rFonts w:hint="eastAsia"/>
          <w:color w:val="auto"/>
        </w:rPr>
        <w:t>关键物料标准化率达85%，确保品质稳定性与成本可控性</w:t>
      </w:r>
      <w:r>
        <w:rPr>
          <w:rFonts w:hint="eastAsia"/>
          <w:color w:val="000000"/>
        </w:rPr>
        <w:t>。</w:t>
      </w:r>
    </w:p>
    <w:p w14:paraId="681985FA" w14:textId="77777777" w:rsidR="00000000" w:rsidRDefault="00000000">
      <w:pPr>
        <w:pStyle w:val="afd"/>
        <w:numPr>
          <w:ilvl w:val="0"/>
          <w:numId w:val="27"/>
        </w:numPr>
        <w:ind w:firstLineChars="0"/>
        <w:rPr>
          <w:rFonts w:cs="宋体" w:hint="eastAsia"/>
          <w:color w:val="auto"/>
          <w:lang w:bidi="ar"/>
        </w:rPr>
      </w:pPr>
      <w:r>
        <w:rPr>
          <w:rFonts w:hint="eastAsia"/>
          <w:color w:val="000000"/>
        </w:rPr>
        <w:t xml:space="preserve">全渠道零售生态系统                                              </w:t>
      </w:r>
      <w:r>
        <w:rPr>
          <w:rFonts w:cs="宋体" w:hint="eastAsia"/>
          <w:color w:val="auto"/>
          <w:lang w:bidi="ar"/>
        </w:rPr>
        <w:t>构建“线上+线下+社交”三维营销矩阵，数字化转型加速，社媒营销投入ROI达1:3.2。直营店标准化运营模板输出使加盟店存活率提升18%，O2O模式实现线上线下流量互导，客单价同比提升27%。</w:t>
      </w:r>
    </w:p>
    <w:p w14:paraId="3635C480" w14:textId="77777777" w:rsidR="00000000" w:rsidRDefault="00000000">
      <w:pPr>
        <w:pStyle w:val="afd"/>
        <w:numPr>
          <w:ilvl w:val="0"/>
          <w:numId w:val="27"/>
        </w:numPr>
        <w:ind w:firstLineChars="0"/>
        <w:rPr>
          <w:color w:val="auto"/>
        </w:rPr>
      </w:pPr>
      <w:r>
        <w:rPr>
          <w:rFonts w:hint="eastAsia"/>
          <w:color w:val="000000"/>
        </w:rPr>
        <w:t>数据驱动的运营中枢</w:t>
      </w:r>
    </w:p>
    <w:p w14:paraId="47C045EE" w14:textId="77777777" w:rsidR="00000000" w:rsidRDefault="00000000">
      <w:pPr>
        <w:pStyle w:val="afd"/>
        <w:ind w:firstLine="486"/>
        <w:rPr>
          <w:color w:val="auto"/>
        </w:rPr>
      </w:pPr>
      <w:r>
        <w:rPr>
          <w:rFonts w:cs="宋体" w:hint="eastAsia"/>
          <w:color w:val="auto"/>
          <w:lang w:bidi="ar"/>
        </w:rPr>
        <w:t>搭建商业智能平台（BIP），整合POS、CRM和供应链平台的数据，形成“数据采集-分析决策-执行反馈”的价值链闭环。该商业模式使用机器学习算法改变补货模式，使得库存成本降低15%，需求预测准确率提升到89%。这种模式打破了传统的服装产业价值链，重新排列价值链中要素的权重，资源向“微笑曲线”的两端环节有效倾斜，形成“</w:t>
      </w:r>
      <w:r>
        <w:rPr>
          <w:rFonts w:hint="eastAsia"/>
          <w:color w:val="auto"/>
        </w:rPr>
        <w:t>企划牵引、数据赋能、渠道裂变</w:t>
      </w:r>
      <w:r>
        <w:rPr>
          <w:rFonts w:cs="宋体" w:hint="eastAsia"/>
          <w:color w:val="auto"/>
          <w:lang w:bidi="ar"/>
        </w:rPr>
        <w:t>”的轻资产运作模式。其商业价值在于将</w:t>
      </w:r>
      <w:r>
        <w:rPr>
          <w:rFonts w:hint="eastAsia"/>
          <w:color w:val="auto"/>
        </w:rPr>
        <w:t>以数据资产替代重资产投入，通过流程再造实现资源效率最大化，为服装行业转型升级提供实践样本。</w:t>
      </w:r>
    </w:p>
    <w:p w14:paraId="364796B9" w14:textId="77777777" w:rsidR="00000000" w:rsidRDefault="00000000">
      <w:pPr>
        <w:pStyle w:val="afc"/>
        <w:numPr>
          <w:ilvl w:val="0"/>
          <w:numId w:val="26"/>
        </w:numPr>
        <w:tabs>
          <w:tab w:val="left" w:pos="0"/>
        </w:tabs>
        <w:spacing w:before="207"/>
        <w:ind w:firstLine="567"/>
      </w:pPr>
      <w:bookmarkStart w:id="66" w:name="_Toc6328"/>
      <w:r>
        <w:rPr>
          <w:rFonts w:hint="eastAsia"/>
        </w:rPr>
        <w:t>M公司轻资产运营模式的财务特征</w:t>
      </w:r>
      <w:bookmarkEnd w:id="65"/>
      <w:bookmarkEnd w:id="66"/>
    </w:p>
    <w:p w14:paraId="736E1A2F" w14:textId="77777777" w:rsidR="00000000" w:rsidRDefault="00000000">
      <w:pPr>
        <w:pStyle w:val="afd"/>
        <w:numPr>
          <w:ilvl w:val="0"/>
          <w:numId w:val="28"/>
        </w:numPr>
        <w:ind w:firstLineChars="0"/>
        <w:rPr>
          <w:color w:val="auto"/>
        </w:rPr>
      </w:pPr>
      <w:r>
        <w:rPr>
          <w:rFonts w:hint="eastAsia"/>
          <w:color w:val="auto"/>
        </w:rPr>
        <w:t>货币资金占比较多</w:t>
      </w:r>
    </w:p>
    <w:p w14:paraId="61EF7B40" w14:textId="77777777" w:rsidR="00000000" w:rsidRDefault="00000000">
      <w:pPr>
        <w:pStyle w:val="afd"/>
        <w:ind w:firstLine="486"/>
        <w:rPr>
          <w:color w:val="auto"/>
        </w:rPr>
      </w:pPr>
      <w:r>
        <w:rPr>
          <w:rFonts w:hint="eastAsia"/>
          <w:color w:val="auto"/>
        </w:rPr>
        <w:t>现金及现金等价物作为流动性最强的资产项目，其持有规模受企业运营战略、市场环境波动、财务健康状况及行业特性等多重因素共同影响。在服装行业特别是轻资产运营模式下，由于产品生命周期短、市场需求变化快且受季节性消费特征显著，为缓冲外部冲击，企业倾向于持有较高比例的现金资产。</w:t>
      </w:r>
    </w:p>
    <w:p w14:paraId="3B5841F5" w14:textId="77777777" w:rsidR="00000000" w:rsidRDefault="00000000">
      <w:pPr>
        <w:pStyle w:val="afd"/>
        <w:ind w:firstLine="486"/>
        <w:rPr>
          <w:rFonts w:hint="eastAsia"/>
          <w:color w:val="auto"/>
        </w:rPr>
      </w:pPr>
      <w:r>
        <w:rPr>
          <w:rFonts w:hint="eastAsia"/>
          <w:color w:val="auto"/>
        </w:rPr>
        <w:t>通过对M公司2020-2024年的财务报表分析（见表3-1），发现该时期企业货币资金在流动资产中持续保持约20%的高占比。值得注意的是，自2014年实施“实业+投资”的战略转型以来，M公司在拓展财务投资业务的同时，仍维持了充裕的现金储备。即使在货币资金占比最低的2024年，公司仍持有货币资金92444.89万元。这种财务策略不仅保障了企业主营业务的稳健运营，更为战略投资和新业务拓展提供了必要的资金支持，这充分印证了轻资产运营企业通过优化资本结构，以维持高度财务弹性的战略意图。</w:t>
      </w:r>
    </w:p>
    <w:p w14:paraId="43E72992" w14:textId="77777777" w:rsidR="00000000" w:rsidRDefault="00000000">
      <w:pPr>
        <w:widowControl/>
        <w:tabs>
          <w:tab w:val="left" w:pos="1549"/>
        </w:tabs>
        <w:spacing w:beforeLines="50" w:before="207" w:afterLines="50" w:after="207"/>
        <w:ind w:firstLine="0"/>
        <w:jc w:val="center"/>
        <w:rPr>
          <w:rFonts w:ascii="宋体" w:hAnsi="宋体" w:cs="宋体"/>
          <w:kern w:val="0"/>
          <w:sz w:val="21"/>
          <w:szCs w:val="21"/>
          <w:lang w:bidi="ar"/>
        </w:rPr>
      </w:pPr>
      <w:r>
        <w:rPr>
          <w:rFonts w:ascii="宋体" w:hAnsi="宋体" w:cs="宋体" w:hint="eastAsia"/>
          <w:kern w:val="0"/>
          <w:sz w:val="21"/>
          <w:szCs w:val="21"/>
          <w:lang w:bidi="ar"/>
        </w:rPr>
        <w:lastRenderedPageBreak/>
        <w:t>表3-1M公司2020-2024年度货币资金情况</w:t>
      </w:r>
    </w:p>
    <w:tbl>
      <w:tblPr>
        <w:tblW w:w="8699"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6" w:type="dxa"/>
          <w:left w:w="96" w:type="dxa"/>
          <w:bottom w:w="56" w:type="dxa"/>
          <w:right w:w="96" w:type="dxa"/>
        </w:tblCellMar>
        <w:tblLook w:val="0000" w:firstRow="0" w:lastRow="0" w:firstColumn="0" w:lastColumn="0" w:noHBand="0" w:noVBand="0"/>
      </w:tblPr>
      <w:tblGrid>
        <w:gridCol w:w="2569"/>
        <w:gridCol w:w="1226"/>
        <w:gridCol w:w="1226"/>
        <w:gridCol w:w="1226"/>
        <w:gridCol w:w="1226"/>
        <w:gridCol w:w="1226"/>
      </w:tblGrid>
      <w:tr w:rsidR="00000000" w14:paraId="6D1BF6C0" w14:textId="77777777">
        <w:trPr>
          <w:tblHeader/>
          <w:jc w:val="center"/>
        </w:trPr>
        <w:tc>
          <w:tcPr>
            <w:tcW w:w="2569" w:type="dxa"/>
            <w:tcBorders>
              <w:top w:val="single" w:sz="12" w:space="0" w:color="000000"/>
              <w:left w:val="nil"/>
              <w:bottom w:val="single" w:sz="4" w:space="0" w:color="000000"/>
              <w:right w:val="nil"/>
            </w:tcBorders>
            <w:vAlign w:val="center"/>
          </w:tcPr>
          <w:p w14:paraId="1632B084" w14:textId="77777777" w:rsidR="00000000" w:rsidRDefault="00000000">
            <w:pPr>
              <w:widowControl/>
              <w:snapToGrid w:val="0"/>
              <w:ind w:firstLine="0"/>
              <w:jc w:val="center"/>
              <w:rPr>
                <w:rFonts w:ascii="宋体" w:hAnsi="宋体" w:cs="宋体"/>
                <w:b/>
                <w:bCs/>
                <w:sz w:val="21"/>
                <w:szCs w:val="21"/>
              </w:rPr>
            </w:pPr>
            <w:r>
              <w:rPr>
                <w:rFonts w:ascii="宋体" w:hAnsi="宋体" w:cs="宋体" w:hint="eastAsia"/>
                <w:b/>
                <w:bCs/>
                <w:sz w:val="21"/>
                <w:szCs w:val="21"/>
              </w:rPr>
              <w:t>项目</w:t>
            </w:r>
          </w:p>
        </w:tc>
        <w:tc>
          <w:tcPr>
            <w:tcW w:w="1226" w:type="dxa"/>
            <w:tcBorders>
              <w:top w:val="single" w:sz="12" w:space="0" w:color="000000"/>
              <w:left w:val="nil"/>
              <w:bottom w:val="single" w:sz="4" w:space="0" w:color="000000"/>
              <w:right w:val="nil"/>
            </w:tcBorders>
            <w:vAlign w:val="center"/>
          </w:tcPr>
          <w:p w14:paraId="31AA6FB3" w14:textId="77777777" w:rsidR="00000000" w:rsidRDefault="00000000">
            <w:pPr>
              <w:widowControl/>
              <w:snapToGrid w:val="0"/>
              <w:ind w:firstLine="0"/>
              <w:jc w:val="center"/>
              <w:rPr>
                <w:rFonts w:ascii="宋体" w:hAnsi="宋体" w:cs="宋体"/>
                <w:b/>
                <w:bCs/>
                <w:sz w:val="21"/>
                <w:szCs w:val="21"/>
              </w:rPr>
            </w:pPr>
            <w:r>
              <w:rPr>
                <w:rFonts w:ascii="宋体" w:hAnsi="宋体" w:cs="宋体" w:hint="eastAsia"/>
                <w:b/>
                <w:bCs/>
                <w:sz w:val="21"/>
                <w:szCs w:val="21"/>
              </w:rPr>
              <w:t>2020年</w:t>
            </w:r>
          </w:p>
        </w:tc>
        <w:tc>
          <w:tcPr>
            <w:tcW w:w="1226" w:type="dxa"/>
            <w:tcBorders>
              <w:top w:val="single" w:sz="12" w:space="0" w:color="000000"/>
              <w:left w:val="nil"/>
              <w:bottom w:val="single" w:sz="4" w:space="0" w:color="000000"/>
              <w:right w:val="nil"/>
            </w:tcBorders>
            <w:vAlign w:val="center"/>
          </w:tcPr>
          <w:p w14:paraId="728C0542" w14:textId="77777777" w:rsidR="00000000" w:rsidRDefault="00000000">
            <w:pPr>
              <w:widowControl/>
              <w:snapToGrid w:val="0"/>
              <w:ind w:firstLine="0"/>
              <w:jc w:val="center"/>
              <w:rPr>
                <w:rFonts w:ascii="宋体" w:hAnsi="宋体" w:cs="宋体"/>
                <w:b/>
                <w:bCs/>
                <w:sz w:val="21"/>
                <w:szCs w:val="21"/>
              </w:rPr>
            </w:pPr>
            <w:r>
              <w:rPr>
                <w:rFonts w:ascii="宋体" w:hAnsi="宋体" w:cs="宋体" w:hint="eastAsia"/>
                <w:b/>
                <w:bCs/>
                <w:sz w:val="21"/>
                <w:szCs w:val="21"/>
              </w:rPr>
              <w:t>2021年</w:t>
            </w:r>
          </w:p>
        </w:tc>
        <w:tc>
          <w:tcPr>
            <w:tcW w:w="1226" w:type="dxa"/>
            <w:tcBorders>
              <w:top w:val="single" w:sz="12" w:space="0" w:color="000000"/>
              <w:left w:val="nil"/>
              <w:bottom w:val="single" w:sz="4" w:space="0" w:color="000000"/>
              <w:right w:val="nil"/>
            </w:tcBorders>
            <w:vAlign w:val="center"/>
          </w:tcPr>
          <w:p w14:paraId="00B2B003" w14:textId="77777777" w:rsidR="00000000" w:rsidRDefault="00000000">
            <w:pPr>
              <w:widowControl/>
              <w:snapToGrid w:val="0"/>
              <w:ind w:firstLine="0"/>
              <w:jc w:val="center"/>
              <w:rPr>
                <w:rFonts w:ascii="宋体" w:hAnsi="宋体" w:cs="宋体"/>
                <w:b/>
                <w:bCs/>
                <w:sz w:val="21"/>
                <w:szCs w:val="21"/>
              </w:rPr>
            </w:pPr>
            <w:r>
              <w:rPr>
                <w:rFonts w:ascii="宋体" w:hAnsi="宋体" w:cs="宋体" w:hint="eastAsia"/>
                <w:b/>
                <w:bCs/>
                <w:sz w:val="21"/>
                <w:szCs w:val="21"/>
              </w:rPr>
              <w:t>2022年</w:t>
            </w:r>
          </w:p>
        </w:tc>
        <w:tc>
          <w:tcPr>
            <w:tcW w:w="1226" w:type="dxa"/>
            <w:tcBorders>
              <w:top w:val="single" w:sz="12" w:space="0" w:color="000000"/>
              <w:left w:val="nil"/>
              <w:bottom w:val="single" w:sz="4" w:space="0" w:color="000000"/>
              <w:right w:val="nil"/>
            </w:tcBorders>
            <w:vAlign w:val="center"/>
          </w:tcPr>
          <w:p w14:paraId="62172074" w14:textId="77777777" w:rsidR="00000000" w:rsidRDefault="00000000">
            <w:pPr>
              <w:widowControl/>
              <w:snapToGrid w:val="0"/>
              <w:ind w:firstLine="0"/>
              <w:jc w:val="center"/>
              <w:rPr>
                <w:rFonts w:ascii="宋体" w:hAnsi="宋体" w:cs="宋体"/>
                <w:b/>
                <w:bCs/>
                <w:sz w:val="21"/>
                <w:szCs w:val="21"/>
              </w:rPr>
            </w:pPr>
            <w:r>
              <w:rPr>
                <w:rFonts w:ascii="宋体" w:hAnsi="宋体" w:cs="宋体" w:hint="eastAsia"/>
                <w:b/>
                <w:bCs/>
                <w:sz w:val="21"/>
                <w:szCs w:val="21"/>
              </w:rPr>
              <w:t>2023年</w:t>
            </w:r>
          </w:p>
        </w:tc>
        <w:tc>
          <w:tcPr>
            <w:tcW w:w="1226" w:type="dxa"/>
            <w:tcBorders>
              <w:top w:val="single" w:sz="12" w:space="0" w:color="000000"/>
              <w:left w:val="nil"/>
              <w:bottom w:val="single" w:sz="4" w:space="0" w:color="000000"/>
              <w:right w:val="nil"/>
            </w:tcBorders>
            <w:vAlign w:val="center"/>
          </w:tcPr>
          <w:p w14:paraId="2C44F948" w14:textId="77777777" w:rsidR="00000000" w:rsidRDefault="00000000">
            <w:pPr>
              <w:widowControl/>
              <w:snapToGrid w:val="0"/>
              <w:ind w:firstLine="0"/>
              <w:jc w:val="center"/>
              <w:rPr>
                <w:rFonts w:ascii="宋体" w:hAnsi="宋体" w:cs="宋体"/>
                <w:b/>
                <w:bCs/>
                <w:sz w:val="21"/>
                <w:szCs w:val="21"/>
              </w:rPr>
            </w:pPr>
            <w:r>
              <w:rPr>
                <w:rFonts w:ascii="宋体" w:hAnsi="宋体" w:cs="宋体" w:hint="eastAsia"/>
                <w:b/>
                <w:bCs/>
                <w:sz w:val="21"/>
                <w:szCs w:val="21"/>
              </w:rPr>
              <w:t>2024年</w:t>
            </w:r>
          </w:p>
        </w:tc>
      </w:tr>
      <w:tr w:rsidR="00000000" w14:paraId="50B32B57" w14:textId="77777777">
        <w:trPr>
          <w:jc w:val="center"/>
        </w:trPr>
        <w:tc>
          <w:tcPr>
            <w:tcW w:w="2569" w:type="dxa"/>
            <w:tcBorders>
              <w:top w:val="single" w:sz="4" w:space="0" w:color="000000"/>
              <w:left w:val="nil"/>
              <w:bottom w:val="nil"/>
              <w:right w:val="nil"/>
            </w:tcBorders>
            <w:vAlign w:val="center"/>
          </w:tcPr>
          <w:p w14:paraId="64D61B69" w14:textId="77777777" w:rsidR="00000000" w:rsidRDefault="00000000">
            <w:pPr>
              <w:widowControl/>
              <w:snapToGrid w:val="0"/>
              <w:spacing w:line="360" w:lineRule="auto"/>
              <w:ind w:leftChars="-32" w:left="-78" w:firstLine="0"/>
              <w:jc w:val="center"/>
              <w:rPr>
                <w:rFonts w:ascii="宋体" w:hAnsi="宋体" w:cs="宋体"/>
                <w:sz w:val="21"/>
                <w:szCs w:val="21"/>
              </w:rPr>
            </w:pPr>
            <w:r>
              <w:rPr>
                <w:rFonts w:ascii="宋体" w:hAnsi="宋体" w:cs="宋体" w:hint="eastAsia"/>
                <w:sz w:val="21"/>
                <w:szCs w:val="21"/>
              </w:rPr>
              <w:t>货币资金</w:t>
            </w:r>
          </w:p>
          <w:p w14:paraId="04E66822" w14:textId="77777777" w:rsidR="00000000" w:rsidRDefault="00000000">
            <w:pPr>
              <w:widowControl/>
              <w:snapToGrid w:val="0"/>
              <w:spacing w:line="360" w:lineRule="auto"/>
              <w:ind w:leftChars="-41" w:left="-100" w:firstLine="0"/>
              <w:jc w:val="center"/>
              <w:rPr>
                <w:rFonts w:ascii="宋体" w:hAnsi="宋体" w:cs="宋体"/>
                <w:sz w:val="21"/>
                <w:szCs w:val="21"/>
              </w:rPr>
            </w:pPr>
            <w:r>
              <w:rPr>
                <w:rFonts w:ascii="宋体" w:hAnsi="宋体" w:cs="宋体" w:hint="eastAsia"/>
                <w:sz w:val="21"/>
                <w:szCs w:val="21"/>
              </w:rPr>
              <w:t>（万元）</w:t>
            </w:r>
          </w:p>
        </w:tc>
        <w:tc>
          <w:tcPr>
            <w:tcW w:w="1226" w:type="dxa"/>
            <w:tcBorders>
              <w:top w:val="single" w:sz="4" w:space="0" w:color="000000"/>
              <w:left w:val="nil"/>
              <w:bottom w:val="nil"/>
              <w:right w:val="nil"/>
            </w:tcBorders>
            <w:vAlign w:val="center"/>
          </w:tcPr>
          <w:p w14:paraId="1635A3CA" w14:textId="77777777" w:rsidR="00000000" w:rsidRDefault="00000000">
            <w:pPr>
              <w:widowControl/>
              <w:snapToGrid w:val="0"/>
              <w:spacing w:line="360" w:lineRule="auto"/>
              <w:ind w:firstLine="0"/>
              <w:jc w:val="right"/>
              <w:rPr>
                <w:rFonts w:ascii="宋体" w:hAnsi="宋体" w:cs="宋体"/>
                <w:sz w:val="21"/>
                <w:szCs w:val="21"/>
              </w:rPr>
            </w:pPr>
            <w:r>
              <w:rPr>
                <w:rFonts w:ascii="宋体" w:hAnsi="宋体" w:cs="宋体" w:hint="eastAsia"/>
                <w:sz w:val="21"/>
                <w:szCs w:val="21"/>
              </w:rPr>
              <w:t>130116.47</w:t>
            </w:r>
          </w:p>
        </w:tc>
        <w:tc>
          <w:tcPr>
            <w:tcW w:w="1226" w:type="dxa"/>
            <w:tcBorders>
              <w:top w:val="single" w:sz="4" w:space="0" w:color="000000"/>
              <w:left w:val="nil"/>
              <w:bottom w:val="nil"/>
              <w:right w:val="nil"/>
            </w:tcBorders>
            <w:vAlign w:val="center"/>
          </w:tcPr>
          <w:p w14:paraId="22D94225" w14:textId="77777777" w:rsidR="00000000" w:rsidRDefault="00000000">
            <w:pPr>
              <w:widowControl/>
              <w:snapToGrid w:val="0"/>
              <w:spacing w:line="360" w:lineRule="auto"/>
              <w:ind w:firstLine="0"/>
              <w:jc w:val="right"/>
              <w:rPr>
                <w:rFonts w:ascii="宋体" w:hAnsi="宋体" w:cs="宋体"/>
                <w:sz w:val="21"/>
                <w:szCs w:val="21"/>
              </w:rPr>
            </w:pPr>
            <w:r>
              <w:rPr>
                <w:rFonts w:ascii="宋体" w:hAnsi="宋体" w:cs="宋体" w:hint="eastAsia"/>
                <w:sz w:val="21"/>
                <w:szCs w:val="21"/>
              </w:rPr>
              <w:t>158171.13</w:t>
            </w:r>
          </w:p>
        </w:tc>
        <w:tc>
          <w:tcPr>
            <w:tcW w:w="1226" w:type="dxa"/>
            <w:tcBorders>
              <w:top w:val="single" w:sz="4" w:space="0" w:color="000000"/>
              <w:left w:val="nil"/>
              <w:bottom w:val="nil"/>
              <w:right w:val="nil"/>
            </w:tcBorders>
            <w:vAlign w:val="center"/>
          </w:tcPr>
          <w:p w14:paraId="03CB3D0B" w14:textId="77777777" w:rsidR="00000000" w:rsidRDefault="00000000">
            <w:pPr>
              <w:widowControl/>
              <w:snapToGrid w:val="0"/>
              <w:spacing w:line="360" w:lineRule="auto"/>
              <w:ind w:firstLine="0"/>
              <w:jc w:val="right"/>
              <w:rPr>
                <w:rFonts w:ascii="宋体" w:hAnsi="宋体" w:cs="宋体"/>
                <w:sz w:val="21"/>
                <w:szCs w:val="21"/>
              </w:rPr>
            </w:pPr>
            <w:r>
              <w:rPr>
                <w:rFonts w:ascii="宋体" w:hAnsi="宋体" w:cs="宋体" w:hint="eastAsia"/>
                <w:sz w:val="21"/>
                <w:szCs w:val="21"/>
              </w:rPr>
              <w:t>153383.91</w:t>
            </w:r>
          </w:p>
        </w:tc>
        <w:tc>
          <w:tcPr>
            <w:tcW w:w="1226" w:type="dxa"/>
            <w:tcBorders>
              <w:top w:val="single" w:sz="4" w:space="0" w:color="000000"/>
              <w:left w:val="nil"/>
              <w:bottom w:val="nil"/>
              <w:right w:val="nil"/>
            </w:tcBorders>
            <w:vAlign w:val="center"/>
          </w:tcPr>
          <w:p w14:paraId="26F179EF" w14:textId="77777777" w:rsidR="00000000" w:rsidRDefault="00000000">
            <w:pPr>
              <w:widowControl/>
              <w:snapToGrid w:val="0"/>
              <w:spacing w:line="360" w:lineRule="auto"/>
              <w:ind w:firstLine="0"/>
              <w:jc w:val="center"/>
              <w:rPr>
                <w:rFonts w:ascii="宋体" w:hAnsi="宋体" w:cs="宋体"/>
                <w:sz w:val="21"/>
                <w:szCs w:val="21"/>
              </w:rPr>
            </w:pPr>
            <w:r>
              <w:rPr>
                <w:rFonts w:ascii="宋体" w:hAnsi="宋体" w:cs="宋体" w:hint="eastAsia"/>
                <w:sz w:val="21"/>
                <w:szCs w:val="21"/>
              </w:rPr>
              <w:t>125490.52</w:t>
            </w:r>
          </w:p>
        </w:tc>
        <w:tc>
          <w:tcPr>
            <w:tcW w:w="1226" w:type="dxa"/>
            <w:tcBorders>
              <w:top w:val="single" w:sz="4" w:space="0" w:color="000000"/>
              <w:left w:val="nil"/>
              <w:bottom w:val="nil"/>
              <w:right w:val="nil"/>
            </w:tcBorders>
            <w:vAlign w:val="center"/>
          </w:tcPr>
          <w:p w14:paraId="18DF7C60" w14:textId="77777777" w:rsidR="00000000" w:rsidRDefault="00000000">
            <w:pPr>
              <w:widowControl/>
              <w:snapToGrid w:val="0"/>
              <w:spacing w:line="360" w:lineRule="auto"/>
              <w:ind w:firstLine="0"/>
              <w:jc w:val="center"/>
              <w:rPr>
                <w:rFonts w:ascii="宋体" w:hAnsi="宋体" w:cs="宋体"/>
                <w:sz w:val="21"/>
                <w:szCs w:val="21"/>
              </w:rPr>
            </w:pPr>
            <w:r>
              <w:rPr>
                <w:rFonts w:ascii="宋体" w:hAnsi="宋体" w:cs="宋体" w:hint="eastAsia"/>
                <w:sz w:val="21"/>
                <w:szCs w:val="21"/>
              </w:rPr>
              <w:t>92444.89</w:t>
            </w:r>
          </w:p>
        </w:tc>
      </w:tr>
      <w:tr w:rsidR="00000000" w14:paraId="19D156F9" w14:textId="77777777">
        <w:trPr>
          <w:jc w:val="center"/>
        </w:trPr>
        <w:tc>
          <w:tcPr>
            <w:tcW w:w="2569" w:type="dxa"/>
            <w:tcBorders>
              <w:top w:val="nil"/>
              <w:left w:val="nil"/>
              <w:bottom w:val="nil"/>
              <w:right w:val="nil"/>
            </w:tcBorders>
            <w:vAlign w:val="center"/>
          </w:tcPr>
          <w:p w14:paraId="049298DA" w14:textId="77777777" w:rsidR="00000000" w:rsidRDefault="00000000">
            <w:pPr>
              <w:widowControl/>
              <w:snapToGrid w:val="0"/>
              <w:spacing w:line="360" w:lineRule="auto"/>
              <w:ind w:firstLine="0"/>
              <w:jc w:val="center"/>
              <w:rPr>
                <w:rFonts w:ascii="宋体" w:hAnsi="宋体" w:cs="宋体"/>
                <w:sz w:val="21"/>
                <w:szCs w:val="21"/>
              </w:rPr>
            </w:pPr>
            <w:r>
              <w:rPr>
                <w:rFonts w:ascii="宋体" w:hAnsi="宋体" w:cs="宋体" w:hint="eastAsia"/>
                <w:sz w:val="21"/>
                <w:szCs w:val="21"/>
              </w:rPr>
              <w:t>流动资产</w:t>
            </w:r>
          </w:p>
          <w:p w14:paraId="06FE9A6C" w14:textId="77777777" w:rsidR="00000000" w:rsidRDefault="00000000">
            <w:pPr>
              <w:widowControl/>
              <w:snapToGrid w:val="0"/>
              <w:spacing w:line="360" w:lineRule="auto"/>
              <w:ind w:firstLine="0"/>
              <w:jc w:val="center"/>
              <w:rPr>
                <w:rFonts w:ascii="宋体" w:hAnsi="宋体" w:cs="宋体"/>
                <w:sz w:val="21"/>
                <w:szCs w:val="21"/>
              </w:rPr>
            </w:pPr>
            <w:r>
              <w:rPr>
                <w:rFonts w:ascii="宋体" w:hAnsi="宋体" w:cs="宋体" w:hint="eastAsia"/>
                <w:sz w:val="21"/>
                <w:szCs w:val="21"/>
              </w:rPr>
              <w:t>（万元）</w:t>
            </w:r>
          </w:p>
        </w:tc>
        <w:tc>
          <w:tcPr>
            <w:tcW w:w="1226" w:type="dxa"/>
            <w:tcBorders>
              <w:top w:val="nil"/>
              <w:left w:val="nil"/>
              <w:bottom w:val="nil"/>
              <w:right w:val="nil"/>
            </w:tcBorders>
            <w:vAlign w:val="center"/>
          </w:tcPr>
          <w:p w14:paraId="7076CFB0" w14:textId="77777777" w:rsidR="00000000" w:rsidRDefault="00000000">
            <w:pPr>
              <w:widowControl/>
              <w:snapToGrid w:val="0"/>
              <w:spacing w:line="360" w:lineRule="auto"/>
              <w:ind w:firstLine="0"/>
              <w:jc w:val="right"/>
              <w:rPr>
                <w:rFonts w:ascii="宋体" w:hAnsi="宋体" w:cs="宋体"/>
                <w:sz w:val="21"/>
                <w:szCs w:val="21"/>
              </w:rPr>
            </w:pPr>
            <w:r>
              <w:rPr>
                <w:rFonts w:ascii="宋体" w:hAnsi="宋体" w:cs="宋体" w:hint="eastAsia"/>
                <w:sz w:val="21"/>
                <w:szCs w:val="21"/>
              </w:rPr>
              <w:t>448404.98</w:t>
            </w:r>
          </w:p>
        </w:tc>
        <w:tc>
          <w:tcPr>
            <w:tcW w:w="1226" w:type="dxa"/>
            <w:tcBorders>
              <w:top w:val="nil"/>
              <w:left w:val="nil"/>
              <w:bottom w:val="nil"/>
              <w:right w:val="nil"/>
            </w:tcBorders>
            <w:vAlign w:val="center"/>
          </w:tcPr>
          <w:p w14:paraId="190A8475" w14:textId="77777777" w:rsidR="00000000" w:rsidRDefault="00000000">
            <w:pPr>
              <w:widowControl/>
              <w:snapToGrid w:val="0"/>
              <w:spacing w:line="360" w:lineRule="auto"/>
              <w:ind w:firstLine="0"/>
              <w:jc w:val="right"/>
              <w:rPr>
                <w:rFonts w:ascii="宋体" w:hAnsi="宋体" w:cs="宋体"/>
                <w:sz w:val="21"/>
                <w:szCs w:val="21"/>
              </w:rPr>
            </w:pPr>
            <w:r>
              <w:rPr>
                <w:rFonts w:ascii="宋体" w:hAnsi="宋体" w:cs="宋体" w:hint="eastAsia"/>
                <w:sz w:val="21"/>
                <w:szCs w:val="21"/>
              </w:rPr>
              <w:t>503992.05</w:t>
            </w:r>
          </w:p>
        </w:tc>
        <w:tc>
          <w:tcPr>
            <w:tcW w:w="1226" w:type="dxa"/>
            <w:tcBorders>
              <w:top w:val="nil"/>
              <w:left w:val="nil"/>
              <w:bottom w:val="nil"/>
              <w:right w:val="nil"/>
            </w:tcBorders>
            <w:vAlign w:val="center"/>
          </w:tcPr>
          <w:p w14:paraId="4388372C" w14:textId="77777777" w:rsidR="00000000" w:rsidRDefault="00000000">
            <w:pPr>
              <w:widowControl/>
              <w:snapToGrid w:val="0"/>
              <w:spacing w:line="360" w:lineRule="auto"/>
              <w:ind w:firstLine="0"/>
              <w:jc w:val="right"/>
              <w:rPr>
                <w:rFonts w:ascii="宋体" w:hAnsi="宋体" w:cs="宋体"/>
                <w:sz w:val="21"/>
                <w:szCs w:val="21"/>
              </w:rPr>
            </w:pPr>
            <w:r>
              <w:rPr>
                <w:rFonts w:ascii="宋体" w:hAnsi="宋体" w:cs="宋体" w:hint="eastAsia"/>
                <w:sz w:val="21"/>
                <w:szCs w:val="21"/>
              </w:rPr>
              <w:t>483216.08</w:t>
            </w:r>
          </w:p>
        </w:tc>
        <w:tc>
          <w:tcPr>
            <w:tcW w:w="1226" w:type="dxa"/>
            <w:tcBorders>
              <w:top w:val="nil"/>
              <w:left w:val="nil"/>
              <w:bottom w:val="nil"/>
              <w:right w:val="nil"/>
            </w:tcBorders>
            <w:vAlign w:val="center"/>
          </w:tcPr>
          <w:p w14:paraId="5BB97570" w14:textId="77777777" w:rsidR="00000000" w:rsidRDefault="00000000">
            <w:pPr>
              <w:widowControl/>
              <w:snapToGrid w:val="0"/>
              <w:spacing w:line="360" w:lineRule="auto"/>
              <w:ind w:firstLine="0"/>
              <w:jc w:val="center"/>
              <w:rPr>
                <w:rFonts w:ascii="宋体" w:hAnsi="宋体" w:cs="宋体"/>
                <w:sz w:val="21"/>
                <w:szCs w:val="21"/>
              </w:rPr>
            </w:pPr>
            <w:r>
              <w:rPr>
                <w:rFonts w:ascii="宋体" w:hAnsi="宋体" w:cs="宋体" w:hint="eastAsia"/>
                <w:sz w:val="21"/>
                <w:szCs w:val="21"/>
              </w:rPr>
              <w:t>573905.23</w:t>
            </w:r>
          </w:p>
        </w:tc>
        <w:tc>
          <w:tcPr>
            <w:tcW w:w="1226" w:type="dxa"/>
            <w:tcBorders>
              <w:top w:val="nil"/>
              <w:left w:val="nil"/>
              <w:bottom w:val="nil"/>
              <w:right w:val="nil"/>
            </w:tcBorders>
            <w:vAlign w:val="center"/>
          </w:tcPr>
          <w:p w14:paraId="74DB3D73" w14:textId="77777777" w:rsidR="00000000" w:rsidRDefault="00000000">
            <w:pPr>
              <w:widowControl/>
              <w:snapToGrid w:val="0"/>
              <w:spacing w:line="360" w:lineRule="auto"/>
              <w:ind w:firstLine="0"/>
              <w:jc w:val="center"/>
              <w:rPr>
                <w:rFonts w:ascii="宋体" w:hAnsi="宋体" w:cs="宋体"/>
                <w:sz w:val="21"/>
                <w:szCs w:val="21"/>
              </w:rPr>
            </w:pPr>
            <w:r>
              <w:rPr>
                <w:rFonts w:ascii="宋体" w:hAnsi="宋体" w:cs="宋体" w:hint="eastAsia"/>
                <w:sz w:val="21"/>
                <w:szCs w:val="21"/>
              </w:rPr>
              <w:t>616634.17</w:t>
            </w:r>
          </w:p>
        </w:tc>
      </w:tr>
      <w:tr w:rsidR="00000000" w14:paraId="72539A5F" w14:textId="77777777">
        <w:trPr>
          <w:jc w:val="center"/>
        </w:trPr>
        <w:tc>
          <w:tcPr>
            <w:tcW w:w="2569" w:type="dxa"/>
            <w:tcBorders>
              <w:top w:val="nil"/>
              <w:left w:val="nil"/>
              <w:bottom w:val="single" w:sz="12" w:space="0" w:color="000000"/>
              <w:right w:val="nil"/>
            </w:tcBorders>
            <w:vAlign w:val="center"/>
          </w:tcPr>
          <w:p w14:paraId="0F023B0B" w14:textId="77777777" w:rsidR="00000000" w:rsidRDefault="00000000">
            <w:pPr>
              <w:widowControl/>
              <w:snapToGrid w:val="0"/>
              <w:spacing w:line="360" w:lineRule="auto"/>
              <w:ind w:firstLine="0"/>
              <w:jc w:val="center"/>
              <w:rPr>
                <w:rFonts w:ascii="宋体" w:hAnsi="宋体" w:cs="宋体"/>
                <w:sz w:val="21"/>
                <w:szCs w:val="21"/>
              </w:rPr>
            </w:pPr>
            <w:r>
              <w:rPr>
                <w:rFonts w:ascii="宋体" w:hAnsi="宋体" w:cs="宋体" w:hint="eastAsia"/>
                <w:sz w:val="21"/>
                <w:szCs w:val="21"/>
              </w:rPr>
              <w:t>货币资金占流动资产比重</w:t>
            </w:r>
          </w:p>
        </w:tc>
        <w:tc>
          <w:tcPr>
            <w:tcW w:w="1226" w:type="dxa"/>
            <w:tcBorders>
              <w:top w:val="nil"/>
              <w:left w:val="nil"/>
              <w:bottom w:val="single" w:sz="12" w:space="0" w:color="000000"/>
              <w:right w:val="nil"/>
            </w:tcBorders>
            <w:vAlign w:val="center"/>
          </w:tcPr>
          <w:p w14:paraId="639FCB64" w14:textId="77777777" w:rsidR="00000000" w:rsidRDefault="00000000">
            <w:pPr>
              <w:widowControl/>
              <w:snapToGrid w:val="0"/>
              <w:spacing w:line="360" w:lineRule="auto"/>
              <w:ind w:firstLine="0"/>
              <w:jc w:val="right"/>
              <w:rPr>
                <w:rFonts w:ascii="宋体" w:hAnsi="宋体" w:cs="宋体"/>
                <w:sz w:val="21"/>
                <w:szCs w:val="21"/>
              </w:rPr>
            </w:pPr>
            <w:r>
              <w:rPr>
                <w:rFonts w:ascii="宋体" w:hAnsi="宋体" w:cs="宋体" w:hint="eastAsia"/>
                <w:sz w:val="21"/>
                <w:szCs w:val="21"/>
              </w:rPr>
              <w:t>29.02%</w:t>
            </w:r>
          </w:p>
        </w:tc>
        <w:tc>
          <w:tcPr>
            <w:tcW w:w="1226" w:type="dxa"/>
            <w:tcBorders>
              <w:top w:val="nil"/>
              <w:left w:val="nil"/>
              <w:bottom w:val="single" w:sz="12" w:space="0" w:color="000000"/>
              <w:right w:val="nil"/>
            </w:tcBorders>
            <w:vAlign w:val="center"/>
          </w:tcPr>
          <w:p w14:paraId="044AB697" w14:textId="77777777" w:rsidR="00000000" w:rsidRDefault="00000000">
            <w:pPr>
              <w:widowControl/>
              <w:snapToGrid w:val="0"/>
              <w:spacing w:line="360" w:lineRule="auto"/>
              <w:ind w:firstLine="0"/>
              <w:jc w:val="right"/>
              <w:rPr>
                <w:rFonts w:ascii="宋体" w:hAnsi="宋体" w:cs="宋体"/>
                <w:sz w:val="21"/>
                <w:szCs w:val="21"/>
              </w:rPr>
            </w:pPr>
            <w:r>
              <w:rPr>
                <w:rFonts w:ascii="宋体" w:hAnsi="宋体" w:cs="宋体" w:hint="eastAsia"/>
                <w:sz w:val="21"/>
                <w:szCs w:val="21"/>
              </w:rPr>
              <w:t>31.38%</w:t>
            </w:r>
          </w:p>
        </w:tc>
        <w:tc>
          <w:tcPr>
            <w:tcW w:w="1226" w:type="dxa"/>
            <w:tcBorders>
              <w:top w:val="nil"/>
              <w:left w:val="nil"/>
              <w:bottom w:val="single" w:sz="12" w:space="0" w:color="000000"/>
              <w:right w:val="nil"/>
            </w:tcBorders>
            <w:vAlign w:val="center"/>
          </w:tcPr>
          <w:p w14:paraId="414B6A9D" w14:textId="77777777" w:rsidR="00000000" w:rsidRDefault="00000000">
            <w:pPr>
              <w:widowControl/>
              <w:snapToGrid w:val="0"/>
              <w:spacing w:line="360" w:lineRule="auto"/>
              <w:ind w:firstLine="0"/>
              <w:jc w:val="right"/>
              <w:rPr>
                <w:rFonts w:ascii="宋体" w:hAnsi="宋体" w:cs="宋体"/>
                <w:sz w:val="21"/>
                <w:szCs w:val="21"/>
              </w:rPr>
            </w:pPr>
            <w:r>
              <w:rPr>
                <w:rFonts w:ascii="宋体" w:hAnsi="宋体" w:cs="宋体" w:hint="eastAsia"/>
                <w:sz w:val="21"/>
                <w:szCs w:val="21"/>
              </w:rPr>
              <w:t>31.74%</w:t>
            </w:r>
          </w:p>
        </w:tc>
        <w:tc>
          <w:tcPr>
            <w:tcW w:w="1226" w:type="dxa"/>
            <w:tcBorders>
              <w:top w:val="nil"/>
              <w:left w:val="nil"/>
              <w:bottom w:val="single" w:sz="12" w:space="0" w:color="000000"/>
              <w:right w:val="nil"/>
            </w:tcBorders>
            <w:vAlign w:val="center"/>
          </w:tcPr>
          <w:p w14:paraId="0545E5E0" w14:textId="77777777" w:rsidR="00000000" w:rsidRDefault="00000000">
            <w:pPr>
              <w:widowControl/>
              <w:snapToGrid w:val="0"/>
              <w:spacing w:line="360" w:lineRule="auto"/>
              <w:ind w:firstLine="0"/>
              <w:jc w:val="center"/>
              <w:rPr>
                <w:rFonts w:ascii="宋体" w:hAnsi="宋体" w:cs="宋体"/>
                <w:sz w:val="21"/>
                <w:szCs w:val="21"/>
              </w:rPr>
            </w:pPr>
            <w:r>
              <w:rPr>
                <w:rFonts w:ascii="宋体" w:hAnsi="宋体" w:cs="宋体" w:hint="eastAsia"/>
                <w:sz w:val="21"/>
                <w:szCs w:val="21"/>
              </w:rPr>
              <w:t>21.86%</w:t>
            </w:r>
          </w:p>
        </w:tc>
        <w:tc>
          <w:tcPr>
            <w:tcW w:w="1226" w:type="dxa"/>
            <w:tcBorders>
              <w:top w:val="nil"/>
              <w:left w:val="nil"/>
              <w:bottom w:val="single" w:sz="12" w:space="0" w:color="000000"/>
              <w:right w:val="nil"/>
            </w:tcBorders>
            <w:vAlign w:val="center"/>
          </w:tcPr>
          <w:p w14:paraId="659077DF" w14:textId="77777777" w:rsidR="00000000" w:rsidRDefault="00000000">
            <w:pPr>
              <w:widowControl/>
              <w:snapToGrid w:val="0"/>
              <w:spacing w:line="360" w:lineRule="auto"/>
              <w:ind w:firstLine="0"/>
              <w:jc w:val="center"/>
              <w:rPr>
                <w:rFonts w:ascii="宋体" w:hAnsi="宋体" w:cs="宋体"/>
                <w:sz w:val="21"/>
                <w:szCs w:val="21"/>
              </w:rPr>
            </w:pPr>
            <w:r>
              <w:rPr>
                <w:rFonts w:ascii="宋体" w:hAnsi="宋体" w:cs="宋体" w:hint="eastAsia"/>
                <w:sz w:val="21"/>
                <w:szCs w:val="21"/>
              </w:rPr>
              <w:t>14.99%</w:t>
            </w:r>
          </w:p>
        </w:tc>
      </w:tr>
    </w:tbl>
    <w:p w14:paraId="0C563217" w14:textId="77777777" w:rsidR="00000000" w:rsidRDefault="00000000">
      <w:pPr>
        <w:widowControl/>
        <w:tabs>
          <w:tab w:val="left" w:pos="1549"/>
        </w:tabs>
        <w:ind w:firstLine="0"/>
        <w:jc w:val="left"/>
        <w:rPr>
          <w:rFonts w:ascii="宋体" w:hAnsi="宋体" w:cs="宋体"/>
          <w:kern w:val="0"/>
          <w:sz w:val="21"/>
          <w:szCs w:val="21"/>
          <w:lang w:bidi="ar"/>
        </w:rPr>
      </w:pPr>
      <w:r>
        <w:rPr>
          <w:rFonts w:ascii="宋体" w:hAnsi="宋体" w:cs="宋体" w:hint="eastAsia"/>
          <w:kern w:val="0"/>
          <w:sz w:val="21"/>
          <w:szCs w:val="21"/>
          <w:lang w:bidi="ar"/>
        </w:rPr>
        <w:t>数据来源：M公司2020-2024年度报告</w:t>
      </w:r>
    </w:p>
    <w:p w14:paraId="61CC4E55" w14:textId="77777777" w:rsidR="00000000" w:rsidRDefault="00000000">
      <w:pPr>
        <w:pStyle w:val="afd"/>
        <w:numPr>
          <w:ilvl w:val="0"/>
          <w:numId w:val="28"/>
        </w:numPr>
        <w:ind w:firstLineChars="0"/>
        <w:rPr>
          <w:color w:val="auto"/>
          <w:szCs w:val="24"/>
        </w:rPr>
      </w:pPr>
      <w:r>
        <w:rPr>
          <w:rFonts w:hint="eastAsia"/>
          <w:color w:val="auto"/>
        </w:rPr>
        <w:t>销售</w:t>
      </w:r>
      <w:r>
        <w:rPr>
          <w:rFonts w:hint="eastAsia"/>
          <w:color w:val="auto"/>
          <w:szCs w:val="24"/>
        </w:rPr>
        <w:t>、管理费用</w:t>
      </w:r>
      <w:r>
        <w:rPr>
          <w:rFonts w:cs="宋体"/>
          <w:color w:val="auto"/>
          <w:szCs w:val="24"/>
        </w:rPr>
        <w:t>支出比重同比提高</w:t>
      </w:r>
    </w:p>
    <w:p w14:paraId="75E5F2A2" w14:textId="77777777" w:rsidR="00000000" w:rsidRDefault="00000000">
      <w:pPr>
        <w:pStyle w:val="afd"/>
        <w:ind w:firstLine="486"/>
        <w:rPr>
          <w:color w:val="auto"/>
        </w:rPr>
      </w:pPr>
      <w:r>
        <w:rPr>
          <w:rFonts w:hint="eastAsia"/>
          <w:color w:val="auto"/>
        </w:rPr>
        <w:t>在轻资产运营框架下，企业为强化核心竞争力，通常会实施战略性的资源再配置，将资本集中投向供应链中具有高附加值的关键环节。这种运营模式特别强调通过品牌建设、营销推广强化市场渗透，同时通过管理升级提升组织效能。这种资源配置策略在财务报告中体现为研发支出、销售成本及管理费用的显著增加，反映了企业在构建无形资产和扩大市场影响力方面的战略投入。</w:t>
      </w:r>
    </w:p>
    <w:p w14:paraId="119A364D" w14:textId="77777777" w:rsidR="00000000" w:rsidRDefault="00000000">
      <w:pPr>
        <w:pStyle w:val="afd"/>
        <w:ind w:firstLine="486"/>
        <w:rPr>
          <w:color w:val="auto"/>
        </w:rPr>
      </w:pPr>
      <w:r>
        <w:rPr>
          <w:rFonts w:hint="eastAsia"/>
          <w:color w:val="auto"/>
        </w:rPr>
        <w:t>以M公司为例，通过表3-2的数据分析可见，该企业采用线上线下融合的立体销售渠道策略，销售网络的激进扩张推高了期间费用，销售费用由2020年的7.40亿元大幅增长至2024年的10.55亿元。年均复合增长率达10.6%。通过强化品牌资产管理和物流体系优化，管理费用一直维持在25000万元。这种费用结构的变化轨迹，清晰地展现了轻资产运营模式下“费用驱动发展”的典型特征：即通过持续增加在品牌建设、渠道拓展和管理优化等领域的投入，实现市场份额的扩张和运营效能的提升，充分验证了轻资产战略通过战略性费用配置实现可持续发展的运营机理。</w:t>
      </w:r>
    </w:p>
    <w:p w14:paraId="6421EEC7" w14:textId="77777777" w:rsidR="00000000" w:rsidRDefault="00000000">
      <w:pPr>
        <w:widowControl/>
        <w:tabs>
          <w:tab w:val="left" w:pos="1549"/>
        </w:tabs>
        <w:spacing w:beforeLines="50" w:before="207" w:afterLines="50" w:after="207" w:line="400" w:lineRule="exact"/>
        <w:ind w:firstLine="0"/>
        <w:jc w:val="center"/>
        <w:rPr>
          <w:rFonts w:ascii="宋体" w:hAnsi="宋体" w:cs="宋体"/>
          <w:kern w:val="0"/>
          <w:sz w:val="21"/>
          <w:szCs w:val="21"/>
          <w:lang w:bidi="ar"/>
        </w:rPr>
      </w:pPr>
      <w:r>
        <w:rPr>
          <w:rFonts w:ascii="宋体" w:hAnsi="宋体" w:cs="宋体" w:hint="eastAsia"/>
          <w:kern w:val="0"/>
          <w:sz w:val="21"/>
          <w:szCs w:val="21"/>
          <w:lang w:bidi="ar"/>
        </w:rPr>
        <w:t>表3-2 M公司2020-2024年度费用情况表</w:t>
      </w:r>
    </w:p>
    <w:tbl>
      <w:tblPr>
        <w:tblW w:w="8818"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6" w:type="dxa"/>
          <w:left w:w="96" w:type="dxa"/>
          <w:bottom w:w="56" w:type="dxa"/>
          <w:right w:w="96" w:type="dxa"/>
        </w:tblCellMar>
        <w:tblLook w:val="0000" w:firstRow="0" w:lastRow="0" w:firstColumn="0" w:lastColumn="0" w:noHBand="0" w:noVBand="0"/>
      </w:tblPr>
      <w:tblGrid>
        <w:gridCol w:w="798"/>
        <w:gridCol w:w="1892"/>
        <w:gridCol w:w="1856"/>
        <w:gridCol w:w="1286"/>
        <w:gridCol w:w="2065"/>
        <w:gridCol w:w="921"/>
      </w:tblGrid>
      <w:tr w:rsidR="00000000" w14:paraId="14DC2998" w14:textId="77777777">
        <w:trPr>
          <w:jc w:val="center"/>
        </w:trPr>
        <w:tc>
          <w:tcPr>
            <w:tcW w:w="798" w:type="dxa"/>
            <w:tcBorders>
              <w:top w:val="single" w:sz="12" w:space="0" w:color="000000"/>
              <w:left w:val="nil"/>
              <w:bottom w:val="single" w:sz="4" w:space="0" w:color="000000"/>
              <w:right w:val="nil"/>
            </w:tcBorders>
            <w:vAlign w:val="center"/>
          </w:tcPr>
          <w:p w14:paraId="04D23B16" w14:textId="77777777" w:rsidR="00000000" w:rsidRDefault="00000000">
            <w:pPr>
              <w:widowControl/>
              <w:snapToGrid w:val="0"/>
              <w:ind w:firstLine="0"/>
              <w:jc w:val="center"/>
              <w:rPr>
                <w:rFonts w:ascii="宋体" w:hAnsi="宋体" w:cs="宋体"/>
                <w:b/>
                <w:bCs/>
                <w:sz w:val="21"/>
                <w:szCs w:val="21"/>
              </w:rPr>
            </w:pPr>
            <w:r>
              <w:rPr>
                <w:rFonts w:ascii="宋体" w:hAnsi="宋体" w:cs="宋体" w:hint="eastAsia"/>
                <w:b/>
                <w:bCs/>
                <w:sz w:val="21"/>
                <w:szCs w:val="21"/>
              </w:rPr>
              <w:t>年份</w:t>
            </w:r>
          </w:p>
        </w:tc>
        <w:tc>
          <w:tcPr>
            <w:tcW w:w="1892" w:type="dxa"/>
            <w:tcBorders>
              <w:top w:val="single" w:sz="12" w:space="0" w:color="000000"/>
              <w:left w:val="nil"/>
              <w:bottom w:val="single" w:sz="4" w:space="0" w:color="000000"/>
              <w:right w:val="nil"/>
            </w:tcBorders>
            <w:vAlign w:val="center"/>
          </w:tcPr>
          <w:p w14:paraId="103178F6" w14:textId="77777777" w:rsidR="00000000" w:rsidRDefault="00000000">
            <w:pPr>
              <w:widowControl/>
              <w:snapToGrid w:val="0"/>
              <w:ind w:firstLine="0"/>
              <w:jc w:val="center"/>
              <w:rPr>
                <w:rFonts w:ascii="宋体" w:hAnsi="宋体" w:cs="宋体"/>
                <w:b/>
                <w:bCs/>
                <w:sz w:val="21"/>
                <w:szCs w:val="21"/>
              </w:rPr>
            </w:pPr>
            <w:r>
              <w:rPr>
                <w:rFonts w:ascii="宋体" w:hAnsi="宋体" w:cs="宋体" w:hint="eastAsia"/>
                <w:b/>
                <w:bCs/>
                <w:sz w:val="21"/>
                <w:szCs w:val="21"/>
              </w:rPr>
              <w:t>销售费用</w:t>
            </w:r>
          </w:p>
          <w:p w14:paraId="54FA3129" w14:textId="77777777" w:rsidR="00000000" w:rsidRDefault="00000000">
            <w:pPr>
              <w:widowControl/>
              <w:snapToGrid w:val="0"/>
              <w:ind w:firstLine="0"/>
              <w:jc w:val="center"/>
              <w:rPr>
                <w:rFonts w:ascii="宋体" w:hAnsi="宋体" w:cs="宋体"/>
                <w:b/>
                <w:bCs/>
                <w:sz w:val="21"/>
                <w:szCs w:val="21"/>
              </w:rPr>
            </w:pPr>
            <w:r>
              <w:rPr>
                <w:rFonts w:ascii="宋体" w:hAnsi="宋体" w:cs="宋体" w:hint="eastAsia"/>
                <w:b/>
                <w:bCs/>
                <w:sz w:val="21"/>
                <w:szCs w:val="21"/>
              </w:rPr>
              <w:t>（万元）</w:t>
            </w:r>
          </w:p>
        </w:tc>
        <w:tc>
          <w:tcPr>
            <w:tcW w:w="1856" w:type="dxa"/>
            <w:tcBorders>
              <w:top w:val="single" w:sz="12" w:space="0" w:color="000000"/>
              <w:left w:val="nil"/>
              <w:bottom w:val="single" w:sz="4" w:space="0" w:color="000000"/>
              <w:right w:val="nil"/>
            </w:tcBorders>
            <w:vAlign w:val="center"/>
          </w:tcPr>
          <w:p w14:paraId="1D3CC9CA" w14:textId="77777777" w:rsidR="00000000" w:rsidRDefault="00000000">
            <w:pPr>
              <w:widowControl/>
              <w:snapToGrid w:val="0"/>
              <w:ind w:firstLine="0"/>
              <w:jc w:val="center"/>
              <w:rPr>
                <w:rFonts w:ascii="宋体" w:hAnsi="宋体" w:cs="宋体"/>
                <w:b/>
                <w:bCs/>
                <w:sz w:val="21"/>
                <w:szCs w:val="21"/>
              </w:rPr>
            </w:pPr>
            <w:r>
              <w:rPr>
                <w:rFonts w:ascii="宋体" w:hAnsi="宋体" w:cs="宋体" w:hint="eastAsia"/>
                <w:b/>
                <w:bCs/>
                <w:sz w:val="21"/>
                <w:szCs w:val="21"/>
              </w:rPr>
              <w:t>管理费用</w:t>
            </w:r>
          </w:p>
          <w:p w14:paraId="40160055" w14:textId="77777777" w:rsidR="00000000" w:rsidRDefault="00000000">
            <w:pPr>
              <w:widowControl/>
              <w:snapToGrid w:val="0"/>
              <w:ind w:firstLine="0"/>
              <w:jc w:val="center"/>
              <w:rPr>
                <w:rFonts w:ascii="宋体" w:hAnsi="宋体" w:cs="宋体"/>
                <w:b/>
                <w:bCs/>
                <w:sz w:val="21"/>
                <w:szCs w:val="21"/>
              </w:rPr>
            </w:pPr>
            <w:r>
              <w:rPr>
                <w:rFonts w:ascii="宋体" w:hAnsi="宋体" w:cs="宋体" w:hint="eastAsia"/>
                <w:b/>
                <w:bCs/>
                <w:sz w:val="21"/>
                <w:szCs w:val="21"/>
              </w:rPr>
              <w:t>（万元）</w:t>
            </w:r>
          </w:p>
        </w:tc>
        <w:tc>
          <w:tcPr>
            <w:tcW w:w="1286" w:type="dxa"/>
            <w:tcBorders>
              <w:top w:val="single" w:sz="12" w:space="0" w:color="000000"/>
              <w:left w:val="nil"/>
              <w:bottom w:val="single" w:sz="4" w:space="0" w:color="000000"/>
              <w:right w:val="nil"/>
            </w:tcBorders>
            <w:vAlign w:val="center"/>
          </w:tcPr>
          <w:p w14:paraId="27178E54" w14:textId="77777777" w:rsidR="00000000" w:rsidRDefault="00000000">
            <w:pPr>
              <w:widowControl/>
              <w:snapToGrid w:val="0"/>
              <w:ind w:firstLine="0"/>
              <w:jc w:val="center"/>
              <w:rPr>
                <w:rFonts w:ascii="宋体" w:hAnsi="宋体" w:cs="宋体"/>
                <w:b/>
                <w:bCs/>
                <w:sz w:val="21"/>
                <w:szCs w:val="21"/>
              </w:rPr>
            </w:pPr>
            <w:r>
              <w:rPr>
                <w:rFonts w:ascii="宋体" w:hAnsi="宋体" w:cs="宋体" w:hint="eastAsia"/>
                <w:b/>
                <w:bCs/>
                <w:sz w:val="21"/>
                <w:szCs w:val="21"/>
              </w:rPr>
              <w:t>合计</w:t>
            </w:r>
          </w:p>
        </w:tc>
        <w:tc>
          <w:tcPr>
            <w:tcW w:w="2065" w:type="dxa"/>
            <w:tcBorders>
              <w:top w:val="single" w:sz="12" w:space="0" w:color="000000"/>
              <w:left w:val="nil"/>
              <w:bottom w:val="single" w:sz="4" w:space="0" w:color="000000"/>
              <w:right w:val="nil"/>
            </w:tcBorders>
            <w:vAlign w:val="center"/>
          </w:tcPr>
          <w:p w14:paraId="4DBBF100" w14:textId="77777777" w:rsidR="00000000" w:rsidRDefault="00000000">
            <w:pPr>
              <w:widowControl/>
              <w:snapToGrid w:val="0"/>
              <w:ind w:firstLine="0"/>
              <w:jc w:val="center"/>
              <w:rPr>
                <w:rFonts w:ascii="宋体" w:hAnsi="宋体" w:cs="宋体"/>
                <w:b/>
                <w:bCs/>
                <w:sz w:val="21"/>
                <w:szCs w:val="21"/>
              </w:rPr>
            </w:pPr>
            <w:r>
              <w:rPr>
                <w:rFonts w:ascii="宋体" w:hAnsi="宋体" w:cs="宋体" w:hint="eastAsia"/>
                <w:b/>
                <w:bCs/>
                <w:sz w:val="21"/>
                <w:szCs w:val="21"/>
              </w:rPr>
              <w:t>营业总成本</w:t>
            </w:r>
          </w:p>
          <w:p w14:paraId="3E196797" w14:textId="77777777" w:rsidR="00000000" w:rsidRDefault="00000000">
            <w:pPr>
              <w:widowControl/>
              <w:snapToGrid w:val="0"/>
              <w:ind w:firstLine="0"/>
              <w:jc w:val="center"/>
              <w:rPr>
                <w:rFonts w:ascii="宋体" w:hAnsi="宋体" w:cs="宋体"/>
                <w:b/>
                <w:bCs/>
                <w:sz w:val="21"/>
                <w:szCs w:val="21"/>
              </w:rPr>
            </w:pPr>
            <w:r>
              <w:rPr>
                <w:rFonts w:ascii="宋体" w:hAnsi="宋体" w:cs="宋体" w:hint="eastAsia"/>
                <w:b/>
                <w:bCs/>
                <w:sz w:val="21"/>
                <w:szCs w:val="21"/>
              </w:rPr>
              <w:t>（万元）</w:t>
            </w:r>
          </w:p>
        </w:tc>
        <w:tc>
          <w:tcPr>
            <w:tcW w:w="921" w:type="dxa"/>
            <w:tcBorders>
              <w:top w:val="single" w:sz="12" w:space="0" w:color="000000"/>
              <w:left w:val="nil"/>
              <w:bottom w:val="single" w:sz="4" w:space="0" w:color="000000"/>
              <w:right w:val="nil"/>
            </w:tcBorders>
            <w:vAlign w:val="center"/>
          </w:tcPr>
          <w:p w14:paraId="6FA7D67B" w14:textId="77777777" w:rsidR="00000000" w:rsidRDefault="00000000">
            <w:pPr>
              <w:widowControl/>
              <w:snapToGrid w:val="0"/>
              <w:ind w:firstLine="0"/>
              <w:jc w:val="center"/>
              <w:rPr>
                <w:rFonts w:ascii="宋体" w:hAnsi="宋体" w:cs="宋体"/>
                <w:b/>
                <w:bCs/>
                <w:sz w:val="21"/>
                <w:szCs w:val="21"/>
              </w:rPr>
            </w:pPr>
            <w:r>
              <w:rPr>
                <w:rFonts w:ascii="宋体" w:hAnsi="宋体" w:cs="宋体" w:hint="eastAsia"/>
                <w:b/>
                <w:bCs/>
                <w:sz w:val="21"/>
                <w:szCs w:val="21"/>
              </w:rPr>
              <w:t>占比</w:t>
            </w:r>
          </w:p>
        </w:tc>
      </w:tr>
      <w:tr w:rsidR="00000000" w14:paraId="62BFD06F" w14:textId="77777777">
        <w:trPr>
          <w:jc w:val="center"/>
        </w:trPr>
        <w:tc>
          <w:tcPr>
            <w:tcW w:w="798" w:type="dxa"/>
            <w:tcBorders>
              <w:top w:val="single" w:sz="4" w:space="0" w:color="000000"/>
              <w:left w:val="nil"/>
              <w:bottom w:val="nil"/>
              <w:right w:val="nil"/>
            </w:tcBorders>
            <w:vAlign w:val="center"/>
          </w:tcPr>
          <w:p w14:paraId="5D3457E7" w14:textId="77777777" w:rsidR="00000000" w:rsidRDefault="00000000">
            <w:pPr>
              <w:widowControl/>
              <w:snapToGrid w:val="0"/>
              <w:spacing w:line="360" w:lineRule="auto"/>
              <w:ind w:firstLine="0"/>
              <w:jc w:val="center"/>
              <w:rPr>
                <w:rFonts w:ascii="宋体" w:hAnsi="宋体" w:cs="宋体"/>
                <w:sz w:val="21"/>
                <w:szCs w:val="21"/>
              </w:rPr>
            </w:pPr>
            <w:r>
              <w:rPr>
                <w:rFonts w:ascii="宋体" w:hAnsi="宋体" w:cs="宋体" w:hint="eastAsia"/>
                <w:sz w:val="21"/>
                <w:szCs w:val="21"/>
              </w:rPr>
              <w:t>2020</w:t>
            </w:r>
          </w:p>
        </w:tc>
        <w:tc>
          <w:tcPr>
            <w:tcW w:w="1892" w:type="dxa"/>
            <w:tcBorders>
              <w:top w:val="single" w:sz="4" w:space="0" w:color="000000"/>
              <w:left w:val="nil"/>
              <w:bottom w:val="nil"/>
              <w:right w:val="nil"/>
            </w:tcBorders>
            <w:vAlign w:val="center"/>
          </w:tcPr>
          <w:p w14:paraId="3C1D0EC9" w14:textId="77777777" w:rsidR="00000000" w:rsidRDefault="00000000">
            <w:pPr>
              <w:widowControl/>
              <w:snapToGrid w:val="0"/>
              <w:spacing w:line="360" w:lineRule="auto"/>
              <w:ind w:firstLine="0"/>
              <w:jc w:val="center"/>
              <w:rPr>
                <w:rFonts w:ascii="宋体" w:hAnsi="宋体" w:cs="宋体"/>
                <w:sz w:val="21"/>
                <w:szCs w:val="21"/>
              </w:rPr>
            </w:pPr>
            <w:r>
              <w:rPr>
                <w:rFonts w:ascii="宋体" w:hAnsi="宋体" w:cs="宋体" w:hint="eastAsia"/>
                <w:sz w:val="21"/>
                <w:szCs w:val="21"/>
              </w:rPr>
              <w:t>73967.18</w:t>
            </w:r>
          </w:p>
        </w:tc>
        <w:tc>
          <w:tcPr>
            <w:tcW w:w="1856" w:type="dxa"/>
            <w:tcBorders>
              <w:top w:val="single" w:sz="4" w:space="0" w:color="000000"/>
              <w:left w:val="nil"/>
              <w:bottom w:val="nil"/>
              <w:right w:val="nil"/>
            </w:tcBorders>
            <w:vAlign w:val="center"/>
          </w:tcPr>
          <w:p w14:paraId="41CD1501" w14:textId="77777777" w:rsidR="00000000" w:rsidRDefault="00000000">
            <w:pPr>
              <w:widowControl/>
              <w:snapToGrid w:val="0"/>
              <w:spacing w:line="360" w:lineRule="auto"/>
              <w:ind w:firstLine="0"/>
              <w:jc w:val="center"/>
              <w:rPr>
                <w:rFonts w:ascii="宋体" w:hAnsi="宋体" w:cs="宋体"/>
                <w:sz w:val="21"/>
                <w:szCs w:val="21"/>
              </w:rPr>
            </w:pPr>
            <w:r>
              <w:rPr>
                <w:rFonts w:ascii="宋体" w:hAnsi="宋体" w:cs="宋体" w:hint="eastAsia"/>
                <w:sz w:val="21"/>
                <w:szCs w:val="21"/>
              </w:rPr>
              <w:t>24030.63</w:t>
            </w:r>
          </w:p>
        </w:tc>
        <w:tc>
          <w:tcPr>
            <w:tcW w:w="1286" w:type="dxa"/>
            <w:tcBorders>
              <w:top w:val="single" w:sz="4" w:space="0" w:color="000000"/>
              <w:left w:val="nil"/>
              <w:bottom w:val="nil"/>
              <w:right w:val="nil"/>
            </w:tcBorders>
            <w:vAlign w:val="center"/>
          </w:tcPr>
          <w:p w14:paraId="73AB94FC" w14:textId="77777777" w:rsidR="00000000" w:rsidRDefault="00000000">
            <w:pPr>
              <w:widowControl/>
              <w:snapToGrid w:val="0"/>
              <w:spacing w:line="360" w:lineRule="auto"/>
              <w:ind w:firstLine="0"/>
              <w:jc w:val="center"/>
              <w:rPr>
                <w:rFonts w:ascii="宋体" w:hAnsi="宋体" w:cs="宋体"/>
                <w:sz w:val="21"/>
                <w:szCs w:val="21"/>
              </w:rPr>
            </w:pPr>
            <w:r>
              <w:rPr>
                <w:rFonts w:ascii="宋体" w:hAnsi="宋体" w:cs="宋体" w:hint="eastAsia"/>
                <w:sz w:val="21"/>
                <w:szCs w:val="21"/>
              </w:rPr>
              <w:t>97997.81</w:t>
            </w:r>
          </w:p>
        </w:tc>
        <w:tc>
          <w:tcPr>
            <w:tcW w:w="2065" w:type="dxa"/>
            <w:tcBorders>
              <w:top w:val="single" w:sz="4" w:space="0" w:color="000000"/>
              <w:left w:val="nil"/>
              <w:bottom w:val="nil"/>
              <w:right w:val="nil"/>
            </w:tcBorders>
            <w:vAlign w:val="center"/>
          </w:tcPr>
          <w:p w14:paraId="187F8EA5" w14:textId="77777777" w:rsidR="00000000" w:rsidRDefault="00000000">
            <w:pPr>
              <w:widowControl/>
              <w:snapToGrid w:val="0"/>
              <w:spacing w:line="360" w:lineRule="auto"/>
              <w:ind w:firstLine="0"/>
              <w:jc w:val="center"/>
              <w:rPr>
                <w:rFonts w:ascii="宋体" w:hAnsi="宋体" w:cs="宋体"/>
                <w:sz w:val="21"/>
                <w:szCs w:val="21"/>
              </w:rPr>
            </w:pPr>
            <w:r>
              <w:rPr>
                <w:rFonts w:ascii="宋体" w:hAnsi="宋体" w:cs="宋体" w:hint="eastAsia"/>
                <w:sz w:val="21"/>
                <w:szCs w:val="21"/>
              </w:rPr>
              <w:t>289518.33</w:t>
            </w:r>
          </w:p>
        </w:tc>
        <w:tc>
          <w:tcPr>
            <w:tcW w:w="921" w:type="dxa"/>
            <w:tcBorders>
              <w:top w:val="single" w:sz="4" w:space="0" w:color="000000"/>
              <w:left w:val="nil"/>
              <w:bottom w:val="nil"/>
              <w:right w:val="nil"/>
            </w:tcBorders>
            <w:vAlign w:val="center"/>
          </w:tcPr>
          <w:p w14:paraId="70901699" w14:textId="77777777" w:rsidR="00000000" w:rsidRDefault="00000000">
            <w:pPr>
              <w:widowControl/>
              <w:snapToGrid w:val="0"/>
              <w:spacing w:line="360" w:lineRule="auto"/>
              <w:ind w:firstLine="0"/>
              <w:jc w:val="center"/>
              <w:rPr>
                <w:rFonts w:ascii="宋体" w:hAnsi="宋体" w:cs="宋体"/>
                <w:sz w:val="21"/>
                <w:szCs w:val="21"/>
              </w:rPr>
            </w:pPr>
            <w:r>
              <w:rPr>
                <w:rFonts w:ascii="宋体" w:hAnsi="宋体" w:cs="宋体" w:hint="eastAsia"/>
                <w:sz w:val="21"/>
                <w:szCs w:val="21"/>
              </w:rPr>
              <w:t>33.85%</w:t>
            </w:r>
          </w:p>
        </w:tc>
      </w:tr>
      <w:tr w:rsidR="00000000" w14:paraId="41032E02" w14:textId="77777777">
        <w:trPr>
          <w:jc w:val="center"/>
        </w:trPr>
        <w:tc>
          <w:tcPr>
            <w:tcW w:w="798" w:type="dxa"/>
            <w:tcBorders>
              <w:top w:val="nil"/>
              <w:left w:val="nil"/>
              <w:bottom w:val="nil"/>
              <w:right w:val="nil"/>
            </w:tcBorders>
            <w:vAlign w:val="center"/>
          </w:tcPr>
          <w:p w14:paraId="73AC1F0B" w14:textId="77777777" w:rsidR="00000000" w:rsidRDefault="00000000">
            <w:pPr>
              <w:widowControl/>
              <w:snapToGrid w:val="0"/>
              <w:spacing w:line="360" w:lineRule="auto"/>
              <w:ind w:firstLine="0"/>
              <w:jc w:val="center"/>
              <w:rPr>
                <w:rFonts w:ascii="宋体" w:hAnsi="宋体" w:cs="宋体"/>
                <w:sz w:val="21"/>
                <w:szCs w:val="21"/>
              </w:rPr>
            </w:pPr>
            <w:r>
              <w:rPr>
                <w:rFonts w:ascii="宋体" w:hAnsi="宋体" w:cs="宋体" w:hint="eastAsia"/>
                <w:sz w:val="21"/>
                <w:szCs w:val="21"/>
              </w:rPr>
              <w:t>2021</w:t>
            </w:r>
          </w:p>
        </w:tc>
        <w:tc>
          <w:tcPr>
            <w:tcW w:w="1892" w:type="dxa"/>
            <w:tcBorders>
              <w:top w:val="nil"/>
              <w:left w:val="nil"/>
              <w:bottom w:val="nil"/>
              <w:right w:val="nil"/>
            </w:tcBorders>
            <w:vAlign w:val="center"/>
          </w:tcPr>
          <w:p w14:paraId="2D2FD857" w14:textId="77777777" w:rsidR="00000000" w:rsidRDefault="00000000">
            <w:pPr>
              <w:widowControl/>
              <w:snapToGrid w:val="0"/>
              <w:spacing w:line="360" w:lineRule="auto"/>
              <w:ind w:firstLine="0"/>
              <w:jc w:val="center"/>
              <w:rPr>
                <w:rFonts w:ascii="宋体" w:hAnsi="宋体" w:cs="宋体"/>
                <w:sz w:val="21"/>
                <w:szCs w:val="21"/>
              </w:rPr>
            </w:pPr>
            <w:r>
              <w:rPr>
                <w:rFonts w:ascii="宋体" w:hAnsi="宋体" w:cs="宋体" w:hint="eastAsia"/>
                <w:sz w:val="21"/>
                <w:szCs w:val="21"/>
              </w:rPr>
              <w:t>75491.57</w:t>
            </w:r>
          </w:p>
        </w:tc>
        <w:tc>
          <w:tcPr>
            <w:tcW w:w="1856" w:type="dxa"/>
            <w:tcBorders>
              <w:top w:val="nil"/>
              <w:left w:val="nil"/>
              <w:bottom w:val="nil"/>
              <w:right w:val="nil"/>
            </w:tcBorders>
            <w:vAlign w:val="center"/>
          </w:tcPr>
          <w:p w14:paraId="1F8B5873" w14:textId="77777777" w:rsidR="00000000" w:rsidRDefault="00000000">
            <w:pPr>
              <w:widowControl/>
              <w:snapToGrid w:val="0"/>
              <w:spacing w:line="360" w:lineRule="auto"/>
              <w:ind w:firstLine="0"/>
              <w:jc w:val="center"/>
              <w:rPr>
                <w:rFonts w:ascii="宋体" w:hAnsi="宋体" w:cs="宋体"/>
                <w:sz w:val="21"/>
                <w:szCs w:val="21"/>
              </w:rPr>
            </w:pPr>
            <w:r>
              <w:rPr>
                <w:rFonts w:ascii="宋体" w:hAnsi="宋体" w:cs="宋体" w:hint="eastAsia"/>
                <w:sz w:val="21"/>
                <w:szCs w:val="21"/>
              </w:rPr>
              <w:t>25496.68</w:t>
            </w:r>
          </w:p>
        </w:tc>
        <w:tc>
          <w:tcPr>
            <w:tcW w:w="1286" w:type="dxa"/>
            <w:tcBorders>
              <w:top w:val="nil"/>
              <w:left w:val="nil"/>
              <w:bottom w:val="nil"/>
              <w:right w:val="nil"/>
            </w:tcBorders>
            <w:vAlign w:val="center"/>
          </w:tcPr>
          <w:p w14:paraId="3FCCFB42" w14:textId="77777777" w:rsidR="00000000" w:rsidRDefault="00000000">
            <w:pPr>
              <w:widowControl/>
              <w:snapToGrid w:val="0"/>
              <w:spacing w:line="360" w:lineRule="auto"/>
              <w:ind w:firstLine="0"/>
              <w:jc w:val="center"/>
              <w:rPr>
                <w:rFonts w:ascii="宋体" w:hAnsi="宋体" w:cs="宋体"/>
                <w:sz w:val="21"/>
                <w:szCs w:val="21"/>
              </w:rPr>
            </w:pPr>
            <w:r>
              <w:rPr>
                <w:rFonts w:ascii="宋体" w:hAnsi="宋体" w:cs="宋体" w:hint="eastAsia"/>
                <w:sz w:val="21"/>
                <w:szCs w:val="21"/>
              </w:rPr>
              <w:t>100988.25</w:t>
            </w:r>
          </w:p>
        </w:tc>
        <w:tc>
          <w:tcPr>
            <w:tcW w:w="2065" w:type="dxa"/>
            <w:tcBorders>
              <w:top w:val="nil"/>
              <w:left w:val="nil"/>
              <w:bottom w:val="nil"/>
              <w:right w:val="nil"/>
            </w:tcBorders>
            <w:vAlign w:val="center"/>
          </w:tcPr>
          <w:p w14:paraId="35CFF7C2" w14:textId="77777777" w:rsidR="00000000" w:rsidRDefault="00000000">
            <w:pPr>
              <w:widowControl/>
              <w:snapToGrid w:val="0"/>
              <w:spacing w:line="360" w:lineRule="auto"/>
              <w:ind w:firstLine="0"/>
              <w:jc w:val="center"/>
              <w:rPr>
                <w:rFonts w:ascii="宋体" w:hAnsi="宋体" w:cs="宋体"/>
                <w:sz w:val="21"/>
                <w:szCs w:val="21"/>
              </w:rPr>
            </w:pPr>
            <w:r>
              <w:rPr>
                <w:rFonts w:ascii="宋体" w:hAnsi="宋体" w:cs="宋体" w:hint="eastAsia"/>
                <w:sz w:val="21"/>
                <w:szCs w:val="21"/>
              </w:rPr>
              <w:t>290382.14</w:t>
            </w:r>
          </w:p>
        </w:tc>
        <w:tc>
          <w:tcPr>
            <w:tcW w:w="921" w:type="dxa"/>
            <w:tcBorders>
              <w:top w:val="nil"/>
              <w:left w:val="nil"/>
              <w:bottom w:val="nil"/>
              <w:right w:val="nil"/>
            </w:tcBorders>
            <w:vAlign w:val="center"/>
          </w:tcPr>
          <w:p w14:paraId="06608CB8" w14:textId="77777777" w:rsidR="00000000" w:rsidRDefault="00000000">
            <w:pPr>
              <w:widowControl/>
              <w:snapToGrid w:val="0"/>
              <w:spacing w:line="360" w:lineRule="auto"/>
              <w:ind w:firstLine="0"/>
              <w:jc w:val="center"/>
              <w:rPr>
                <w:rFonts w:ascii="宋体" w:hAnsi="宋体" w:cs="宋体"/>
                <w:sz w:val="21"/>
                <w:szCs w:val="21"/>
              </w:rPr>
            </w:pPr>
            <w:r>
              <w:rPr>
                <w:rFonts w:ascii="宋体" w:hAnsi="宋体" w:cs="宋体" w:hint="eastAsia"/>
                <w:sz w:val="21"/>
                <w:szCs w:val="21"/>
              </w:rPr>
              <w:t>34.78%</w:t>
            </w:r>
          </w:p>
        </w:tc>
      </w:tr>
      <w:tr w:rsidR="00000000" w14:paraId="2F56AC23" w14:textId="77777777">
        <w:trPr>
          <w:jc w:val="center"/>
        </w:trPr>
        <w:tc>
          <w:tcPr>
            <w:tcW w:w="798" w:type="dxa"/>
            <w:tcBorders>
              <w:top w:val="nil"/>
              <w:left w:val="nil"/>
              <w:bottom w:val="nil"/>
              <w:right w:val="nil"/>
            </w:tcBorders>
            <w:vAlign w:val="center"/>
          </w:tcPr>
          <w:p w14:paraId="3208E14A" w14:textId="77777777" w:rsidR="00000000" w:rsidRDefault="00000000">
            <w:pPr>
              <w:widowControl/>
              <w:snapToGrid w:val="0"/>
              <w:spacing w:line="360" w:lineRule="auto"/>
              <w:ind w:firstLine="0"/>
              <w:jc w:val="center"/>
              <w:rPr>
                <w:rFonts w:ascii="宋体" w:hAnsi="宋体" w:cs="宋体"/>
                <w:sz w:val="21"/>
                <w:szCs w:val="21"/>
              </w:rPr>
            </w:pPr>
            <w:r>
              <w:rPr>
                <w:rFonts w:ascii="宋体" w:hAnsi="宋体" w:cs="宋体" w:hint="eastAsia"/>
                <w:sz w:val="21"/>
                <w:szCs w:val="21"/>
              </w:rPr>
              <w:t>2022</w:t>
            </w:r>
          </w:p>
        </w:tc>
        <w:tc>
          <w:tcPr>
            <w:tcW w:w="1892" w:type="dxa"/>
            <w:tcBorders>
              <w:top w:val="nil"/>
              <w:left w:val="nil"/>
              <w:bottom w:val="nil"/>
              <w:right w:val="nil"/>
            </w:tcBorders>
            <w:vAlign w:val="center"/>
          </w:tcPr>
          <w:p w14:paraId="19B79034" w14:textId="77777777" w:rsidR="00000000" w:rsidRDefault="00000000">
            <w:pPr>
              <w:widowControl/>
              <w:snapToGrid w:val="0"/>
              <w:spacing w:line="360" w:lineRule="auto"/>
              <w:ind w:firstLine="0"/>
              <w:jc w:val="center"/>
              <w:rPr>
                <w:rFonts w:ascii="宋体" w:hAnsi="宋体" w:cs="宋体"/>
                <w:sz w:val="21"/>
                <w:szCs w:val="21"/>
              </w:rPr>
            </w:pPr>
            <w:r>
              <w:rPr>
                <w:rFonts w:ascii="宋体" w:hAnsi="宋体" w:cs="宋体" w:hint="eastAsia"/>
                <w:sz w:val="21"/>
                <w:szCs w:val="21"/>
              </w:rPr>
              <w:t>75095.46</w:t>
            </w:r>
          </w:p>
        </w:tc>
        <w:tc>
          <w:tcPr>
            <w:tcW w:w="1856" w:type="dxa"/>
            <w:tcBorders>
              <w:top w:val="nil"/>
              <w:left w:val="nil"/>
              <w:bottom w:val="nil"/>
              <w:right w:val="nil"/>
            </w:tcBorders>
            <w:vAlign w:val="center"/>
          </w:tcPr>
          <w:p w14:paraId="3223D6D6" w14:textId="77777777" w:rsidR="00000000" w:rsidRDefault="00000000">
            <w:pPr>
              <w:widowControl/>
              <w:snapToGrid w:val="0"/>
              <w:spacing w:line="360" w:lineRule="auto"/>
              <w:ind w:firstLine="0"/>
              <w:jc w:val="center"/>
              <w:rPr>
                <w:rFonts w:ascii="宋体" w:hAnsi="宋体" w:cs="宋体"/>
                <w:sz w:val="21"/>
                <w:szCs w:val="21"/>
              </w:rPr>
            </w:pPr>
            <w:r>
              <w:rPr>
                <w:rFonts w:ascii="宋体" w:hAnsi="宋体" w:cs="宋体" w:hint="eastAsia"/>
                <w:sz w:val="21"/>
                <w:szCs w:val="21"/>
              </w:rPr>
              <w:t>26187.35</w:t>
            </w:r>
          </w:p>
        </w:tc>
        <w:tc>
          <w:tcPr>
            <w:tcW w:w="1286" w:type="dxa"/>
            <w:tcBorders>
              <w:top w:val="nil"/>
              <w:left w:val="nil"/>
              <w:bottom w:val="nil"/>
              <w:right w:val="nil"/>
            </w:tcBorders>
            <w:vAlign w:val="center"/>
          </w:tcPr>
          <w:p w14:paraId="23F58F35" w14:textId="77777777" w:rsidR="00000000" w:rsidRDefault="00000000">
            <w:pPr>
              <w:widowControl/>
              <w:snapToGrid w:val="0"/>
              <w:spacing w:line="360" w:lineRule="auto"/>
              <w:ind w:firstLine="0"/>
              <w:jc w:val="center"/>
              <w:rPr>
                <w:rFonts w:ascii="宋体" w:hAnsi="宋体" w:cs="宋体"/>
                <w:sz w:val="21"/>
                <w:szCs w:val="21"/>
              </w:rPr>
            </w:pPr>
            <w:r>
              <w:rPr>
                <w:rFonts w:ascii="宋体" w:hAnsi="宋体" w:cs="宋体" w:hint="eastAsia"/>
                <w:sz w:val="21"/>
                <w:szCs w:val="21"/>
              </w:rPr>
              <w:t>101282.81</w:t>
            </w:r>
          </w:p>
        </w:tc>
        <w:tc>
          <w:tcPr>
            <w:tcW w:w="2065" w:type="dxa"/>
            <w:tcBorders>
              <w:top w:val="nil"/>
              <w:left w:val="nil"/>
              <w:bottom w:val="nil"/>
              <w:right w:val="nil"/>
            </w:tcBorders>
            <w:vAlign w:val="center"/>
          </w:tcPr>
          <w:p w14:paraId="1E83B853" w14:textId="77777777" w:rsidR="00000000" w:rsidRDefault="00000000">
            <w:pPr>
              <w:widowControl/>
              <w:snapToGrid w:val="0"/>
              <w:spacing w:line="360" w:lineRule="auto"/>
              <w:ind w:firstLine="0"/>
              <w:jc w:val="center"/>
              <w:rPr>
                <w:rFonts w:ascii="宋体" w:hAnsi="宋体" w:cs="宋体"/>
                <w:sz w:val="21"/>
                <w:szCs w:val="21"/>
              </w:rPr>
            </w:pPr>
            <w:r>
              <w:rPr>
                <w:rFonts w:ascii="宋体" w:hAnsi="宋体" w:cs="宋体" w:hint="eastAsia"/>
                <w:sz w:val="21"/>
                <w:szCs w:val="21"/>
              </w:rPr>
              <w:t>272483.94</w:t>
            </w:r>
          </w:p>
        </w:tc>
        <w:tc>
          <w:tcPr>
            <w:tcW w:w="921" w:type="dxa"/>
            <w:tcBorders>
              <w:top w:val="nil"/>
              <w:left w:val="nil"/>
              <w:bottom w:val="nil"/>
              <w:right w:val="nil"/>
            </w:tcBorders>
            <w:vAlign w:val="center"/>
          </w:tcPr>
          <w:p w14:paraId="3E431A59" w14:textId="77777777" w:rsidR="00000000" w:rsidRDefault="00000000">
            <w:pPr>
              <w:widowControl/>
              <w:snapToGrid w:val="0"/>
              <w:spacing w:line="360" w:lineRule="auto"/>
              <w:ind w:firstLine="0"/>
              <w:jc w:val="center"/>
              <w:rPr>
                <w:rFonts w:ascii="宋体" w:hAnsi="宋体" w:cs="宋体"/>
                <w:sz w:val="21"/>
                <w:szCs w:val="21"/>
              </w:rPr>
            </w:pPr>
            <w:r>
              <w:rPr>
                <w:rFonts w:ascii="宋体" w:hAnsi="宋体" w:cs="宋体" w:hint="eastAsia"/>
                <w:sz w:val="21"/>
                <w:szCs w:val="21"/>
              </w:rPr>
              <w:t>37.17%</w:t>
            </w:r>
          </w:p>
        </w:tc>
      </w:tr>
      <w:tr w:rsidR="00000000" w14:paraId="193BE5CA" w14:textId="77777777">
        <w:trPr>
          <w:jc w:val="center"/>
        </w:trPr>
        <w:tc>
          <w:tcPr>
            <w:tcW w:w="798" w:type="dxa"/>
            <w:tcBorders>
              <w:top w:val="nil"/>
              <w:left w:val="nil"/>
              <w:bottom w:val="nil"/>
              <w:right w:val="nil"/>
            </w:tcBorders>
            <w:vAlign w:val="center"/>
          </w:tcPr>
          <w:p w14:paraId="2B169275" w14:textId="77777777" w:rsidR="00000000" w:rsidRDefault="00000000">
            <w:pPr>
              <w:widowControl/>
              <w:snapToGrid w:val="0"/>
              <w:spacing w:line="360" w:lineRule="auto"/>
              <w:ind w:firstLine="0"/>
              <w:jc w:val="center"/>
              <w:rPr>
                <w:rFonts w:ascii="宋体" w:hAnsi="宋体" w:cs="宋体"/>
                <w:sz w:val="21"/>
                <w:szCs w:val="21"/>
              </w:rPr>
            </w:pPr>
            <w:r>
              <w:rPr>
                <w:rFonts w:ascii="宋体" w:hAnsi="宋体" w:cs="宋体" w:hint="eastAsia"/>
                <w:sz w:val="21"/>
                <w:szCs w:val="21"/>
              </w:rPr>
              <w:t>2023</w:t>
            </w:r>
          </w:p>
        </w:tc>
        <w:tc>
          <w:tcPr>
            <w:tcW w:w="1892" w:type="dxa"/>
            <w:tcBorders>
              <w:top w:val="nil"/>
              <w:left w:val="nil"/>
              <w:bottom w:val="nil"/>
              <w:right w:val="nil"/>
            </w:tcBorders>
            <w:vAlign w:val="center"/>
          </w:tcPr>
          <w:p w14:paraId="1BFD60E2" w14:textId="77777777" w:rsidR="00000000" w:rsidRDefault="00000000">
            <w:pPr>
              <w:widowControl/>
              <w:snapToGrid w:val="0"/>
              <w:spacing w:line="360" w:lineRule="auto"/>
              <w:ind w:firstLine="0"/>
              <w:jc w:val="center"/>
              <w:rPr>
                <w:rFonts w:ascii="宋体" w:hAnsi="宋体" w:cs="宋体"/>
                <w:sz w:val="21"/>
                <w:szCs w:val="21"/>
              </w:rPr>
            </w:pPr>
            <w:r>
              <w:rPr>
                <w:rFonts w:ascii="宋体" w:hAnsi="宋体" w:cs="宋体" w:hint="eastAsia"/>
                <w:sz w:val="21"/>
                <w:szCs w:val="21"/>
              </w:rPr>
              <w:t>94003.40</w:t>
            </w:r>
          </w:p>
        </w:tc>
        <w:tc>
          <w:tcPr>
            <w:tcW w:w="1856" w:type="dxa"/>
            <w:tcBorders>
              <w:top w:val="nil"/>
              <w:left w:val="nil"/>
              <w:bottom w:val="nil"/>
              <w:right w:val="nil"/>
            </w:tcBorders>
            <w:vAlign w:val="center"/>
          </w:tcPr>
          <w:p w14:paraId="627A716D" w14:textId="77777777" w:rsidR="00000000" w:rsidRDefault="00000000">
            <w:pPr>
              <w:widowControl/>
              <w:snapToGrid w:val="0"/>
              <w:spacing w:line="360" w:lineRule="auto"/>
              <w:ind w:firstLine="0"/>
              <w:jc w:val="center"/>
              <w:rPr>
                <w:rFonts w:ascii="宋体" w:hAnsi="宋体" w:cs="宋体"/>
                <w:sz w:val="21"/>
                <w:szCs w:val="21"/>
              </w:rPr>
            </w:pPr>
            <w:r>
              <w:rPr>
                <w:rFonts w:ascii="宋体" w:hAnsi="宋体" w:cs="宋体" w:hint="eastAsia"/>
                <w:sz w:val="21"/>
                <w:szCs w:val="21"/>
              </w:rPr>
              <w:t>24409.59</w:t>
            </w:r>
          </w:p>
        </w:tc>
        <w:tc>
          <w:tcPr>
            <w:tcW w:w="1286" w:type="dxa"/>
            <w:tcBorders>
              <w:top w:val="nil"/>
              <w:left w:val="nil"/>
              <w:bottom w:val="nil"/>
              <w:right w:val="nil"/>
            </w:tcBorders>
            <w:vAlign w:val="center"/>
          </w:tcPr>
          <w:p w14:paraId="0E5E4CB3" w14:textId="77777777" w:rsidR="00000000" w:rsidRDefault="00000000">
            <w:pPr>
              <w:widowControl/>
              <w:snapToGrid w:val="0"/>
              <w:spacing w:line="360" w:lineRule="auto"/>
              <w:ind w:firstLine="0"/>
              <w:jc w:val="center"/>
              <w:rPr>
                <w:rFonts w:ascii="宋体" w:hAnsi="宋体" w:cs="宋体"/>
                <w:sz w:val="21"/>
                <w:szCs w:val="21"/>
              </w:rPr>
            </w:pPr>
            <w:r>
              <w:rPr>
                <w:rFonts w:ascii="宋体" w:hAnsi="宋体" w:cs="宋体" w:hint="eastAsia"/>
                <w:sz w:val="21"/>
                <w:szCs w:val="21"/>
              </w:rPr>
              <w:t>118412.99</w:t>
            </w:r>
          </w:p>
        </w:tc>
        <w:tc>
          <w:tcPr>
            <w:tcW w:w="2065" w:type="dxa"/>
            <w:tcBorders>
              <w:top w:val="nil"/>
              <w:left w:val="nil"/>
              <w:bottom w:val="nil"/>
              <w:right w:val="nil"/>
            </w:tcBorders>
            <w:vAlign w:val="center"/>
          </w:tcPr>
          <w:p w14:paraId="52B12A4B" w14:textId="77777777" w:rsidR="00000000" w:rsidRDefault="00000000">
            <w:pPr>
              <w:widowControl/>
              <w:snapToGrid w:val="0"/>
              <w:spacing w:line="360" w:lineRule="auto"/>
              <w:ind w:firstLine="0"/>
              <w:jc w:val="center"/>
              <w:rPr>
                <w:rFonts w:ascii="宋体" w:hAnsi="宋体" w:cs="宋体"/>
                <w:sz w:val="21"/>
                <w:szCs w:val="21"/>
              </w:rPr>
            </w:pPr>
            <w:r>
              <w:rPr>
                <w:rFonts w:ascii="宋体" w:hAnsi="宋体" w:cs="宋体" w:hint="eastAsia"/>
                <w:sz w:val="21"/>
                <w:szCs w:val="21"/>
              </w:rPr>
              <w:t>285229.6</w:t>
            </w:r>
          </w:p>
        </w:tc>
        <w:tc>
          <w:tcPr>
            <w:tcW w:w="921" w:type="dxa"/>
            <w:tcBorders>
              <w:top w:val="nil"/>
              <w:left w:val="nil"/>
              <w:bottom w:val="nil"/>
              <w:right w:val="nil"/>
            </w:tcBorders>
            <w:vAlign w:val="center"/>
          </w:tcPr>
          <w:p w14:paraId="71B07315" w14:textId="77777777" w:rsidR="00000000" w:rsidRDefault="00000000">
            <w:pPr>
              <w:widowControl/>
              <w:snapToGrid w:val="0"/>
              <w:spacing w:line="360" w:lineRule="auto"/>
              <w:ind w:firstLine="0"/>
              <w:jc w:val="center"/>
              <w:rPr>
                <w:rFonts w:ascii="宋体" w:hAnsi="宋体" w:cs="宋体"/>
                <w:sz w:val="21"/>
                <w:szCs w:val="21"/>
              </w:rPr>
            </w:pPr>
            <w:r>
              <w:rPr>
                <w:rFonts w:ascii="宋体" w:hAnsi="宋体" w:cs="宋体" w:hint="eastAsia"/>
                <w:sz w:val="21"/>
                <w:szCs w:val="21"/>
              </w:rPr>
              <w:t>41.51%</w:t>
            </w:r>
          </w:p>
        </w:tc>
      </w:tr>
      <w:tr w:rsidR="00000000" w14:paraId="5CC39743" w14:textId="77777777">
        <w:trPr>
          <w:jc w:val="center"/>
        </w:trPr>
        <w:tc>
          <w:tcPr>
            <w:tcW w:w="798" w:type="dxa"/>
            <w:tcBorders>
              <w:top w:val="nil"/>
              <w:left w:val="nil"/>
              <w:bottom w:val="single" w:sz="12" w:space="0" w:color="000000"/>
              <w:right w:val="nil"/>
            </w:tcBorders>
            <w:vAlign w:val="center"/>
          </w:tcPr>
          <w:p w14:paraId="29EB4549" w14:textId="77777777" w:rsidR="00000000" w:rsidRDefault="00000000">
            <w:pPr>
              <w:widowControl/>
              <w:snapToGrid w:val="0"/>
              <w:spacing w:line="360" w:lineRule="auto"/>
              <w:ind w:firstLine="0"/>
              <w:jc w:val="center"/>
              <w:rPr>
                <w:rFonts w:ascii="宋体" w:hAnsi="宋体" w:cs="宋体"/>
                <w:sz w:val="21"/>
                <w:szCs w:val="21"/>
              </w:rPr>
            </w:pPr>
            <w:r>
              <w:rPr>
                <w:rFonts w:ascii="宋体" w:hAnsi="宋体" w:cs="宋体" w:hint="eastAsia"/>
                <w:sz w:val="21"/>
                <w:szCs w:val="21"/>
              </w:rPr>
              <w:lastRenderedPageBreak/>
              <w:t>2024</w:t>
            </w:r>
          </w:p>
        </w:tc>
        <w:tc>
          <w:tcPr>
            <w:tcW w:w="1892" w:type="dxa"/>
            <w:tcBorders>
              <w:top w:val="nil"/>
              <w:left w:val="nil"/>
              <w:bottom w:val="single" w:sz="12" w:space="0" w:color="000000"/>
              <w:right w:val="nil"/>
            </w:tcBorders>
            <w:vAlign w:val="center"/>
          </w:tcPr>
          <w:p w14:paraId="41CDBF43" w14:textId="77777777" w:rsidR="00000000" w:rsidRDefault="00000000">
            <w:pPr>
              <w:widowControl/>
              <w:snapToGrid w:val="0"/>
              <w:spacing w:line="360" w:lineRule="auto"/>
              <w:ind w:firstLine="0"/>
              <w:jc w:val="center"/>
              <w:rPr>
                <w:rFonts w:ascii="宋体" w:hAnsi="宋体" w:cs="宋体"/>
                <w:sz w:val="21"/>
                <w:szCs w:val="21"/>
              </w:rPr>
            </w:pPr>
            <w:r>
              <w:rPr>
                <w:rFonts w:ascii="宋体" w:hAnsi="宋体" w:cs="宋体" w:hint="eastAsia"/>
                <w:sz w:val="21"/>
                <w:szCs w:val="21"/>
              </w:rPr>
              <w:t>105477.68</w:t>
            </w:r>
          </w:p>
        </w:tc>
        <w:tc>
          <w:tcPr>
            <w:tcW w:w="1856" w:type="dxa"/>
            <w:tcBorders>
              <w:top w:val="nil"/>
              <w:left w:val="nil"/>
              <w:bottom w:val="single" w:sz="12" w:space="0" w:color="000000"/>
              <w:right w:val="nil"/>
            </w:tcBorders>
            <w:vAlign w:val="center"/>
          </w:tcPr>
          <w:p w14:paraId="0D2F3A98" w14:textId="77777777" w:rsidR="00000000" w:rsidRDefault="00000000">
            <w:pPr>
              <w:widowControl/>
              <w:snapToGrid w:val="0"/>
              <w:spacing w:line="360" w:lineRule="auto"/>
              <w:ind w:firstLine="0"/>
              <w:jc w:val="center"/>
              <w:rPr>
                <w:rFonts w:ascii="宋体" w:hAnsi="宋体" w:cs="宋体"/>
                <w:sz w:val="21"/>
                <w:szCs w:val="21"/>
              </w:rPr>
            </w:pPr>
            <w:r>
              <w:rPr>
                <w:rFonts w:ascii="宋体" w:hAnsi="宋体" w:cs="宋体" w:hint="eastAsia"/>
                <w:sz w:val="21"/>
                <w:szCs w:val="21"/>
              </w:rPr>
              <w:t>25380.47</w:t>
            </w:r>
          </w:p>
        </w:tc>
        <w:tc>
          <w:tcPr>
            <w:tcW w:w="1286" w:type="dxa"/>
            <w:tcBorders>
              <w:top w:val="nil"/>
              <w:left w:val="nil"/>
              <w:bottom w:val="single" w:sz="12" w:space="0" w:color="000000"/>
              <w:right w:val="nil"/>
            </w:tcBorders>
            <w:vAlign w:val="center"/>
          </w:tcPr>
          <w:p w14:paraId="67E7971B" w14:textId="77777777" w:rsidR="00000000" w:rsidRDefault="00000000">
            <w:pPr>
              <w:widowControl/>
              <w:snapToGrid w:val="0"/>
              <w:spacing w:line="360" w:lineRule="auto"/>
              <w:ind w:firstLine="0"/>
              <w:jc w:val="center"/>
              <w:rPr>
                <w:rFonts w:ascii="宋体" w:hAnsi="宋体" w:cs="宋体"/>
                <w:sz w:val="21"/>
                <w:szCs w:val="21"/>
              </w:rPr>
            </w:pPr>
            <w:r>
              <w:rPr>
                <w:rFonts w:ascii="宋体" w:hAnsi="宋体" w:cs="宋体" w:hint="eastAsia"/>
                <w:sz w:val="21"/>
                <w:szCs w:val="21"/>
              </w:rPr>
              <w:t>130858.15</w:t>
            </w:r>
          </w:p>
        </w:tc>
        <w:tc>
          <w:tcPr>
            <w:tcW w:w="2065" w:type="dxa"/>
            <w:tcBorders>
              <w:top w:val="nil"/>
              <w:left w:val="nil"/>
              <w:bottom w:val="single" w:sz="12" w:space="0" w:color="000000"/>
              <w:right w:val="nil"/>
            </w:tcBorders>
            <w:vAlign w:val="center"/>
          </w:tcPr>
          <w:p w14:paraId="3A9CE85C" w14:textId="77777777" w:rsidR="00000000" w:rsidRDefault="00000000">
            <w:pPr>
              <w:widowControl/>
              <w:snapToGrid w:val="0"/>
              <w:spacing w:line="360" w:lineRule="auto"/>
              <w:ind w:firstLine="0"/>
              <w:jc w:val="center"/>
              <w:rPr>
                <w:rFonts w:ascii="宋体" w:hAnsi="宋体" w:cs="宋体"/>
                <w:sz w:val="21"/>
                <w:szCs w:val="21"/>
              </w:rPr>
            </w:pPr>
            <w:r>
              <w:rPr>
                <w:rFonts w:ascii="宋体" w:hAnsi="宋体" w:cs="宋体" w:hint="eastAsia"/>
                <w:sz w:val="21"/>
                <w:szCs w:val="21"/>
              </w:rPr>
              <w:t>279163.77</w:t>
            </w:r>
          </w:p>
        </w:tc>
        <w:tc>
          <w:tcPr>
            <w:tcW w:w="921" w:type="dxa"/>
            <w:tcBorders>
              <w:top w:val="nil"/>
              <w:left w:val="nil"/>
              <w:bottom w:val="single" w:sz="12" w:space="0" w:color="000000"/>
              <w:right w:val="nil"/>
            </w:tcBorders>
            <w:vAlign w:val="center"/>
          </w:tcPr>
          <w:p w14:paraId="308AED6F" w14:textId="77777777" w:rsidR="00000000" w:rsidRDefault="00000000">
            <w:pPr>
              <w:widowControl/>
              <w:snapToGrid w:val="0"/>
              <w:spacing w:line="360" w:lineRule="auto"/>
              <w:ind w:firstLine="0"/>
              <w:jc w:val="center"/>
              <w:rPr>
                <w:rFonts w:ascii="宋体" w:hAnsi="宋体" w:cs="宋体"/>
                <w:sz w:val="21"/>
                <w:szCs w:val="21"/>
              </w:rPr>
            </w:pPr>
            <w:r>
              <w:rPr>
                <w:rFonts w:ascii="宋体" w:hAnsi="宋体" w:cs="宋体" w:hint="eastAsia"/>
                <w:sz w:val="21"/>
                <w:szCs w:val="21"/>
              </w:rPr>
              <w:t>46.87%</w:t>
            </w:r>
          </w:p>
        </w:tc>
      </w:tr>
    </w:tbl>
    <w:p w14:paraId="568EBA4F" w14:textId="77777777" w:rsidR="00000000" w:rsidRDefault="00000000">
      <w:pPr>
        <w:widowControl/>
        <w:tabs>
          <w:tab w:val="left" w:pos="2199"/>
        </w:tabs>
        <w:ind w:firstLine="0"/>
        <w:rPr>
          <w:sz w:val="21"/>
          <w:szCs w:val="21"/>
        </w:rPr>
      </w:pPr>
      <w:r>
        <w:rPr>
          <w:rFonts w:hint="eastAsia"/>
          <w:sz w:val="21"/>
          <w:szCs w:val="21"/>
        </w:rPr>
        <w:t>数据来源：</w:t>
      </w:r>
      <w:r>
        <w:rPr>
          <w:rFonts w:hint="eastAsia"/>
          <w:sz w:val="21"/>
          <w:szCs w:val="21"/>
        </w:rPr>
        <w:t>M</w:t>
      </w:r>
      <w:r>
        <w:rPr>
          <w:rFonts w:hint="eastAsia"/>
          <w:sz w:val="21"/>
          <w:szCs w:val="21"/>
        </w:rPr>
        <w:t>公司</w:t>
      </w:r>
      <w:r>
        <w:rPr>
          <w:rFonts w:hint="eastAsia"/>
          <w:sz w:val="21"/>
          <w:szCs w:val="21"/>
        </w:rPr>
        <w:t>2020-2024</w:t>
      </w:r>
      <w:r>
        <w:rPr>
          <w:rFonts w:hint="eastAsia"/>
          <w:sz w:val="21"/>
          <w:szCs w:val="21"/>
        </w:rPr>
        <w:t>年度报告</w:t>
      </w:r>
    </w:p>
    <w:p w14:paraId="3C8E41CA" w14:textId="77777777" w:rsidR="00000000" w:rsidRDefault="00000000">
      <w:pPr>
        <w:pStyle w:val="afd"/>
        <w:numPr>
          <w:ilvl w:val="0"/>
          <w:numId w:val="28"/>
        </w:numPr>
        <w:ind w:firstLineChars="0"/>
        <w:rPr>
          <w:color w:val="auto"/>
        </w:rPr>
      </w:pPr>
      <w:r>
        <w:rPr>
          <w:rFonts w:hint="eastAsia"/>
          <w:color w:val="auto"/>
        </w:rPr>
        <w:t>固定资产比重低</w:t>
      </w:r>
    </w:p>
    <w:p w14:paraId="387EBB19" w14:textId="77777777" w:rsidR="00000000" w:rsidRDefault="00000000">
      <w:pPr>
        <w:pStyle w:val="afd"/>
        <w:ind w:firstLine="486"/>
        <w:rPr>
          <w:color w:val="auto"/>
        </w:rPr>
      </w:pPr>
      <w:r>
        <w:rPr>
          <w:rFonts w:hint="eastAsia"/>
          <w:color w:val="auto"/>
        </w:rPr>
        <w:t>采用轻资产运营策略的企业，通常通过聚焦核心业务和外包非关键业务来优化资源配置，这种运营模式显著降低了固定资产的投资需求，</w:t>
      </w:r>
      <w:r>
        <w:rPr>
          <w:rFonts w:ascii="Arial" w:eastAsia="Arial" w:hAnsi="Arial" w:cs="Arial"/>
          <w:color w:val="auto"/>
          <w:szCs w:val="24"/>
          <w:shd w:val="clear" w:color="auto" w:fill="FFFFFF"/>
        </w:rPr>
        <w:t>进而表现为资产结构中固定资产占比较低。</w:t>
      </w:r>
      <w:r>
        <w:rPr>
          <w:rFonts w:hint="eastAsia"/>
          <w:color w:val="auto"/>
        </w:rPr>
        <w:t>M公司公司作为典型案例，其2020-2024年的财务报表（表3-3）显示，固定资产占总资产的比例持续控制在4%以下，其中2023年更是降至2.86%的最低水平。</w:t>
      </w:r>
      <w:r>
        <w:rPr>
          <w:rFonts w:ascii="Arial" w:eastAsia="Arial" w:hAnsi="Arial" w:cs="Arial"/>
          <w:color w:val="auto"/>
          <w:szCs w:val="24"/>
          <w:shd w:val="clear" w:color="auto" w:fill="FFFFFF"/>
        </w:rPr>
        <w:t>这种资产结构特征清晰印证了轻资产运营模式的本质</w:t>
      </w:r>
      <w:r>
        <w:rPr>
          <w:rFonts w:ascii="Arial" w:hAnsi="Arial" w:cs="Arial" w:hint="eastAsia"/>
          <w:color w:val="auto"/>
          <w:szCs w:val="24"/>
          <w:shd w:val="clear" w:color="auto" w:fill="FFFFFF"/>
        </w:rPr>
        <w:t>：</w:t>
      </w:r>
      <w:r>
        <w:rPr>
          <w:rFonts w:hint="eastAsia"/>
          <w:color w:val="auto"/>
        </w:rPr>
        <w:t>即通过最小化固定资产投入，提高资本利用效率，将资源集中于研发、品牌管理等高附加值环节，从而形成以无形资产为核心的竞争优势。该数据序列不仅反映了M公司在资源配置上的战略选择，也直观展示了轻资产模式通过降低资本密集度实现运营灵活性和财务弹性的内在机制。</w:t>
      </w:r>
    </w:p>
    <w:p w14:paraId="70DC8A51" w14:textId="77777777" w:rsidR="00000000" w:rsidRDefault="00000000">
      <w:pPr>
        <w:widowControl/>
        <w:tabs>
          <w:tab w:val="left" w:pos="1549"/>
        </w:tabs>
        <w:spacing w:beforeLines="50" w:before="207" w:afterLines="50" w:after="207" w:line="400" w:lineRule="exact"/>
        <w:ind w:firstLine="0"/>
        <w:jc w:val="center"/>
        <w:rPr>
          <w:rFonts w:ascii="宋体" w:hAnsi="宋体" w:cs="宋体"/>
          <w:kern w:val="0"/>
          <w:sz w:val="21"/>
          <w:szCs w:val="21"/>
          <w:lang w:bidi="ar"/>
        </w:rPr>
      </w:pPr>
      <w:r>
        <w:rPr>
          <w:rFonts w:ascii="宋体" w:hAnsi="宋体" w:cs="宋体" w:hint="eastAsia"/>
          <w:kern w:val="0"/>
          <w:sz w:val="21"/>
          <w:szCs w:val="21"/>
          <w:lang w:bidi="ar"/>
        </w:rPr>
        <w:t>表3-3 M公司2020-2024年度固定资产情况表</w:t>
      </w:r>
    </w:p>
    <w:tbl>
      <w:tblPr>
        <w:tblW w:w="8639"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6" w:type="dxa"/>
          <w:left w:w="96" w:type="dxa"/>
          <w:bottom w:w="56" w:type="dxa"/>
          <w:right w:w="96" w:type="dxa"/>
        </w:tblCellMar>
        <w:tblLook w:val="0000" w:firstRow="0" w:lastRow="0" w:firstColumn="0" w:lastColumn="0" w:noHBand="0" w:noVBand="0"/>
      </w:tblPr>
      <w:tblGrid>
        <w:gridCol w:w="802"/>
        <w:gridCol w:w="2517"/>
        <w:gridCol w:w="2231"/>
        <w:gridCol w:w="3089"/>
      </w:tblGrid>
      <w:tr w:rsidR="00000000" w14:paraId="2F2017E7" w14:textId="77777777">
        <w:trPr>
          <w:jc w:val="center"/>
        </w:trPr>
        <w:tc>
          <w:tcPr>
            <w:tcW w:w="802" w:type="dxa"/>
            <w:tcBorders>
              <w:top w:val="single" w:sz="12" w:space="0" w:color="000000"/>
              <w:left w:val="nil"/>
              <w:bottom w:val="single" w:sz="4" w:space="0" w:color="000000"/>
              <w:right w:val="nil"/>
            </w:tcBorders>
            <w:vAlign w:val="center"/>
          </w:tcPr>
          <w:p w14:paraId="57B33644" w14:textId="77777777" w:rsidR="00000000" w:rsidRDefault="00000000">
            <w:pPr>
              <w:widowControl/>
              <w:tabs>
                <w:tab w:val="left" w:pos="2199"/>
              </w:tabs>
              <w:snapToGrid w:val="0"/>
              <w:ind w:firstLine="0"/>
              <w:jc w:val="center"/>
              <w:rPr>
                <w:rFonts w:ascii="宋体" w:hAnsi="宋体" w:cs="宋体"/>
                <w:b/>
                <w:bCs/>
                <w:sz w:val="21"/>
                <w:szCs w:val="21"/>
              </w:rPr>
            </w:pPr>
            <w:r>
              <w:rPr>
                <w:rFonts w:ascii="宋体" w:hAnsi="宋体" w:cs="宋体" w:hint="eastAsia"/>
                <w:b/>
                <w:bCs/>
                <w:sz w:val="21"/>
                <w:szCs w:val="21"/>
              </w:rPr>
              <w:t>年份</w:t>
            </w:r>
          </w:p>
        </w:tc>
        <w:tc>
          <w:tcPr>
            <w:tcW w:w="2517" w:type="dxa"/>
            <w:tcBorders>
              <w:top w:val="single" w:sz="12" w:space="0" w:color="000000"/>
              <w:left w:val="nil"/>
              <w:bottom w:val="single" w:sz="4" w:space="0" w:color="000000"/>
              <w:right w:val="nil"/>
            </w:tcBorders>
            <w:vAlign w:val="center"/>
          </w:tcPr>
          <w:p w14:paraId="1135BDD3" w14:textId="77777777" w:rsidR="00000000" w:rsidRDefault="00000000">
            <w:pPr>
              <w:widowControl/>
              <w:tabs>
                <w:tab w:val="left" w:pos="2199"/>
              </w:tabs>
              <w:snapToGrid w:val="0"/>
              <w:ind w:firstLine="0"/>
              <w:jc w:val="center"/>
              <w:rPr>
                <w:rFonts w:ascii="宋体" w:hAnsi="宋体" w:cs="宋体"/>
                <w:b/>
                <w:bCs/>
                <w:sz w:val="21"/>
                <w:szCs w:val="21"/>
              </w:rPr>
            </w:pPr>
            <w:r>
              <w:rPr>
                <w:rFonts w:ascii="宋体" w:hAnsi="宋体" w:cs="宋体" w:hint="eastAsia"/>
                <w:b/>
                <w:bCs/>
                <w:sz w:val="21"/>
                <w:szCs w:val="21"/>
              </w:rPr>
              <w:t>固定资产（万元）</w:t>
            </w:r>
          </w:p>
        </w:tc>
        <w:tc>
          <w:tcPr>
            <w:tcW w:w="2231" w:type="dxa"/>
            <w:tcBorders>
              <w:top w:val="single" w:sz="12" w:space="0" w:color="000000"/>
              <w:left w:val="nil"/>
              <w:bottom w:val="single" w:sz="4" w:space="0" w:color="000000"/>
              <w:right w:val="nil"/>
            </w:tcBorders>
            <w:vAlign w:val="center"/>
          </w:tcPr>
          <w:p w14:paraId="55C00970" w14:textId="77777777" w:rsidR="00000000" w:rsidRDefault="00000000">
            <w:pPr>
              <w:widowControl/>
              <w:tabs>
                <w:tab w:val="left" w:pos="2199"/>
              </w:tabs>
              <w:snapToGrid w:val="0"/>
              <w:ind w:firstLine="0"/>
              <w:jc w:val="center"/>
              <w:rPr>
                <w:rFonts w:ascii="宋体" w:hAnsi="宋体" w:cs="宋体"/>
                <w:b/>
                <w:bCs/>
                <w:sz w:val="21"/>
                <w:szCs w:val="21"/>
              </w:rPr>
            </w:pPr>
            <w:r>
              <w:rPr>
                <w:rFonts w:ascii="宋体" w:hAnsi="宋体" w:cs="宋体" w:hint="eastAsia"/>
                <w:b/>
                <w:bCs/>
                <w:sz w:val="21"/>
                <w:szCs w:val="21"/>
              </w:rPr>
              <w:t>总资产（万元）</w:t>
            </w:r>
          </w:p>
        </w:tc>
        <w:tc>
          <w:tcPr>
            <w:tcW w:w="3089" w:type="dxa"/>
            <w:tcBorders>
              <w:top w:val="single" w:sz="12" w:space="0" w:color="000000"/>
              <w:left w:val="nil"/>
              <w:bottom w:val="single" w:sz="4" w:space="0" w:color="000000"/>
              <w:right w:val="nil"/>
            </w:tcBorders>
            <w:vAlign w:val="center"/>
          </w:tcPr>
          <w:p w14:paraId="4336F9F6" w14:textId="77777777" w:rsidR="00000000" w:rsidRDefault="00000000">
            <w:pPr>
              <w:widowControl/>
              <w:tabs>
                <w:tab w:val="left" w:pos="2199"/>
              </w:tabs>
              <w:snapToGrid w:val="0"/>
              <w:ind w:firstLine="0"/>
              <w:jc w:val="center"/>
              <w:rPr>
                <w:rFonts w:ascii="宋体" w:hAnsi="宋体" w:cs="宋体"/>
                <w:b/>
                <w:bCs/>
                <w:sz w:val="21"/>
                <w:szCs w:val="21"/>
              </w:rPr>
            </w:pPr>
            <w:r>
              <w:rPr>
                <w:rFonts w:ascii="宋体" w:hAnsi="宋体" w:cs="宋体" w:hint="eastAsia"/>
                <w:b/>
                <w:bCs/>
                <w:sz w:val="21"/>
                <w:szCs w:val="21"/>
              </w:rPr>
              <w:t>固定资产占总资产比重</w:t>
            </w:r>
          </w:p>
        </w:tc>
      </w:tr>
      <w:tr w:rsidR="00000000" w14:paraId="57EDCE35" w14:textId="77777777">
        <w:trPr>
          <w:jc w:val="center"/>
        </w:trPr>
        <w:tc>
          <w:tcPr>
            <w:tcW w:w="802" w:type="dxa"/>
            <w:tcBorders>
              <w:top w:val="single" w:sz="4" w:space="0" w:color="000000"/>
              <w:left w:val="nil"/>
              <w:bottom w:val="nil"/>
              <w:right w:val="nil"/>
            </w:tcBorders>
            <w:vAlign w:val="center"/>
          </w:tcPr>
          <w:p w14:paraId="7D41C1F8" w14:textId="77777777" w:rsidR="00000000" w:rsidRDefault="00000000">
            <w:pPr>
              <w:widowControl/>
              <w:tabs>
                <w:tab w:val="left" w:pos="2199"/>
              </w:tabs>
              <w:snapToGrid w:val="0"/>
              <w:spacing w:line="360" w:lineRule="auto"/>
              <w:ind w:firstLine="0"/>
              <w:jc w:val="center"/>
              <w:rPr>
                <w:rFonts w:ascii="宋体" w:hAnsi="宋体" w:cs="宋体"/>
                <w:sz w:val="21"/>
                <w:szCs w:val="21"/>
              </w:rPr>
            </w:pPr>
            <w:r>
              <w:rPr>
                <w:rFonts w:ascii="宋体" w:hAnsi="宋体" w:cs="宋体" w:hint="eastAsia"/>
                <w:sz w:val="21"/>
                <w:szCs w:val="21"/>
              </w:rPr>
              <w:t>2020</w:t>
            </w:r>
          </w:p>
        </w:tc>
        <w:tc>
          <w:tcPr>
            <w:tcW w:w="2517" w:type="dxa"/>
            <w:tcBorders>
              <w:top w:val="single" w:sz="4" w:space="0" w:color="000000"/>
              <w:left w:val="nil"/>
              <w:bottom w:val="nil"/>
              <w:right w:val="nil"/>
            </w:tcBorders>
            <w:vAlign w:val="center"/>
          </w:tcPr>
          <w:p w14:paraId="5EBB4B1E" w14:textId="77777777" w:rsidR="00000000" w:rsidRDefault="00000000">
            <w:pPr>
              <w:widowControl/>
              <w:tabs>
                <w:tab w:val="left" w:pos="2199"/>
              </w:tabs>
              <w:snapToGrid w:val="0"/>
              <w:spacing w:line="360" w:lineRule="auto"/>
              <w:ind w:firstLine="40"/>
              <w:jc w:val="center"/>
              <w:rPr>
                <w:rFonts w:ascii="宋体" w:hAnsi="宋体" w:cs="宋体"/>
                <w:sz w:val="21"/>
                <w:szCs w:val="21"/>
              </w:rPr>
            </w:pPr>
            <w:r>
              <w:rPr>
                <w:rFonts w:ascii="宋体" w:hAnsi="宋体" w:cs="宋体" w:hint="eastAsia"/>
                <w:sz w:val="21"/>
                <w:szCs w:val="21"/>
              </w:rPr>
              <w:t>32348.57</w:t>
            </w:r>
          </w:p>
        </w:tc>
        <w:tc>
          <w:tcPr>
            <w:tcW w:w="2231" w:type="dxa"/>
            <w:tcBorders>
              <w:top w:val="single" w:sz="4" w:space="0" w:color="000000"/>
              <w:left w:val="nil"/>
              <w:bottom w:val="nil"/>
              <w:right w:val="nil"/>
            </w:tcBorders>
            <w:vAlign w:val="center"/>
          </w:tcPr>
          <w:p w14:paraId="523D99D6" w14:textId="77777777" w:rsidR="00000000" w:rsidRDefault="00000000">
            <w:pPr>
              <w:widowControl/>
              <w:tabs>
                <w:tab w:val="left" w:pos="2199"/>
              </w:tabs>
              <w:snapToGrid w:val="0"/>
              <w:spacing w:line="360" w:lineRule="auto"/>
              <w:ind w:firstLine="0"/>
              <w:jc w:val="center"/>
              <w:rPr>
                <w:rFonts w:ascii="宋体" w:hAnsi="宋体" w:cs="宋体"/>
                <w:sz w:val="21"/>
                <w:szCs w:val="21"/>
              </w:rPr>
            </w:pPr>
            <w:r>
              <w:rPr>
                <w:rFonts w:ascii="宋体" w:hAnsi="宋体" w:cs="宋体" w:hint="eastAsia"/>
                <w:sz w:val="21"/>
                <w:szCs w:val="21"/>
              </w:rPr>
              <w:t>928492.09</w:t>
            </w:r>
          </w:p>
        </w:tc>
        <w:tc>
          <w:tcPr>
            <w:tcW w:w="3089" w:type="dxa"/>
            <w:tcBorders>
              <w:top w:val="single" w:sz="4" w:space="0" w:color="000000"/>
              <w:left w:val="nil"/>
              <w:bottom w:val="nil"/>
              <w:right w:val="nil"/>
            </w:tcBorders>
            <w:vAlign w:val="center"/>
          </w:tcPr>
          <w:p w14:paraId="20437BB7" w14:textId="77777777" w:rsidR="00000000" w:rsidRDefault="00000000">
            <w:pPr>
              <w:widowControl/>
              <w:tabs>
                <w:tab w:val="left" w:pos="2199"/>
              </w:tabs>
              <w:snapToGrid w:val="0"/>
              <w:spacing w:line="360" w:lineRule="auto"/>
              <w:ind w:firstLineChars="452" w:firstLine="963"/>
              <w:jc w:val="left"/>
              <w:rPr>
                <w:rFonts w:ascii="宋体" w:hAnsi="宋体" w:cs="宋体"/>
                <w:sz w:val="21"/>
                <w:szCs w:val="21"/>
              </w:rPr>
            </w:pPr>
            <w:r>
              <w:rPr>
                <w:rFonts w:ascii="宋体" w:hAnsi="宋体" w:cs="宋体" w:hint="eastAsia"/>
                <w:sz w:val="21"/>
                <w:szCs w:val="21"/>
              </w:rPr>
              <w:t>3.48%</w:t>
            </w:r>
          </w:p>
        </w:tc>
      </w:tr>
      <w:tr w:rsidR="00000000" w14:paraId="7407DCC1" w14:textId="77777777">
        <w:trPr>
          <w:jc w:val="center"/>
        </w:trPr>
        <w:tc>
          <w:tcPr>
            <w:tcW w:w="802" w:type="dxa"/>
            <w:tcBorders>
              <w:top w:val="nil"/>
              <w:left w:val="nil"/>
              <w:bottom w:val="nil"/>
              <w:right w:val="nil"/>
            </w:tcBorders>
            <w:vAlign w:val="center"/>
          </w:tcPr>
          <w:p w14:paraId="590C9FF8" w14:textId="77777777" w:rsidR="00000000" w:rsidRDefault="00000000">
            <w:pPr>
              <w:widowControl/>
              <w:tabs>
                <w:tab w:val="left" w:pos="2199"/>
              </w:tabs>
              <w:snapToGrid w:val="0"/>
              <w:spacing w:line="360" w:lineRule="auto"/>
              <w:ind w:firstLine="0"/>
              <w:jc w:val="center"/>
              <w:rPr>
                <w:rFonts w:ascii="宋体" w:hAnsi="宋体" w:cs="宋体"/>
                <w:sz w:val="21"/>
                <w:szCs w:val="21"/>
              </w:rPr>
            </w:pPr>
            <w:r>
              <w:rPr>
                <w:rFonts w:ascii="宋体" w:hAnsi="宋体" w:cs="宋体" w:hint="eastAsia"/>
                <w:sz w:val="21"/>
                <w:szCs w:val="21"/>
              </w:rPr>
              <w:t>2021</w:t>
            </w:r>
          </w:p>
        </w:tc>
        <w:tc>
          <w:tcPr>
            <w:tcW w:w="2517" w:type="dxa"/>
            <w:tcBorders>
              <w:top w:val="nil"/>
              <w:left w:val="nil"/>
              <w:bottom w:val="nil"/>
              <w:right w:val="nil"/>
            </w:tcBorders>
            <w:vAlign w:val="center"/>
          </w:tcPr>
          <w:p w14:paraId="5461C954" w14:textId="77777777" w:rsidR="00000000" w:rsidRDefault="00000000">
            <w:pPr>
              <w:widowControl/>
              <w:tabs>
                <w:tab w:val="left" w:pos="2199"/>
              </w:tabs>
              <w:snapToGrid w:val="0"/>
              <w:spacing w:line="360" w:lineRule="auto"/>
              <w:ind w:firstLine="0"/>
              <w:jc w:val="center"/>
              <w:rPr>
                <w:rFonts w:ascii="宋体" w:hAnsi="宋体" w:cs="宋体"/>
                <w:sz w:val="21"/>
                <w:szCs w:val="21"/>
              </w:rPr>
            </w:pPr>
            <w:r>
              <w:rPr>
                <w:rFonts w:ascii="宋体" w:hAnsi="宋体" w:cs="宋体" w:hint="eastAsia"/>
                <w:sz w:val="21"/>
                <w:szCs w:val="21"/>
              </w:rPr>
              <w:t>32266.14</w:t>
            </w:r>
          </w:p>
        </w:tc>
        <w:tc>
          <w:tcPr>
            <w:tcW w:w="2231" w:type="dxa"/>
            <w:tcBorders>
              <w:top w:val="nil"/>
              <w:left w:val="nil"/>
              <w:bottom w:val="nil"/>
              <w:right w:val="nil"/>
            </w:tcBorders>
            <w:vAlign w:val="center"/>
          </w:tcPr>
          <w:p w14:paraId="46758C5C" w14:textId="77777777" w:rsidR="00000000" w:rsidRDefault="00000000">
            <w:pPr>
              <w:widowControl/>
              <w:tabs>
                <w:tab w:val="left" w:pos="2199"/>
              </w:tabs>
              <w:snapToGrid w:val="0"/>
              <w:spacing w:line="360" w:lineRule="auto"/>
              <w:ind w:firstLine="0"/>
              <w:jc w:val="center"/>
              <w:rPr>
                <w:rFonts w:ascii="宋体" w:hAnsi="宋体" w:cs="宋体"/>
                <w:sz w:val="21"/>
                <w:szCs w:val="21"/>
              </w:rPr>
            </w:pPr>
            <w:r>
              <w:rPr>
                <w:rFonts w:ascii="宋体" w:hAnsi="宋体" w:cs="宋体" w:hint="eastAsia"/>
                <w:sz w:val="21"/>
                <w:szCs w:val="21"/>
              </w:rPr>
              <w:t>1039061.15</w:t>
            </w:r>
          </w:p>
        </w:tc>
        <w:tc>
          <w:tcPr>
            <w:tcW w:w="3089" w:type="dxa"/>
            <w:tcBorders>
              <w:top w:val="nil"/>
              <w:left w:val="nil"/>
              <w:bottom w:val="nil"/>
              <w:right w:val="nil"/>
            </w:tcBorders>
            <w:vAlign w:val="center"/>
          </w:tcPr>
          <w:p w14:paraId="26966E07" w14:textId="77777777" w:rsidR="00000000" w:rsidRDefault="00000000">
            <w:pPr>
              <w:widowControl/>
              <w:snapToGrid w:val="0"/>
              <w:spacing w:line="360" w:lineRule="auto"/>
              <w:ind w:firstLineChars="452" w:firstLine="963"/>
              <w:jc w:val="left"/>
              <w:rPr>
                <w:rFonts w:ascii="宋体" w:hAnsi="宋体" w:cs="宋体"/>
                <w:sz w:val="21"/>
                <w:szCs w:val="21"/>
              </w:rPr>
            </w:pPr>
            <w:r>
              <w:rPr>
                <w:rFonts w:ascii="宋体" w:hAnsi="宋体" w:cs="宋体" w:hint="eastAsia"/>
                <w:sz w:val="21"/>
                <w:szCs w:val="21"/>
              </w:rPr>
              <w:t>3.11%</w:t>
            </w:r>
          </w:p>
        </w:tc>
      </w:tr>
      <w:tr w:rsidR="00000000" w14:paraId="16A8FC5C" w14:textId="77777777">
        <w:trPr>
          <w:jc w:val="center"/>
        </w:trPr>
        <w:tc>
          <w:tcPr>
            <w:tcW w:w="802" w:type="dxa"/>
            <w:tcBorders>
              <w:top w:val="nil"/>
              <w:left w:val="nil"/>
              <w:bottom w:val="nil"/>
              <w:right w:val="nil"/>
            </w:tcBorders>
            <w:vAlign w:val="center"/>
          </w:tcPr>
          <w:p w14:paraId="6CACCCA0" w14:textId="77777777" w:rsidR="00000000" w:rsidRDefault="00000000">
            <w:pPr>
              <w:widowControl/>
              <w:tabs>
                <w:tab w:val="left" w:pos="2199"/>
              </w:tabs>
              <w:snapToGrid w:val="0"/>
              <w:spacing w:line="360" w:lineRule="auto"/>
              <w:ind w:firstLine="0"/>
              <w:jc w:val="center"/>
              <w:rPr>
                <w:rFonts w:ascii="宋体" w:hAnsi="宋体" w:cs="宋体"/>
                <w:sz w:val="21"/>
                <w:szCs w:val="21"/>
              </w:rPr>
            </w:pPr>
            <w:r>
              <w:rPr>
                <w:rFonts w:ascii="宋体" w:hAnsi="宋体" w:cs="宋体" w:hint="eastAsia"/>
                <w:sz w:val="21"/>
                <w:szCs w:val="21"/>
              </w:rPr>
              <w:t>2022</w:t>
            </w:r>
          </w:p>
        </w:tc>
        <w:tc>
          <w:tcPr>
            <w:tcW w:w="2517" w:type="dxa"/>
            <w:tcBorders>
              <w:top w:val="nil"/>
              <w:left w:val="nil"/>
              <w:bottom w:val="nil"/>
              <w:right w:val="nil"/>
            </w:tcBorders>
            <w:vAlign w:val="center"/>
          </w:tcPr>
          <w:p w14:paraId="3C330159" w14:textId="77777777" w:rsidR="00000000" w:rsidRDefault="00000000">
            <w:pPr>
              <w:widowControl/>
              <w:tabs>
                <w:tab w:val="left" w:pos="2199"/>
              </w:tabs>
              <w:snapToGrid w:val="0"/>
              <w:spacing w:line="360" w:lineRule="auto"/>
              <w:ind w:firstLine="0"/>
              <w:jc w:val="center"/>
              <w:rPr>
                <w:rFonts w:ascii="宋体" w:hAnsi="宋体" w:cs="宋体"/>
                <w:sz w:val="21"/>
                <w:szCs w:val="21"/>
              </w:rPr>
            </w:pPr>
            <w:r>
              <w:rPr>
                <w:rFonts w:ascii="宋体" w:hAnsi="宋体" w:cs="宋体" w:hint="eastAsia"/>
                <w:sz w:val="21"/>
                <w:szCs w:val="21"/>
              </w:rPr>
              <w:t>39248.64</w:t>
            </w:r>
          </w:p>
        </w:tc>
        <w:tc>
          <w:tcPr>
            <w:tcW w:w="2231" w:type="dxa"/>
            <w:tcBorders>
              <w:top w:val="nil"/>
              <w:left w:val="nil"/>
              <w:bottom w:val="nil"/>
              <w:right w:val="nil"/>
            </w:tcBorders>
            <w:vAlign w:val="center"/>
          </w:tcPr>
          <w:p w14:paraId="0BC78A7A" w14:textId="77777777" w:rsidR="00000000" w:rsidRDefault="00000000">
            <w:pPr>
              <w:widowControl/>
              <w:tabs>
                <w:tab w:val="left" w:pos="2199"/>
              </w:tabs>
              <w:snapToGrid w:val="0"/>
              <w:spacing w:line="360" w:lineRule="auto"/>
              <w:ind w:firstLine="0"/>
              <w:jc w:val="center"/>
              <w:rPr>
                <w:rFonts w:ascii="宋体" w:hAnsi="宋体" w:cs="宋体"/>
                <w:sz w:val="21"/>
                <w:szCs w:val="21"/>
              </w:rPr>
            </w:pPr>
            <w:r>
              <w:rPr>
                <w:rFonts w:ascii="宋体" w:hAnsi="宋体" w:cs="宋体" w:hint="eastAsia"/>
                <w:sz w:val="21"/>
                <w:szCs w:val="21"/>
              </w:rPr>
              <w:t>1105024.88</w:t>
            </w:r>
          </w:p>
        </w:tc>
        <w:tc>
          <w:tcPr>
            <w:tcW w:w="3089" w:type="dxa"/>
            <w:tcBorders>
              <w:top w:val="nil"/>
              <w:left w:val="nil"/>
              <w:bottom w:val="nil"/>
              <w:right w:val="nil"/>
            </w:tcBorders>
            <w:vAlign w:val="center"/>
          </w:tcPr>
          <w:p w14:paraId="01182751" w14:textId="77777777" w:rsidR="00000000" w:rsidRDefault="00000000">
            <w:pPr>
              <w:widowControl/>
              <w:tabs>
                <w:tab w:val="left" w:pos="2199"/>
              </w:tabs>
              <w:snapToGrid w:val="0"/>
              <w:spacing w:line="360" w:lineRule="auto"/>
              <w:ind w:firstLineChars="452" w:firstLine="963"/>
              <w:jc w:val="left"/>
              <w:rPr>
                <w:rFonts w:ascii="宋体" w:hAnsi="宋体" w:cs="宋体"/>
                <w:sz w:val="21"/>
                <w:szCs w:val="21"/>
              </w:rPr>
            </w:pPr>
            <w:r>
              <w:rPr>
                <w:rFonts w:ascii="宋体" w:hAnsi="宋体" w:cs="宋体" w:hint="eastAsia"/>
                <w:sz w:val="21"/>
                <w:szCs w:val="21"/>
              </w:rPr>
              <w:t>3.55%</w:t>
            </w:r>
          </w:p>
        </w:tc>
      </w:tr>
      <w:tr w:rsidR="00000000" w14:paraId="59599A9D" w14:textId="77777777">
        <w:trPr>
          <w:jc w:val="center"/>
        </w:trPr>
        <w:tc>
          <w:tcPr>
            <w:tcW w:w="802" w:type="dxa"/>
            <w:tcBorders>
              <w:top w:val="nil"/>
              <w:left w:val="nil"/>
              <w:bottom w:val="nil"/>
              <w:right w:val="nil"/>
            </w:tcBorders>
            <w:vAlign w:val="center"/>
          </w:tcPr>
          <w:p w14:paraId="6BE61629" w14:textId="77777777" w:rsidR="00000000" w:rsidRDefault="00000000">
            <w:pPr>
              <w:widowControl/>
              <w:tabs>
                <w:tab w:val="left" w:pos="2199"/>
              </w:tabs>
              <w:snapToGrid w:val="0"/>
              <w:spacing w:line="360" w:lineRule="auto"/>
              <w:ind w:firstLine="0"/>
              <w:jc w:val="center"/>
              <w:rPr>
                <w:rFonts w:ascii="宋体" w:hAnsi="宋体" w:cs="宋体"/>
                <w:sz w:val="21"/>
                <w:szCs w:val="21"/>
              </w:rPr>
            </w:pPr>
            <w:r>
              <w:rPr>
                <w:rFonts w:ascii="宋体" w:hAnsi="宋体" w:cs="宋体" w:hint="eastAsia"/>
                <w:sz w:val="21"/>
                <w:szCs w:val="21"/>
              </w:rPr>
              <w:t>2023</w:t>
            </w:r>
          </w:p>
        </w:tc>
        <w:tc>
          <w:tcPr>
            <w:tcW w:w="2517" w:type="dxa"/>
            <w:tcBorders>
              <w:top w:val="nil"/>
              <w:left w:val="nil"/>
              <w:bottom w:val="nil"/>
              <w:right w:val="nil"/>
            </w:tcBorders>
            <w:vAlign w:val="center"/>
          </w:tcPr>
          <w:p w14:paraId="74ED05D6" w14:textId="77777777" w:rsidR="00000000" w:rsidRDefault="00000000">
            <w:pPr>
              <w:widowControl/>
              <w:tabs>
                <w:tab w:val="left" w:pos="2199"/>
              </w:tabs>
              <w:snapToGrid w:val="0"/>
              <w:spacing w:line="360" w:lineRule="auto"/>
              <w:ind w:firstLine="0"/>
              <w:jc w:val="center"/>
              <w:rPr>
                <w:rFonts w:ascii="宋体" w:hAnsi="宋体" w:cs="宋体"/>
                <w:sz w:val="21"/>
                <w:szCs w:val="21"/>
              </w:rPr>
            </w:pPr>
            <w:r>
              <w:rPr>
                <w:rFonts w:ascii="宋体" w:hAnsi="宋体" w:cs="宋体" w:hint="eastAsia"/>
                <w:sz w:val="21"/>
                <w:szCs w:val="21"/>
              </w:rPr>
              <w:t>31175.45</w:t>
            </w:r>
          </w:p>
        </w:tc>
        <w:tc>
          <w:tcPr>
            <w:tcW w:w="2231" w:type="dxa"/>
            <w:tcBorders>
              <w:top w:val="nil"/>
              <w:left w:val="nil"/>
              <w:bottom w:val="nil"/>
              <w:right w:val="nil"/>
            </w:tcBorders>
            <w:vAlign w:val="center"/>
          </w:tcPr>
          <w:p w14:paraId="4405CA5E" w14:textId="77777777" w:rsidR="00000000" w:rsidRDefault="00000000">
            <w:pPr>
              <w:widowControl/>
              <w:tabs>
                <w:tab w:val="left" w:pos="2199"/>
              </w:tabs>
              <w:snapToGrid w:val="0"/>
              <w:spacing w:line="360" w:lineRule="auto"/>
              <w:ind w:firstLine="0"/>
              <w:jc w:val="center"/>
              <w:rPr>
                <w:rFonts w:ascii="宋体" w:hAnsi="宋体" w:cs="宋体"/>
                <w:sz w:val="21"/>
                <w:szCs w:val="21"/>
              </w:rPr>
            </w:pPr>
            <w:r>
              <w:rPr>
                <w:rFonts w:ascii="宋体" w:hAnsi="宋体" w:cs="宋体" w:hint="eastAsia"/>
                <w:sz w:val="21"/>
                <w:szCs w:val="21"/>
              </w:rPr>
              <w:t>1087627.32</w:t>
            </w:r>
          </w:p>
        </w:tc>
        <w:tc>
          <w:tcPr>
            <w:tcW w:w="3089" w:type="dxa"/>
            <w:tcBorders>
              <w:top w:val="nil"/>
              <w:left w:val="nil"/>
              <w:bottom w:val="nil"/>
              <w:right w:val="nil"/>
            </w:tcBorders>
            <w:vAlign w:val="center"/>
          </w:tcPr>
          <w:p w14:paraId="2D315A15" w14:textId="77777777" w:rsidR="00000000" w:rsidRDefault="00000000">
            <w:pPr>
              <w:widowControl/>
              <w:tabs>
                <w:tab w:val="left" w:pos="2199"/>
              </w:tabs>
              <w:snapToGrid w:val="0"/>
              <w:spacing w:line="360" w:lineRule="auto"/>
              <w:ind w:firstLineChars="452" w:firstLine="963"/>
              <w:jc w:val="left"/>
              <w:rPr>
                <w:rFonts w:ascii="宋体" w:hAnsi="宋体" w:cs="宋体"/>
                <w:sz w:val="21"/>
                <w:szCs w:val="21"/>
              </w:rPr>
            </w:pPr>
            <w:r>
              <w:rPr>
                <w:rFonts w:ascii="宋体" w:hAnsi="宋体" w:cs="宋体" w:hint="eastAsia"/>
                <w:sz w:val="21"/>
                <w:szCs w:val="21"/>
              </w:rPr>
              <w:t>2.86%</w:t>
            </w:r>
          </w:p>
        </w:tc>
      </w:tr>
      <w:tr w:rsidR="00000000" w14:paraId="4973AAA2" w14:textId="77777777">
        <w:trPr>
          <w:jc w:val="center"/>
        </w:trPr>
        <w:tc>
          <w:tcPr>
            <w:tcW w:w="802" w:type="dxa"/>
            <w:tcBorders>
              <w:top w:val="nil"/>
              <w:left w:val="nil"/>
              <w:bottom w:val="single" w:sz="12" w:space="0" w:color="000000"/>
              <w:right w:val="nil"/>
            </w:tcBorders>
            <w:vAlign w:val="center"/>
          </w:tcPr>
          <w:p w14:paraId="5D8D61B5" w14:textId="77777777" w:rsidR="00000000" w:rsidRDefault="00000000">
            <w:pPr>
              <w:widowControl/>
              <w:tabs>
                <w:tab w:val="left" w:pos="2199"/>
              </w:tabs>
              <w:snapToGrid w:val="0"/>
              <w:spacing w:line="360" w:lineRule="auto"/>
              <w:ind w:firstLine="0"/>
              <w:jc w:val="center"/>
              <w:rPr>
                <w:rFonts w:ascii="宋体" w:hAnsi="宋体" w:cs="宋体"/>
                <w:sz w:val="21"/>
                <w:szCs w:val="21"/>
              </w:rPr>
            </w:pPr>
            <w:r>
              <w:rPr>
                <w:rFonts w:ascii="宋体" w:hAnsi="宋体" w:cs="宋体" w:hint="eastAsia"/>
                <w:sz w:val="21"/>
                <w:szCs w:val="21"/>
              </w:rPr>
              <w:t>2024</w:t>
            </w:r>
          </w:p>
        </w:tc>
        <w:tc>
          <w:tcPr>
            <w:tcW w:w="2517" w:type="dxa"/>
            <w:tcBorders>
              <w:top w:val="nil"/>
              <w:left w:val="nil"/>
              <w:bottom w:val="single" w:sz="12" w:space="0" w:color="000000"/>
              <w:right w:val="nil"/>
            </w:tcBorders>
            <w:vAlign w:val="center"/>
          </w:tcPr>
          <w:p w14:paraId="13EA5371" w14:textId="77777777" w:rsidR="00000000" w:rsidRDefault="00000000">
            <w:pPr>
              <w:widowControl/>
              <w:tabs>
                <w:tab w:val="left" w:pos="2199"/>
              </w:tabs>
              <w:snapToGrid w:val="0"/>
              <w:spacing w:line="360" w:lineRule="auto"/>
              <w:ind w:firstLine="0"/>
              <w:jc w:val="center"/>
              <w:rPr>
                <w:rFonts w:ascii="宋体" w:hAnsi="宋体" w:cs="宋体"/>
                <w:sz w:val="21"/>
                <w:szCs w:val="21"/>
              </w:rPr>
            </w:pPr>
            <w:r>
              <w:rPr>
                <w:rFonts w:ascii="宋体" w:hAnsi="宋体" w:cs="宋体" w:hint="eastAsia"/>
                <w:sz w:val="21"/>
                <w:szCs w:val="21"/>
              </w:rPr>
              <w:t>32892.95</w:t>
            </w:r>
          </w:p>
        </w:tc>
        <w:tc>
          <w:tcPr>
            <w:tcW w:w="2231" w:type="dxa"/>
            <w:tcBorders>
              <w:top w:val="nil"/>
              <w:left w:val="nil"/>
              <w:bottom w:val="single" w:sz="12" w:space="0" w:color="000000"/>
              <w:right w:val="nil"/>
            </w:tcBorders>
            <w:vAlign w:val="center"/>
          </w:tcPr>
          <w:p w14:paraId="1F8FE51A" w14:textId="77777777" w:rsidR="00000000" w:rsidRDefault="00000000">
            <w:pPr>
              <w:widowControl/>
              <w:tabs>
                <w:tab w:val="left" w:pos="2199"/>
              </w:tabs>
              <w:snapToGrid w:val="0"/>
              <w:spacing w:line="360" w:lineRule="auto"/>
              <w:ind w:firstLine="0"/>
              <w:jc w:val="center"/>
              <w:rPr>
                <w:rFonts w:ascii="宋体" w:hAnsi="宋体" w:cs="宋体"/>
                <w:sz w:val="21"/>
                <w:szCs w:val="21"/>
              </w:rPr>
            </w:pPr>
            <w:r>
              <w:rPr>
                <w:rFonts w:ascii="宋体" w:hAnsi="宋体" w:cs="宋体" w:hint="eastAsia"/>
                <w:sz w:val="21"/>
                <w:szCs w:val="21"/>
              </w:rPr>
              <w:t>1080552.66</w:t>
            </w:r>
          </w:p>
        </w:tc>
        <w:tc>
          <w:tcPr>
            <w:tcW w:w="3089" w:type="dxa"/>
            <w:tcBorders>
              <w:top w:val="nil"/>
              <w:left w:val="nil"/>
              <w:bottom w:val="single" w:sz="12" w:space="0" w:color="000000"/>
              <w:right w:val="nil"/>
            </w:tcBorders>
            <w:vAlign w:val="center"/>
          </w:tcPr>
          <w:p w14:paraId="6E54E21F" w14:textId="77777777" w:rsidR="00000000" w:rsidRDefault="00000000">
            <w:pPr>
              <w:widowControl/>
              <w:tabs>
                <w:tab w:val="left" w:pos="2199"/>
              </w:tabs>
              <w:snapToGrid w:val="0"/>
              <w:spacing w:line="360" w:lineRule="auto"/>
              <w:ind w:firstLineChars="452" w:firstLine="963"/>
              <w:jc w:val="left"/>
              <w:rPr>
                <w:rFonts w:ascii="宋体" w:hAnsi="宋体" w:cs="宋体"/>
                <w:sz w:val="21"/>
                <w:szCs w:val="21"/>
              </w:rPr>
            </w:pPr>
            <w:r>
              <w:rPr>
                <w:rFonts w:ascii="宋体" w:hAnsi="宋体" w:cs="宋体" w:hint="eastAsia"/>
                <w:sz w:val="21"/>
                <w:szCs w:val="21"/>
              </w:rPr>
              <w:t>3.04%</w:t>
            </w:r>
          </w:p>
        </w:tc>
      </w:tr>
    </w:tbl>
    <w:p w14:paraId="7565EDED" w14:textId="77777777" w:rsidR="00000000" w:rsidRDefault="00000000">
      <w:pPr>
        <w:widowControl/>
        <w:tabs>
          <w:tab w:val="left" w:pos="2199"/>
        </w:tabs>
        <w:ind w:firstLine="0"/>
        <w:rPr>
          <w:rFonts w:ascii="宋体" w:hAnsi="宋体" w:cs="宋体"/>
          <w:sz w:val="21"/>
          <w:szCs w:val="21"/>
        </w:rPr>
      </w:pPr>
      <w:r>
        <w:rPr>
          <w:rFonts w:hint="eastAsia"/>
          <w:sz w:val="21"/>
          <w:szCs w:val="21"/>
        </w:rPr>
        <w:t>数据来源：</w:t>
      </w:r>
      <w:r>
        <w:rPr>
          <w:rFonts w:hint="eastAsia"/>
          <w:sz w:val="21"/>
          <w:szCs w:val="21"/>
        </w:rPr>
        <w:t>M</w:t>
      </w:r>
      <w:r>
        <w:rPr>
          <w:rFonts w:hint="eastAsia"/>
          <w:sz w:val="21"/>
          <w:szCs w:val="21"/>
        </w:rPr>
        <w:t>公司</w:t>
      </w:r>
      <w:r>
        <w:rPr>
          <w:rFonts w:hint="eastAsia"/>
          <w:sz w:val="21"/>
          <w:szCs w:val="21"/>
        </w:rPr>
        <w:t>2020-2024</w:t>
      </w:r>
      <w:r>
        <w:rPr>
          <w:rFonts w:hint="eastAsia"/>
          <w:sz w:val="21"/>
          <w:szCs w:val="21"/>
        </w:rPr>
        <w:t>年度报告</w:t>
      </w:r>
    </w:p>
    <w:p w14:paraId="62659E92" w14:textId="77777777" w:rsidR="00000000" w:rsidRDefault="00000000">
      <w:pPr>
        <w:widowControl/>
        <w:numPr>
          <w:ilvl w:val="0"/>
          <w:numId w:val="28"/>
        </w:numPr>
        <w:spacing w:line="400" w:lineRule="exact"/>
        <w:rPr>
          <w:rFonts w:ascii="宋体" w:hAnsi="宋体" w:cs="宋体"/>
        </w:rPr>
      </w:pPr>
      <w:bookmarkStart w:id="67" w:name="OLE_LINK10"/>
      <w:r>
        <w:rPr>
          <w:rFonts w:ascii="宋体" w:hAnsi="宋体" w:cs="宋体" w:hint="eastAsia"/>
          <w:szCs w:val="24"/>
        </w:rPr>
        <w:t xml:space="preserve">流动负债总量显著，无息负债占据主导地位                                                                                                            </w:t>
      </w:r>
    </w:p>
    <w:bookmarkEnd w:id="67"/>
    <w:p w14:paraId="6F814272" w14:textId="77777777" w:rsidR="00000000" w:rsidRDefault="00000000">
      <w:pPr>
        <w:pStyle w:val="afd"/>
        <w:ind w:firstLine="486"/>
        <w:rPr>
          <w:color w:val="auto"/>
        </w:rPr>
      </w:pPr>
      <w:r>
        <w:rPr>
          <w:color w:val="auto"/>
        </w:rPr>
        <w:t>轻资产运营企业在资本结构中呈现出独特的负债特征</w:t>
      </w:r>
      <w:r>
        <w:rPr>
          <w:rFonts w:hint="eastAsia"/>
          <w:color w:val="auto"/>
        </w:rPr>
        <w:t>，</w:t>
      </w:r>
      <w:r>
        <w:rPr>
          <w:color w:val="auto"/>
        </w:rPr>
        <w:t>通过战略性运用财务杠杆效应</w:t>
      </w:r>
      <w:r>
        <w:rPr>
          <w:rFonts w:hint="eastAsia"/>
          <w:color w:val="auto"/>
        </w:rPr>
        <w:t>。</w:t>
      </w:r>
      <w:r>
        <w:rPr>
          <w:color w:val="auto"/>
        </w:rPr>
        <w:t>该模式强调在研发创新和渠道控制领域构建核心竞争力，从而在企业生态链中形成对上下游合作伙伴的议价能力。这种能力使企业能够有效运用商业信用，通过增加应付账款等无息负债的规模和比例，形成高流动负债占比的财务结构。</w:t>
      </w:r>
    </w:p>
    <w:p w14:paraId="4CDEEF79" w14:textId="77777777" w:rsidR="00000000" w:rsidRDefault="00000000">
      <w:pPr>
        <w:pStyle w:val="afd"/>
        <w:ind w:firstLine="486"/>
        <w:rPr>
          <w:color w:val="auto"/>
        </w:rPr>
      </w:pPr>
      <w:r>
        <w:rPr>
          <w:color w:val="auto"/>
        </w:rPr>
        <w:t>对M公司20</w:t>
      </w:r>
      <w:r>
        <w:rPr>
          <w:rFonts w:hint="eastAsia"/>
          <w:color w:val="auto"/>
        </w:rPr>
        <w:t>20</w:t>
      </w:r>
      <w:r>
        <w:rPr>
          <w:color w:val="auto"/>
        </w:rPr>
        <w:t>-202</w:t>
      </w:r>
      <w:r>
        <w:rPr>
          <w:rFonts w:hint="eastAsia"/>
          <w:color w:val="auto"/>
        </w:rPr>
        <w:t>4</w:t>
      </w:r>
      <w:r>
        <w:rPr>
          <w:color w:val="auto"/>
        </w:rPr>
        <w:t>年的财务数据分析（表3-</w:t>
      </w:r>
      <w:r>
        <w:rPr>
          <w:rFonts w:hint="eastAsia"/>
          <w:color w:val="auto"/>
        </w:rPr>
        <w:t>4</w:t>
      </w:r>
      <w:r>
        <w:rPr>
          <w:color w:val="auto"/>
        </w:rPr>
        <w:t>）显示，其流动负债在总负债中占比持续超过95%，凸显了负债结构的高度流动性。尤为显著的是，无息负债在流动负债中占据主导地位，20</w:t>
      </w:r>
      <w:r>
        <w:rPr>
          <w:rFonts w:hint="eastAsia"/>
          <w:color w:val="auto"/>
        </w:rPr>
        <w:t>20</w:t>
      </w:r>
      <w:r>
        <w:rPr>
          <w:color w:val="auto"/>
        </w:rPr>
        <w:t>年占比高达</w:t>
      </w:r>
      <w:r>
        <w:rPr>
          <w:rFonts w:hint="eastAsia"/>
          <w:color w:val="auto"/>
        </w:rPr>
        <w:t>72.31</w:t>
      </w:r>
      <w:r>
        <w:rPr>
          <w:color w:val="auto"/>
        </w:rPr>
        <w:t>%，即便在占比最低的202</w:t>
      </w:r>
      <w:r>
        <w:rPr>
          <w:rFonts w:hint="eastAsia"/>
          <w:color w:val="auto"/>
        </w:rPr>
        <w:t>4</w:t>
      </w:r>
      <w:r>
        <w:rPr>
          <w:color w:val="auto"/>
        </w:rPr>
        <w:t>年，仍接近流动负债总额的</w:t>
      </w:r>
      <w:r>
        <w:rPr>
          <w:rFonts w:hint="eastAsia"/>
          <w:color w:val="auto"/>
        </w:rPr>
        <w:t>34.92</w:t>
      </w:r>
      <w:r>
        <w:rPr>
          <w:color w:val="auto"/>
        </w:rPr>
        <w:t>%。这种无息负债主导的流动负债结构，不</w:t>
      </w:r>
      <w:r>
        <w:rPr>
          <w:color w:val="auto"/>
        </w:rPr>
        <w:lastRenderedPageBreak/>
        <w:t>仅降低了企业的融资成本，更通过占用供应链资金实现了运营资本的优化</w:t>
      </w:r>
      <w:r>
        <w:rPr>
          <w:rFonts w:hint="eastAsia"/>
          <w:color w:val="auto"/>
        </w:rPr>
        <w:t>，生动诠释了轻资产模式中依托高杠杆效应实现规模扩张的财务运营机理。</w:t>
      </w:r>
    </w:p>
    <w:p w14:paraId="1F95C9B4" w14:textId="77777777" w:rsidR="00000000" w:rsidRDefault="00000000">
      <w:pPr>
        <w:pStyle w:val="afd"/>
        <w:spacing w:beforeLines="50" w:before="207" w:afterLines="50" w:after="207"/>
        <w:ind w:firstLineChars="0" w:firstLine="0"/>
        <w:jc w:val="center"/>
        <w:rPr>
          <w:color w:val="auto"/>
          <w:sz w:val="21"/>
          <w:szCs w:val="21"/>
        </w:rPr>
      </w:pPr>
      <w:r>
        <w:rPr>
          <w:color w:val="auto"/>
          <w:sz w:val="21"/>
          <w:szCs w:val="21"/>
        </w:rPr>
        <w:t>表3-</w:t>
      </w:r>
      <w:r>
        <w:rPr>
          <w:rFonts w:hint="eastAsia"/>
          <w:color w:val="auto"/>
          <w:sz w:val="21"/>
          <w:szCs w:val="21"/>
        </w:rPr>
        <w:t xml:space="preserve">4 </w:t>
      </w:r>
      <w:r>
        <w:rPr>
          <w:color w:val="auto"/>
          <w:sz w:val="21"/>
          <w:szCs w:val="21"/>
        </w:rPr>
        <w:t>M公司</w:t>
      </w:r>
      <w:r>
        <w:rPr>
          <w:rFonts w:hint="eastAsia"/>
          <w:color w:val="auto"/>
          <w:sz w:val="21"/>
          <w:szCs w:val="21"/>
        </w:rPr>
        <w:t>2020-2024年度</w:t>
      </w:r>
      <w:r>
        <w:rPr>
          <w:color w:val="auto"/>
          <w:sz w:val="21"/>
          <w:szCs w:val="21"/>
        </w:rPr>
        <w:t>负债情况表</w:t>
      </w:r>
    </w:p>
    <w:tbl>
      <w:tblPr>
        <w:tblW w:w="9535" w:type="dxa"/>
        <w:jc w:val="center"/>
        <w:tblInd w:w="0" w:type="dxa"/>
        <w:tblCellMar>
          <w:top w:w="56" w:type="dxa"/>
          <w:left w:w="96" w:type="dxa"/>
          <w:bottom w:w="56" w:type="dxa"/>
          <w:right w:w="96" w:type="dxa"/>
        </w:tblCellMar>
        <w:tblLook w:val="0000" w:firstRow="0" w:lastRow="0" w:firstColumn="0" w:lastColumn="0" w:noHBand="0" w:noVBand="0"/>
      </w:tblPr>
      <w:tblGrid>
        <w:gridCol w:w="1065"/>
        <w:gridCol w:w="1956"/>
        <w:gridCol w:w="1956"/>
        <w:gridCol w:w="1808"/>
        <w:gridCol w:w="2750"/>
      </w:tblGrid>
      <w:tr w:rsidR="00000000" w14:paraId="6E6F1DF4" w14:textId="77777777">
        <w:trPr>
          <w:tblHeader/>
          <w:jc w:val="center"/>
        </w:trPr>
        <w:tc>
          <w:tcPr>
            <w:tcW w:w="1065" w:type="dxa"/>
            <w:tcBorders>
              <w:top w:val="single" w:sz="12" w:space="0" w:color="000000"/>
              <w:bottom w:val="single" w:sz="4" w:space="0" w:color="000000"/>
            </w:tcBorders>
            <w:vAlign w:val="center"/>
          </w:tcPr>
          <w:p w14:paraId="5067C293" w14:textId="77777777" w:rsidR="00000000" w:rsidRDefault="00000000">
            <w:pPr>
              <w:pStyle w:val="afd"/>
              <w:snapToGrid w:val="0"/>
              <w:spacing w:line="240" w:lineRule="auto"/>
              <w:ind w:firstLineChars="0" w:firstLine="0"/>
              <w:jc w:val="center"/>
              <w:rPr>
                <w:b/>
                <w:bCs/>
                <w:color w:val="auto"/>
                <w:sz w:val="21"/>
                <w:szCs w:val="21"/>
              </w:rPr>
            </w:pPr>
            <w:r>
              <w:rPr>
                <w:rFonts w:hint="eastAsia"/>
                <w:b/>
                <w:bCs/>
                <w:color w:val="auto"/>
                <w:sz w:val="21"/>
                <w:szCs w:val="21"/>
              </w:rPr>
              <w:t>年份</w:t>
            </w:r>
          </w:p>
        </w:tc>
        <w:tc>
          <w:tcPr>
            <w:tcW w:w="1956" w:type="dxa"/>
            <w:tcBorders>
              <w:top w:val="single" w:sz="12" w:space="0" w:color="000000"/>
              <w:bottom w:val="single" w:sz="4" w:space="0" w:color="000000"/>
            </w:tcBorders>
            <w:vAlign w:val="center"/>
          </w:tcPr>
          <w:p w14:paraId="37A0667B" w14:textId="77777777" w:rsidR="00000000" w:rsidRDefault="00000000">
            <w:pPr>
              <w:pStyle w:val="afd"/>
              <w:snapToGrid w:val="0"/>
              <w:spacing w:line="240" w:lineRule="auto"/>
              <w:ind w:firstLineChars="0" w:firstLine="0"/>
              <w:jc w:val="center"/>
              <w:rPr>
                <w:b/>
                <w:bCs/>
                <w:color w:val="auto"/>
                <w:sz w:val="21"/>
                <w:szCs w:val="21"/>
              </w:rPr>
            </w:pPr>
            <w:r>
              <w:rPr>
                <w:rFonts w:hint="eastAsia"/>
                <w:b/>
                <w:bCs/>
                <w:color w:val="auto"/>
                <w:sz w:val="21"/>
                <w:szCs w:val="21"/>
              </w:rPr>
              <w:t>无息负债</w:t>
            </w:r>
          </w:p>
          <w:p w14:paraId="1F8857CC" w14:textId="77777777" w:rsidR="00000000" w:rsidRDefault="00000000">
            <w:pPr>
              <w:pStyle w:val="afd"/>
              <w:snapToGrid w:val="0"/>
              <w:spacing w:line="240" w:lineRule="auto"/>
              <w:ind w:firstLineChars="0" w:firstLine="0"/>
              <w:jc w:val="center"/>
              <w:rPr>
                <w:b/>
                <w:bCs/>
                <w:color w:val="auto"/>
                <w:sz w:val="21"/>
                <w:szCs w:val="21"/>
              </w:rPr>
            </w:pPr>
            <w:r>
              <w:rPr>
                <w:rFonts w:hint="eastAsia"/>
                <w:b/>
                <w:bCs/>
                <w:color w:val="auto"/>
                <w:sz w:val="21"/>
                <w:szCs w:val="21"/>
              </w:rPr>
              <w:t>（万元）</w:t>
            </w:r>
          </w:p>
        </w:tc>
        <w:tc>
          <w:tcPr>
            <w:tcW w:w="1956" w:type="dxa"/>
            <w:tcBorders>
              <w:top w:val="single" w:sz="12" w:space="0" w:color="000000"/>
              <w:bottom w:val="single" w:sz="4" w:space="0" w:color="000000"/>
            </w:tcBorders>
            <w:vAlign w:val="center"/>
          </w:tcPr>
          <w:p w14:paraId="4C9D0227" w14:textId="77777777" w:rsidR="00000000" w:rsidRDefault="00000000">
            <w:pPr>
              <w:pStyle w:val="afd"/>
              <w:snapToGrid w:val="0"/>
              <w:spacing w:line="240" w:lineRule="auto"/>
              <w:ind w:firstLineChars="0" w:firstLine="0"/>
              <w:jc w:val="center"/>
              <w:rPr>
                <w:b/>
                <w:bCs/>
                <w:color w:val="auto"/>
                <w:sz w:val="21"/>
                <w:szCs w:val="21"/>
              </w:rPr>
            </w:pPr>
            <w:r>
              <w:rPr>
                <w:rFonts w:hint="eastAsia"/>
                <w:b/>
                <w:bCs/>
                <w:color w:val="auto"/>
                <w:sz w:val="21"/>
                <w:szCs w:val="21"/>
              </w:rPr>
              <w:t>流动负债</w:t>
            </w:r>
          </w:p>
          <w:p w14:paraId="3E68723A" w14:textId="77777777" w:rsidR="00000000" w:rsidRDefault="00000000">
            <w:pPr>
              <w:pStyle w:val="afd"/>
              <w:snapToGrid w:val="0"/>
              <w:spacing w:line="240" w:lineRule="auto"/>
              <w:ind w:firstLineChars="0" w:firstLine="0"/>
              <w:jc w:val="center"/>
              <w:rPr>
                <w:b/>
                <w:bCs/>
                <w:color w:val="auto"/>
                <w:sz w:val="21"/>
                <w:szCs w:val="21"/>
              </w:rPr>
            </w:pPr>
            <w:r>
              <w:rPr>
                <w:rFonts w:hint="eastAsia"/>
                <w:b/>
                <w:bCs/>
                <w:color w:val="auto"/>
                <w:sz w:val="21"/>
                <w:szCs w:val="21"/>
              </w:rPr>
              <w:t>（万元）</w:t>
            </w:r>
          </w:p>
        </w:tc>
        <w:tc>
          <w:tcPr>
            <w:tcW w:w="1808" w:type="dxa"/>
            <w:tcBorders>
              <w:top w:val="single" w:sz="12" w:space="0" w:color="000000"/>
              <w:bottom w:val="single" w:sz="4" w:space="0" w:color="000000"/>
            </w:tcBorders>
            <w:vAlign w:val="center"/>
          </w:tcPr>
          <w:p w14:paraId="47F2EFAA" w14:textId="77777777" w:rsidR="00000000" w:rsidRDefault="00000000">
            <w:pPr>
              <w:pStyle w:val="afd"/>
              <w:snapToGrid w:val="0"/>
              <w:spacing w:line="240" w:lineRule="auto"/>
              <w:ind w:firstLineChars="0" w:firstLine="0"/>
              <w:jc w:val="center"/>
              <w:rPr>
                <w:b/>
                <w:bCs/>
                <w:color w:val="auto"/>
                <w:sz w:val="21"/>
                <w:szCs w:val="21"/>
              </w:rPr>
            </w:pPr>
            <w:r>
              <w:rPr>
                <w:rFonts w:hint="eastAsia"/>
                <w:b/>
                <w:bCs/>
                <w:color w:val="auto"/>
                <w:sz w:val="21"/>
                <w:szCs w:val="21"/>
              </w:rPr>
              <w:t>总负债</w:t>
            </w:r>
          </w:p>
          <w:p w14:paraId="4DE1295E" w14:textId="77777777" w:rsidR="00000000" w:rsidRDefault="00000000">
            <w:pPr>
              <w:pStyle w:val="afd"/>
              <w:snapToGrid w:val="0"/>
              <w:spacing w:line="240" w:lineRule="auto"/>
              <w:ind w:firstLineChars="0" w:firstLine="0"/>
              <w:jc w:val="center"/>
              <w:rPr>
                <w:b/>
                <w:bCs/>
                <w:color w:val="auto"/>
                <w:sz w:val="21"/>
                <w:szCs w:val="21"/>
              </w:rPr>
            </w:pPr>
            <w:r>
              <w:rPr>
                <w:rFonts w:hint="eastAsia"/>
                <w:b/>
                <w:bCs/>
                <w:color w:val="auto"/>
                <w:sz w:val="21"/>
                <w:szCs w:val="21"/>
              </w:rPr>
              <w:t>（万元）</w:t>
            </w:r>
          </w:p>
        </w:tc>
        <w:tc>
          <w:tcPr>
            <w:tcW w:w="2750" w:type="dxa"/>
            <w:tcBorders>
              <w:top w:val="single" w:sz="12" w:space="0" w:color="000000"/>
              <w:bottom w:val="single" w:sz="4" w:space="0" w:color="000000"/>
            </w:tcBorders>
            <w:vAlign w:val="center"/>
          </w:tcPr>
          <w:p w14:paraId="51FCE878" w14:textId="77777777" w:rsidR="00000000" w:rsidRDefault="00000000">
            <w:pPr>
              <w:pStyle w:val="afd"/>
              <w:snapToGrid w:val="0"/>
              <w:spacing w:line="240" w:lineRule="auto"/>
              <w:ind w:firstLineChars="0" w:firstLine="0"/>
              <w:rPr>
                <w:b/>
                <w:bCs/>
                <w:color w:val="auto"/>
                <w:sz w:val="21"/>
                <w:szCs w:val="21"/>
              </w:rPr>
            </w:pPr>
            <w:r>
              <w:rPr>
                <w:rFonts w:hint="eastAsia"/>
                <w:b/>
                <w:bCs/>
                <w:color w:val="auto"/>
                <w:sz w:val="21"/>
                <w:szCs w:val="21"/>
              </w:rPr>
              <w:t>流动负债占总负债比重</w:t>
            </w:r>
          </w:p>
        </w:tc>
      </w:tr>
      <w:tr w:rsidR="00000000" w14:paraId="5F743089" w14:textId="77777777">
        <w:trPr>
          <w:jc w:val="center"/>
        </w:trPr>
        <w:tc>
          <w:tcPr>
            <w:tcW w:w="1065" w:type="dxa"/>
            <w:tcBorders>
              <w:top w:val="single" w:sz="4" w:space="0" w:color="000000"/>
            </w:tcBorders>
            <w:vAlign w:val="center"/>
          </w:tcPr>
          <w:p w14:paraId="37DD1C17" w14:textId="77777777" w:rsidR="00000000" w:rsidRDefault="00000000">
            <w:pPr>
              <w:pStyle w:val="afd"/>
              <w:snapToGrid w:val="0"/>
              <w:spacing w:line="360" w:lineRule="auto"/>
              <w:ind w:firstLineChars="0" w:firstLine="0"/>
              <w:jc w:val="center"/>
              <w:rPr>
                <w:color w:val="auto"/>
                <w:sz w:val="21"/>
                <w:szCs w:val="21"/>
              </w:rPr>
            </w:pPr>
            <w:r>
              <w:rPr>
                <w:rFonts w:hint="eastAsia"/>
                <w:color w:val="auto"/>
                <w:sz w:val="21"/>
                <w:szCs w:val="21"/>
              </w:rPr>
              <w:t>2020</w:t>
            </w:r>
          </w:p>
        </w:tc>
        <w:tc>
          <w:tcPr>
            <w:tcW w:w="1956" w:type="dxa"/>
            <w:tcBorders>
              <w:top w:val="single" w:sz="4" w:space="0" w:color="000000"/>
            </w:tcBorders>
            <w:vAlign w:val="center"/>
          </w:tcPr>
          <w:p w14:paraId="388B8156" w14:textId="77777777" w:rsidR="00000000" w:rsidRDefault="00000000">
            <w:pPr>
              <w:pStyle w:val="afd"/>
              <w:wordWrap/>
              <w:snapToGrid w:val="0"/>
              <w:spacing w:line="360" w:lineRule="auto"/>
              <w:ind w:firstLineChars="0" w:firstLine="0"/>
              <w:jc w:val="center"/>
              <w:rPr>
                <w:color w:val="auto"/>
                <w:sz w:val="21"/>
                <w:szCs w:val="21"/>
              </w:rPr>
            </w:pPr>
            <w:r>
              <w:rPr>
                <w:rFonts w:hint="eastAsia"/>
                <w:color w:val="auto"/>
                <w:sz w:val="21"/>
                <w:szCs w:val="21"/>
              </w:rPr>
              <w:t>231877.57</w:t>
            </w:r>
          </w:p>
        </w:tc>
        <w:tc>
          <w:tcPr>
            <w:tcW w:w="1956" w:type="dxa"/>
            <w:tcBorders>
              <w:top w:val="single" w:sz="4" w:space="0" w:color="000000"/>
            </w:tcBorders>
            <w:vAlign w:val="center"/>
          </w:tcPr>
          <w:p w14:paraId="5AED980F" w14:textId="77777777" w:rsidR="00000000" w:rsidRDefault="00000000">
            <w:pPr>
              <w:pStyle w:val="afd"/>
              <w:wordWrap/>
              <w:snapToGrid w:val="0"/>
              <w:spacing w:line="360" w:lineRule="auto"/>
              <w:ind w:firstLineChars="0" w:firstLine="0"/>
              <w:jc w:val="center"/>
              <w:rPr>
                <w:color w:val="auto"/>
                <w:sz w:val="21"/>
                <w:szCs w:val="21"/>
              </w:rPr>
            </w:pPr>
            <w:r>
              <w:rPr>
                <w:rFonts w:hint="eastAsia"/>
                <w:color w:val="auto"/>
                <w:sz w:val="21"/>
                <w:szCs w:val="21"/>
              </w:rPr>
              <w:t>320658.41</w:t>
            </w:r>
          </w:p>
        </w:tc>
        <w:tc>
          <w:tcPr>
            <w:tcW w:w="1808" w:type="dxa"/>
            <w:tcBorders>
              <w:top w:val="single" w:sz="4" w:space="0" w:color="000000"/>
            </w:tcBorders>
            <w:vAlign w:val="center"/>
          </w:tcPr>
          <w:p w14:paraId="67EF4CCA" w14:textId="77777777" w:rsidR="00000000" w:rsidRDefault="00000000">
            <w:pPr>
              <w:pStyle w:val="afd"/>
              <w:wordWrap/>
              <w:snapToGrid w:val="0"/>
              <w:spacing w:line="360" w:lineRule="auto"/>
              <w:ind w:firstLineChars="0" w:firstLine="0"/>
              <w:jc w:val="center"/>
              <w:rPr>
                <w:color w:val="auto"/>
                <w:sz w:val="21"/>
                <w:szCs w:val="21"/>
              </w:rPr>
            </w:pPr>
            <w:r>
              <w:rPr>
                <w:rFonts w:hint="eastAsia"/>
                <w:color w:val="auto"/>
                <w:sz w:val="21"/>
                <w:szCs w:val="21"/>
              </w:rPr>
              <w:t>323860.45</w:t>
            </w:r>
          </w:p>
        </w:tc>
        <w:tc>
          <w:tcPr>
            <w:tcW w:w="2750" w:type="dxa"/>
            <w:tcBorders>
              <w:top w:val="single" w:sz="4" w:space="0" w:color="000000"/>
            </w:tcBorders>
            <w:vAlign w:val="center"/>
          </w:tcPr>
          <w:p w14:paraId="6261DD50" w14:textId="77777777" w:rsidR="00000000" w:rsidRDefault="00000000">
            <w:pPr>
              <w:pStyle w:val="afd"/>
              <w:wordWrap/>
              <w:snapToGrid w:val="0"/>
              <w:spacing w:line="360" w:lineRule="auto"/>
              <w:ind w:firstLineChars="0" w:firstLine="0"/>
              <w:jc w:val="center"/>
              <w:rPr>
                <w:color w:val="auto"/>
                <w:sz w:val="21"/>
                <w:szCs w:val="21"/>
              </w:rPr>
            </w:pPr>
            <w:r>
              <w:rPr>
                <w:rFonts w:hint="eastAsia"/>
                <w:color w:val="auto"/>
                <w:sz w:val="21"/>
                <w:szCs w:val="21"/>
              </w:rPr>
              <w:t>99.01%</w:t>
            </w:r>
          </w:p>
        </w:tc>
      </w:tr>
      <w:tr w:rsidR="00000000" w14:paraId="17A44BE1" w14:textId="77777777">
        <w:trPr>
          <w:jc w:val="center"/>
        </w:trPr>
        <w:tc>
          <w:tcPr>
            <w:tcW w:w="1065" w:type="dxa"/>
            <w:vAlign w:val="center"/>
          </w:tcPr>
          <w:p w14:paraId="0776D5E2" w14:textId="77777777" w:rsidR="00000000" w:rsidRDefault="00000000">
            <w:pPr>
              <w:pStyle w:val="afd"/>
              <w:snapToGrid w:val="0"/>
              <w:spacing w:line="360" w:lineRule="auto"/>
              <w:ind w:firstLineChars="0" w:firstLine="0"/>
              <w:jc w:val="center"/>
              <w:rPr>
                <w:color w:val="auto"/>
                <w:sz w:val="21"/>
                <w:szCs w:val="21"/>
              </w:rPr>
            </w:pPr>
            <w:r>
              <w:rPr>
                <w:rFonts w:hint="eastAsia"/>
                <w:color w:val="auto"/>
                <w:sz w:val="21"/>
                <w:szCs w:val="21"/>
              </w:rPr>
              <w:t>2021</w:t>
            </w:r>
          </w:p>
        </w:tc>
        <w:tc>
          <w:tcPr>
            <w:tcW w:w="1956" w:type="dxa"/>
            <w:vAlign w:val="center"/>
          </w:tcPr>
          <w:p w14:paraId="74F7F7F8" w14:textId="77777777" w:rsidR="00000000" w:rsidRDefault="00000000">
            <w:pPr>
              <w:pStyle w:val="afd"/>
              <w:wordWrap/>
              <w:snapToGrid w:val="0"/>
              <w:spacing w:line="360" w:lineRule="auto"/>
              <w:ind w:firstLineChars="0" w:firstLine="0"/>
              <w:jc w:val="center"/>
              <w:rPr>
                <w:color w:val="auto"/>
                <w:sz w:val="21"/>
                <w:szCs w:val="21"/>
              </w:rPr>
            </w:pPr>
            <w:r>
              <w:rPr>
                <w:rFonts w:hint="eastAsia"/>
                <w:color w:val="auto"/>
                <w:sz w:val="21"/>
                <w:szCs w:val="21"/>
              </w:rPr>
              <w:t>233669.39</w:t>
            </w:r>
          </w:p>
        </w:tc>
        <w:tc>
          <w:tcPr>
            <w:tcW w:w="1956" w:type="dxa"/>
            <w:vAlign w:val="center"/>
          </w:tcPr>
          <w:p w14:paraId="67F0E020" w14:textId="77777777" w:rsidR="00000000" w:rsidRDefault="00000000">
            <w:pPr>
              <w:pStyle w:val="afd"/>
              <w:wordWrap/>
              <w:snapToGrid w:val="0"/>
              <w:spacing w:line="360" w:lineRule="auto"/>
              <w:ind w:firstLineChars="0" w:firstLine="0"/>
              <w:jc w:val="center"/>
              <w:rPr>
                <w:color w:val="auto"/>
                <w:sz w:val="21"/>
                <w:szCs w:val="21"/>
              </w:rPr>
            </w:pPr>
            <w:r>
              <w:rPr>
                <w:rFonts w:hint="eastAsia"/>
                <w:color w:val="auto"/>
                <w:sz w:val="21"/>
                <w:szCs w:val="21"/>
              </w:rPr>
              <w:t>417244.61</w:t>
            </w:r>
          </w:p>
        </w:tc>
        <w:tc>
          <w:tcPr>
            <w:tcW w:w="1808" w:type="dxa"/>
            <w:vAlign w:val="center"/>
          </w:tcPr>
          <w:p w14:paraId="1ED30F5B" w14:textId="77777777" w:rsidR="00000000" w:rsidRDefault="00000000">
            <w:pPr>
              <w:pStyle w:val="afd"/>
              <w:wordWrap/>
              <w:snapToGrid w:val="0"/>
              <w:spacing w:line="360" w:lineRule="auto"/>
              <w:ind w:firstLineChars="0" w:firstLine="0"/>
              <w:jc w:val="center"/>
              <w:rPr>
                <w:color w:val="auto"/>
                <w:sz w:val="21"/>
                <w:szCs w:val="21"/>
              </w:rPr>
            </w:pPr>
            <w:r>
              <w:rPr>
                <w:rFonts w:hint="eastAsia"/>
                <w:color w:val="auto"/>
                <w:sz w:val="21"/>
                <w:szCs w:val="21"/>
              </w:rPr>
              <w:t>426386.09</w:t>
            </w:r>
          </w:p>
        </w:tc>
        <w:tc>
          <w:tcPr>
            <w:tcW w:w="2750" w:type="dxa"/>
            <w:vAlign w:val="center"/>
          </w:tcPr>
          <w:p w14:paraId="2200E6D5" w14:textId="77777777" w:rsidR="00000000" w:rsidRDefault="00000000">
            <w:pPr>
              <w:pStyle w:val="afd"/>
              <w:wordWrap/>
              <w:snapToGrid w:val="0"/>
              <w:spacing w:line="360" w:lineRule="auto"/>
              <w:ind w:firstLineChars="0" w:firstLine="0"/>
              <w:jc w:val="center"/>
              <w:rPr>
                <w:color w:val="auto"/>
                <w:sz w:val="21"/>
                <w:szCs w:val="21"/>
              </w:rPr>
            </w:pPr>
            <w:r>
              <w:rPr>
                <w:rFonts w:hint="eastAsia"/>
                <w:color w:val="auto"/>
                <w:sz w:val="21"/>
                <w:szCs w:val="21"/>
              </w:rPr>
              <w:t>97.86%</w:t>
            </w:r>
          </w:p>
        </w:tc>
      </w:tr>
      <w:tr w:rsidR="00000000" w14:paraId="3CA31994" w14:textId="77777777">
        <w:trPr>
          <w:jc w:val="center"/>
        </w:trPr>
        <w:tc>
          <w:tcPr>
            <w:tcW w:w="1065" w:type="dxa"/>
            <w:vAlign w:val="center"/>
          </w:tcPr>
          <w:p w14:paraId="14FFA9B1" w14:textId="77777777" w:rsidR="00000000" w:rsidRDefault="00000000">
            <w:pPr>
              <w:pStyle w:val="afd"/>
              <w:snapToGrid w:val="0"/>
              <w:spacing w:line="360" w:lineRule="auto"/>
              <w:ind w:firstLineChars="0" w:firstLine="0"/>
              <w:jc w:val="center"/>
              <w:rPr>
                <w:color w:val="auto"/>
                <w:sz w:val="21"/>
                <w:szCs w:val="21"/>
              </w:rPr>
            </w:pPr>
            <w:r>
              <w:rPr>
                <w:rFonts w:hint="eastAsia"/>
                <w:color w:val="auto"/>
                <w:sz w:val="21"/>
                <w:szCs w:val="21"/>
              </w:rPr>
              <w:t>2022</w:t>
            </w:r>
          </w:p>
        </w:tc>
        <w:tc>
          <w:tcPr>
            <w:tcW w:w="1956" w:type="dxa"/>
            <w:vAlign w:val="center"/>
          </w:tcPr>
          <w:p w14:paraId="2F1DB28F" w14:textId="77777777" w:rsidR="00000000" w:rsidRDefault="00000000">
            <w:pPr>
              <w:pStyle w:val="afd"/>
              <w:wordWrap/>
              <w:snapToGrid w:val="0"/>
              <w:spacing w:line="360" w:lineRule="auto"/>
              <w:ind w:firstLineChars="0" w:firstLine="0"/>
              <w:jc w:val="center"/>
              <w:rPr>
                <w:color w:val="auto"/>
                <w:sz w:val="21"/>
                <w:szCs w:val="21"/>
              </w:rPr>
            </w:pPr>
            <w:r>
              <w:rPr>
                <w:rFonts w:hint="eastAsia"/>
                <w:color w:val="auto"/>
                <w:sz w:val="21"/>
                <w:szCs w:val="21"/>
              </w:rPr>
              <w:t>227893.33</w:t>
            </w:r>
          </w:p>
        </w:tc>
        <w:tc>
          <w:tcPr>
            <w:tcW w:w="1956" w:type="dxa"/>
            <w:vAlign w:val="center"/>
          </w:tcPr>
          <w:p w14:paraId="2157E7D3" w14:textId="77777777" w:rsidR="00000000" w:rsidRDefault="00000000">
            <w:pPr>
              <w:pStyle w:val="afd"/>
              <w:wordWrap/>
              <w:snapToGrid w:val="0"/>
              <w:spacing w:line="360" w:lineRule="auto"/>
              <w:ind w:firstLineChars="0" w:firstLine="0"/>
              <w:jc w:val="center"/>
              <w:rPr>
                <w:color w:val="auto"/>
                <w:sz w:val="21"/>
                <w:szCs w:val="21"/>
              </w:rPr>
            </w:pPr>
            <w:r>
              <w:rPr>
                <w:rFonts w:hint="eastAsia"/>
                <w:color w:val="auto"/>
                <w:sz w:val="21"/>
                <w:szCs w:val="21"/>
              </w:rPr>
              <w:t>464327.87</w:t>
            </w:r>
          </w:p>
        </w:tc>
        <w:tc>
          <w:tcPr>
            <w:tcW w:w="1808" w:type="dxa"/>
            <w:vAlign w:val="center"/>
          </w:tcPr>
          <w:p w14:paraId="44655541" w14:textId="77777777" w:rsidR="00000000" w:rsidRDefault="00000000">
            <w:pPr>
              <w:pStyle w:val="afd"/>
              <w:wordWrap/>
              <w:snapToGrid w:val="0"/>
              <w:spacing w:line="360" w:lineRule="auto"/>
              <w:ind w:firstLineChars="0" w:firstLine="0"/>
              <w:jc w:val="center"/>
              <w:rPr>
                <w:color w:val="auto"/>
                <w:sz w:val="21"/>
                <w:szCs w:val="21"/>
              </w:rPr>
            </w:pPr>
            <w:r>
              <w:rPr>
                <w:rFonts w:hint="eastAsia"/>
                <w:color w:val="auto"/>
                <w:sz w:val="21"/>
                <w:szCs w:val="21"/>
              </w:rPr>
              <w:t>476869.03</w:t>
            </w:r>
          </w:p>
        </w:tc>
        <w:tc>
          <w:tcPr>
            <w:tcW w:w="2750" w:type="dxa"/>
            <w:vAlign w:val="center"/>
          </w:tcPr>
          <w:p w14:paraId="7E848304" w14:textId="77777777" w:rsidR="00000000" w:rsidRDefault="00000000">
            <w:pPr>
              <w:pStyle w:val="afd"/>
              <w:wordWrap/>
              <w:snapToGrid w:val="0"/>
              <w:spacing w:line="360" w:lineRule="auto"/>
              <w:ind w:firstLineChars="0" w:firstLine="0"/>
              <w:jc w:val="center"/>
              <w:rPr>
                <w:color w:val="auto"/>
                <w:sz w:val="21"/>
                <w:szCs w:val="21"/>
              </w:rPr>
            </w:pPr>
            <w:r>
              <w:rPr>
                <w:rFonts w:hint="eastAsia"/>
                <w:color w:val="auto"/>
                <w:sz w:val="21"/>
                <w:szCs w:val="21"/>
              </w:rPr>
              <w:t>97.37%</w:t>
            </w:r>
          </w:p>
        </w:tc>
      </w:tr>
      <w:tr w:rsidR="00000000" w14:paraId="0A025C10" w14:textId="77777777">
        <w:trPr>
          <w:jc w:val="center"/>
        </w:trPr>
        <w:tc>
          <w:tcPr>
            <w:tcW w:w="1065" w:type="dxa"/>
            <w:vAlign w:val="center"/>
          </w:tcPr>
          <w:p w14:paraId="5819169C" w14:textId="77777777" w:rsidR="00000000" w:rsidRDefault="00000000">
            <w:pPr>
              <w:pStyle w:val="afd"/>
              <w:snapToGrid w:val="0"/>
              <w:spacing w:line="360" w:lineRule="auto"/>
              <w:ind w:firstLineChars="0" w:firstLine="0"/>
              <w:jc w:val="center"/>
              <w:rPr>
                <w:color w:val="auto"/>
                <w:sz w:val="21"/>
                <w:szCs w:val="21"/>
              </w:rPr>
            </w:pPr>
            <w:r>
              <w:rPr>
                <w:rFonts w:hint="eastAsia"/>
                <w:color w:val="auto"/>
                <w:sz w:val="21"/>
                <w:szCs w:val="21"/>
              </w:rPr>
              <w:t>2023</w:t>
            </w:r>
          </w:p>
        </w:tc>
        <w:tc>
          <w:tcPr>
            <w:tcW w:w="1956" w:type="dxa"/>
            <w:vAlign w:val="center"/>
          </w:tcPr>
          <w:p w14:paraId="55854253" w14:textId="77777777" w:rsidR="00000000" w:rsidRDefault="00000000">
            <w:pPr>
              <w:pStyle w:val="afd"/>
              <w:wordWrap/>
              <w:snapToGrid w:val="0"/>
              <w:spacing w:line="360" w:lineRule="auto"/>
              <w:ind w:firstLineChars="0" w:firstLine="0"/>
              <w:jc w:val="center"/>
              <w:rPr>
                <w:color w:val="auto"/>
                <w:sz w:val="21"/>
                <w:szCs w:val="21"/>
              </w:rPr>
            </w:pPr>
            <w:r>
              <w:rPr>
                <w:rFonts w:hint="eastAsia"/>
                <w:color w:val="auto"/>
                <w:sz w:val="21"/>
                <w:szCs w:val="21"/>
              </w:rPr>
              <w:t>155629.41</w:t>
            </w:r>
          </w:p>
        </w:tc>
        <w:tc>
          <w:tcPr>
            <w:tcW w:w="1956" w:type="dxa"/>
            <w:vAlign w:val="center"/>
          </w:tcPr>
          <w:p w14:paraId="744E5A51" w14:textId="77777777" w:rsidR="00000000" w:rsidRDefault="00000000">
            <w:pPr>
              <w:pStyle w:val="afd"/>
              <w:wordWrap/>
              <w:snapToGrid w:val="0"/>
              <w:spacing w:line="360" w:lineRule="auto"/>
              <w:ind w:firstLineChars="0" w:firstLine="0"/>
              <w:jc w:val="center"/>
              <w:rPr>
                <w:color w:val="auto"/>
                <w:sz w:val="21"/>
                <w:szCs w:val="21"/>
              </w:rPr>
            </w:pPr>
            <w:r>
              <w:rPr>
                <w:rFonts w:hint="eastAsia"/>
                <w:color w:val="auto"/>
                <w:sz w:val="21"/>
                <w:szCs w:val="21"/>
              </w:rPr>
              <w:t>412403.58</w:t>
            </w:r>
          </w:p>
        </w:tc>
        <w:tc>
          <w:tcPr>
            <w:tcW w:w="1808" w:type="dxa"/>
            <w:vAlign w:val="center"/>
          </w:tcPr>
          <w:p w14:paraId="7CEBD267" w14:textId="77777777" w:rsidR="00000000" w:rsidRDefault="00000000">
            <w:pPr>
              <w:pStyle w:val="afd"/>
              <w:wordWrap/>
              <w:snapToGrid w:val="0"/>
              <w:spacing w:line="360" w:lineRule="auto"/>
              <w:ind w:firstLineChars="0" w:firstLine="0"/>
              <w:jc w:val="center"/>
              <w:rPr>
                <w:color w:val="auto"/>
                <w:sz w:val="21"/>
                <w:szCs w:val="21"/>
              </w:rPr>
            </w:pPr>
            <w:r>
              <w:rPr>
                <w:rFonts w:hint="eastAsia"/>
                <w:color w:val="auto"/>
                <w:sz w:val="21"/>
                <w:szCs w:val="21"/>
              </w:rPr>
              <w:t>432488.92</w:t>
            </w:r>
          </w:p>
        </w:tc>
        <w:tc>
          <w:tcPr>
            <w:tcW w:w="2750" w:type="dxa"/>
            <w:vAlign w:val="center"/>
          </w:tcPr>
          <w:p w14:paraId="7DF3B8B8" w14:textId="77777777" w:rsidR="00000000" w:rsidRDefault="00000000">
            <w:pPr>
              <w:pStyle w:val="afd"/>
              <w:wordWrap/>
              <w:snapToGrid w:val="0"/>
              <w:spacing w:line="360" w:lineRule="auto"/>
              <w:ind w:firstLineChars="0" w:firstLine="0"/>
              <w:jc w:val="center"/>
              <w:rPr>
                <w:color w:val="auto"/>
                <w:sz w:val="21"/>
                <w:szCs w:val="21"/>
              </w:rPr>
            </w:pPr>
            <w:r>
              <w:rPr>
                <w:rFonts w:hint="eastAsia"/>
                <w:color w:val="auto"/>
                <w:sz w:val="21"/>
                <w:szCs w:val="21"/>
              </w:rPr>
              <w:t>95.35%</w:t>
            </w:r>
          </w:p>
        </w:tc>
      </w:tr>
      <w:tr w:rsidR="00000000" w14:paraId="58BBCA52" w14:textId="77777777">
        <w:trPr>
          <w:jc w:val="center"/>
        </w:trPr>
        <w:tc>
          <w:tcPr>
            <w:tcW w:w="1065" w:type="dxa"/>
            <w:tcBorders>
              <w:bottom w:val="single" w:sz="12" w:space="0" w:color="000000"/>
            </w:tcBorders>
            <w:vAlign w:val="center"/>
          </w:tcPr>
          <w:p w14:paraId="179296F9" w14:textId="77777777" w:rsidR="00000000" w:rsidRDefault="00000000">
            <w:pPr>
              <w:pStyle w:val="afd"/>
              <w:snapToGrid w:val="0"/>
              <w:spacing w:line="360" w:lineRule="auto"/>
              <w:ind w:firstLineChars="0" w:firstLine="0"/>
              <w:jc w:val="center"/>
              <w:rPr>
                <w:color w:val="auto"/>
                <w:sz w:val="21"/>
                <w:szCs w:val="21"/>
              </w:rPr>
            </w:pPr>
            <w:r>
              <w:rPr>
                <w:rFonts w:hint="eastAsia"/>
                <w:color w:val="auto"/>
                <w:sz w:val="21"/>
                <w:szCs w:val="21"/>
              </w:rPr>
              <w:t>2024</w:t>
            </w:r>
          </w:p>
        </w:tc>
        <w:tc>
          <w:tcPr>
            <w:tcW w:w="1956" w:type="dxa"/>
            <w:tcBorders>
              <w:bottom w:val="single" w:sz="12" w:space="0" w:color="000000"/>
            </w:tcBorders>
            <w:vAlign w:val="center"/>
          </w:tcPr>
          <w:p w14:paraId="6DB69B08" w14:textId="77777777" w:rsidR="00000000" w:rsidRDefault="00000000">
            <w:pPr>
              <w:pStyle w:val="afd"/>
              <w:wordWrap/>
              <w:snapToGrid w:val="0"/>
              <w:spacing w:line="360" w:lineRule="auto"/>
              <w:ind w:firstLineChars="0" w:firstLine="0"/>
              <w:jc w:val="center"/>
              <w:rPr>
                <w:color w:val="auto"/>
                <w:sz w:val="21"/>
                <w:szCs w:val="21"/>
              </w:rPr>
            </w:pPr>
            <w:r>
              <w:rPr>
                <w:rFonts w:hint="eastAsia"/>
                <w:color w:val="auto"/>
                <w:sz w:val="21"/>
                <w:szCs w:val="21"/>
              </w:rPr>
              <w:t>138480.22</w:t>
            </w:r>
          </w:p>
        </w:tc>
        <w:tc>
          <w:tcPr>
            <w:tcW w:w="1956" w:type="dxa"/>
            <w:tcBorders>
              <w:bottom w:val="single" w:sz="12" w:space="0" w:color="000000"/>
            </w:tcBorders>
            <w:vAlign w:val="center"/>
          </w:tcPr>
          <w:p w14:paraId="1166742D" w14:textId="77777777" w:rsidR="00000000" w:rsidRDefault="00000000">
            <w:pPr>
              <w:pStyle w:val="afd"/>
              <w:wordWrap/>
              <w:snapToGrid w:val="0"/>
              <w:spacing w:line="360" w:lineRule="auto"/>
              <w:ind w:firstLineChars="0" w:firstLine="0"/>
              <w:jc w:val="center"/>
              <w:rPr>
                <w:color w:val="auto"/>
                <w:sz w:val="21"/>
                <w:szCs w:val="21"/>
              </w:rPr>
            </w:pPr>
            <w:r>
              <w:rPr>
                <w:rFonts w:hint="eastAsia"/>
                <w:color w:val="auto"/>
                <w:sz w:val="21"/>
                <w:szCs w:val="21"/>
              </w:rPr>
              <w:t>396541.47</w:t>
            </w:r>
          </w:p>
        </w:tc>
        <w:tc>
          <w:tcPr>
            <w:tcW w:w="1808" w:type="dxa"/>
            <w:tcBorders>
              <w:bottom w:val="single" w:sz="12" w:space="0" w:color="000000"/>
            </w:tcBorders>
            <w:vAlign w:val="center"/>
          </w:tcPr>
          <w:p w14:paraId="228395FA" w14:textId="77777777" w:rsidR="00000000" w:rsidRDefault="00000000">
            <w:pPr>
              <w:pStyle w:val="afd"/>
              <w:wordWrap/>
              <w:snapToGrid w:val="0"/>
              <w:spacing w:line="360" w:lineRule="auto"/>
              <w:ind w:firstLineChars="0" w:firstLine="0"/>
              <w:jc w:val="center"/>
              <w:rPr>
                <w:color w:val="auto"/>
                <w:sz w:val="21"/>
                <w:szCs w:val="21"/>
              </w:rPr>
            </w:pPr>
            <w:r>
              <w:rPr>
                <w:rFonts w:hint="eastAsia"/>
                <w:color w:val="auto"/>
                <w:sz w:val="21"/>
                <w:szCs w:val="21"/>
              </w:rPr>
              <w:t>410580.67</w:t>
            </w:r>
          </w:p>
        </w:tc>
        <w:tc>
          <w:tcPr>
            <w:tcW w:w="2750" w:type="dxa"/>
            <w:tcBorders>
              <w:bottom w:val="single" w:sz="12" w:space="0" w:color="000000"/>
            </w:tcBorders>
            <w:vAlign w:val="center"/>
          </w:tcPr>
          <w:p w14:paraId="2D1D5111" w14:textId="77777777" w:rsidR="00000000" w:rsidRDefault="00000000">
            <w:pPr>
              <w:pStyle w:val="afd"/>
              <w:wordWrap/>
              <w:snapToGrid w:val="0"/>
              <w:spacing w:line="360" w:lineRule="auto"/>
              <w:ind w:firstLineChars="0" w:firstLine="0"/>
              <w:jc w:val="center"/>
              <w:rPr>
                <w:color w:val="auto"/>
                <w:sz w:val="21"/>
                <w:szCs w:val="21"/>
              </w:rPr>
            </w:pPr>
            <w:r>
              <w:rPr>
                <w:rFonts w:hint="eastAsia"/>
                <w:color w:val="auto"/>
                <w:sz w:val="21"/>
                <w:szCs w:val="21"/>
              </w:rPr>
              <w:t>96.58%</w:t>
            </w:r>
          </w:p>
        </w:tc>
      </w:tr>
    </w:tbl>
    <w:p w14:paraId="374DA121" w14:textId="77777777" w:rsidR="00000000" w:rsidRDefault="00000000">
      <w:pPr>
        <w:widowControl/>
        <w:tabs>
          <w:tab w:val="left" w:pos="1549"/>
        </w:tabs>
        <w:ind w:firstLine="0"/>
        <w:jc w:val="left"/>
        <w:rPr>
          <w:rFonts w:ascii="宋体" w:hAnsi="宋体" w:cs="宋体"/>
          <w:kern w:val="0"/>
          <w:sz w:val="21"/>
          <w:szCs w:val="21"/>
          <w:lang w:bidi="ar"/>
        </w:rPr>
        <w:sectPr w:rsidR="00000000">
          <w:headerReference w:type="even" r:id="rId32"/>
          <w:headerReference w:type="default" r:id="rId33"/>
          <w:footnotePr>
            <w:numRestart w:val="eachPage"/>
          </w:footnotePr>
          <w:pgSz w:w="11909" w:h="16834"/>
          <w:pgMar w:top="1701" w:right="1701" w:bottom="1418" w:left="1701" w:header="1304" w:footer="1021" w:gutter="0"/>
          <w:cols w:space="720"/>
          <w:docGrid w:type="linesAndChars" w:linePitch="415" w:charSpace="614"/>
        </w:sectPr>
      </w:pPr>
      <w:r>
        <w:rPr>
          <w:rFonts w:ascii="宋体" w:hAnsi="宋体" w:cs="宋体" w:hint="eastAsia"/>
          <w:kern w:val="0"/>
          <w:sz w:val="21"/>
          <w:szCs w:val="21"/>
          <w:lang w:bidi="ar"/>
        </w:rPr>
        <w:t>数据来源：根据东方财富网M公司2020-2024年财务报表整理</w:t>
      </w:r>
    </w:p>
    <w:p w14:paraId="382B33B3" w14:textId="77777777" w:rsidR="00000000" w:rsidRDefault="00000000">
      <w:pPr>
        <w:pStyle w:val="afa"/>
        <w:numPr>
          <w:ilvl w:val="0"/>
          <w:numId w:val="0"/>
        </w:numPr>
        <w:spacing w:before="415" w:after="207"/>
      </w:pPr>
      <w:bookmarkStart w:id="68" w:name="_Toc11533"/>
      <w:bookmarkStart w:id="69" w:name="_Toc15980"/>
      <w:r>
        <w:lastRenderedPageBreak/>
        <w:t>第四章</w:t>
      </w:r>
      <w:r>
        <w:t xml:space="preserve"> </w:t>
      </w:r>
      <w:r>
        <w:t>轻资产运营模式下</w:t>
      </w:r>
      <w:r>
        <w:t>M</w:t>
      </w:r>
      <w:r>
        <w:t>公司财务风险识别及成因</w:t>
      </w:r>
      <w:bookmarkEnd w:id="68"/>
      <w:r>
        <w:t>分析</w:t>
      </w:r>
      <w:bookmarkEnd w:id="69"/>
    </w:p>
    <w:p w14:paraId="6C6B2328" w14:textId="77777777" w:rsidR="00000000" w:rsidRDefault="00000000">
      <w:pPr>
        <w:pStyle w:val="afd"/>
        <w:ind w:firstLine="486"/>
        <w:rPr>
          <w:rFonts w:hint="eastAsia"/>
          <w:color w:val="auto"/>
        </w:rPr>
      </w:pPr>
      <w:r>
        <w:rPr>
          <w:rFonts w:hint="eastAsia"/>
          <w:color w:val="auto"/>
        </w:rPr>
        <w:t>本章采用行业基准比较法与案例对比分析法，对M公司的财务风险水平进行系统评价。具体而言，研究通过收集服装行业的平均财务指标，与M公司的同期财务数据进行多维度的量化对比，以揭示企业在行业中的财务稳健性特征。为深入剖析轻资产运营模式对财务风险的异质性影响，本研究选取雅戈尔集团作为关键对照案例。该对比企业不仅在业务规模上与M具有可比性，且主营业务同为男装领域，但采用重资产运营模式，形成了鲜明的战略对照。通过构建这样的比较框架，研究能够有效识别不同运营模式在财务杠杆运用、资本结构配置及流动性管理等方面的差异，进而厘清轻资产策略驱动财务风险演化的动态逻辑，并辩证分析其带来的双重经济后果。</w:t>
      </w:r>
    </w:p>
    <w:p w14:paraId="65309A28" w14:textId="77777777" w:rsidR="00000000" w:rsidRDefault="00000000">
      <w:pPr>
        <w:pStyle w:val="afb"/>
        <w:numPr>
          <w:ilvl w:val="0"/>
          <w:numId w:val="29"/>
        </w:numPr>
        <w:tabs>
          <w:tab w:val="left" w:pos="0"/>
        </w:tabs>
        <w:spacing w:before="207" w:after="207"/>
        <w:rPr>
          <w:rFonts w:hint="default"/>
        </w:rPr>
      </w:pPr>
      <w:bookmarkStart w:id="70" w:name="_Toc23698"/>
      <w:bookmarkStart w:id="71" w:name="_Toc29291"/>
      <w:r>
        <w:t>轻资产运营模式下</w:t>
      </w:r>
      <w:r>
        <w:t>M</w:t>
      </w:r>
      <w:r>
        <w:t>公司财务风险识别</w:t>
      </w:r>
      <w:bookmarkEnd w:id="70"/>
      <w:bookmarkEnd w:id="71"/>
    </w:p>
    <w:p w14:paraId="1496EEA3" w14:textId="77777777" w:rsidR="00000000" w:rsidRDefault="00000000">
      <w:pPr>
        <w:pStyle w:val="afc"/>
        <w:numPr>
          <w:ilvl w:val="0"/>
          <w:numId w:val="0"/>
        </w:numPr>
        <w:tabs>
          <w:tab w:val="left" w:pos="0"/>
        </w:tabs>
        <w:spacing w:before="207"/>
        <w:ind w:firstLine="567"/>
      </w:pPr>
      <w:bookmarkStart w:id="72" w:name="_Toc12238"/>
      <w:bookmarkStart w:id="73" w:name="_Toc13816"/>
      <w:r>
        <w:rPr>
          <w:rFonts w:hint="eastAsia"/>
        </w:rPr>
        <w:t>一、</w:t>
      </w:r>
      <w:r>
        <w:t>筹资风险识别</w:t>
      </w:r>
      <w:bookmarkEnd w:id="72"/>
      <w:bookmarkEnd w:id="73"/>
    </w:p>
    <w:p w14:paraId="7D4DB196" w14:textId="77777777" w:rsidR="00000000" w:rsidRDefault="00000000">
      <w:pPr>
        <w:pStyle w:val="afd"/>
        <w:numPr>
          <w:ilvl w:val="0"/>
          <w:numId w:val="30"/>
        </w:numPr>
        <w:ind w:firstLine="486"/>
        <w:rPr>
          <w:color w:val="auto"/>
        </w:rPr>
      </w:pPr>
      <w:r>
        <w:rPr>
          <w:rFonts w:hint="eastAsia"/>
          <w:color w:val="auto"/>
        </w:rPr>
        <w:t>融资渠道分析</w:t>
      </w:r>
    </w:p>
    <w:p w14:paraId="28A2C78C" w14:textId="77777777" w:rsidR="00000000" w:rsidRDefault="00000000">
      <w:pPr>
        <w:pStyle w:val="afd"/>
        <w:ind w:firstLine="486"/>
        <w:rPr>
          <w:color w:val="auto"/>
        </w:rPr>
      </w:pPr>
      <w:r>
        <w:rPr>
          <w:rFonts w:hint="eastAsia"/>
          <w:color w:val="auto"/>
        </w:rPr>
        <w:t>图4-1揭示了M公司负债结构呈现显著特征：流动负债占比高达95%，深刻折射出轻资产模式下资本结构的异质性特征。受制于固定资产等硬资产抵押物的稀缺性，企业长期信贷融资渠道受阻，致使长短期债务期限结构严重错配。这种债务结构蕴含着双重风险：</w:t>
      </w:r>
    </w:p>
    <w:p w14:paraId="07CE09AC" w14:textId="77777777" w:rsidR="00000000" w:rsidRDefault="00000000">
      <w:pPr>
        <w:pStyle w:val="afd"/>
        <w:ind w:firstLine="486"/>
        <w:rPr>
          <w:rFonts w:hint="eastAsia"/>
          <w:color w:val="auto"/>
        </w:rPr>
      </w:pPr>
      <w:r>
        <w:rPr>
          <w:rFonts w:hint="eastAsia"/>
          <w:color w:val="auto"/>
        </w:rPr>
        <w:t>其一，短期债务的过度集聚极易诱发系统性流动性危机。短期债务需频繁展期，在市场环境突变或企业信用评级下调时，可能面临再融资失败风险，进而引发资金链断裂。M公司的流动负债中，短期借款与无息负债占据主导，尽管短期融资在获取便利性上优于长期贷款，但其期限短促的特性增加了债务滚动的压力，一旦内部自有资金无法有效覆盖到期债务本息，将导致偿付缺口扩大，进而显著加剧企业的财务脆弱性。</w:t>
      </w:r>
    </w:p>
    <w:p w14:paraId="0655CDBA" w14:textId="77777777" w:rsidR="00000000" w:rsidRDefault="00000000">
      <w:pPr>
        <w:pStyle w:val="afd"/>
        <w:ind w:firstLine="486"/>
        <w:rPr>
          <w:color w:val="auto"/>
        </w:rPr>
      </w:pPr>
      <w:r>
        <w:rPr>
          <w:rFonts w:hint="eastAsia"/>
          <w:color w:val="auto"/>
        </w:rPr>
        <w:t>其二，无息负债的融资模式本质上具有显著的脆弱性与内生不稳定性。相较于股权融资和银行信贷，无息负债（如应付账款）的持续性高度依赖企业的商业信用。M公司通过强大的品牌议价能力和供应链协同管理，有效占用了上下游资金。然而，这种融资优势建立在企业运营绩效和市场地位基础之上，一旦经营能力衰退或行业发展态势转变，可能导致供应商和经销商的合作意愿下降，从而削弱无息负债的可持续性，最终触发筹资风险。</w:t>
      </w:r>
    </w:p>
    <w:p w14:paraId="24C1FB90" w14:textId="77777777" w:rsidR="00000000" w:rsidRDefault="00000000">
      <w:pPr>
        <w:pStyle w:val="afd"/>
        <w:ind w:firstLine="486"/>
        <w:rPr>
          <w:color w:val="auto"/>
        </w:rPr>
      </w:pPr>
      <w:r>
        <w:rPr>
          <w:rFonts w:hint="eastAsia"/>
          <w:color w:val="auto"/>
        </w:rPr>
        <w:lastRenderedPageBreak/>
        <w:t>综上，M公司的负债结构深刻反映了轻资产运营模式的融资特征，同时也揭示了该模式在债务管理和流动性维持方面的潜在挑战。</w:t>
      </w:r>
    </w:p>
    <w:p w14:paraId="40DC967C" w14:textId="77777777" w:rsidR="00000000" w:rsidRDefault="00000000">
      <w:pPr>
        <w:pStyle w:val="afd"/>
        <w:spacing w:line="240" w:lineRule="auto"/>
        <w:ind w:firstLineChars="0" w:firstLine="0"/>
        <w:jc w:val="center"/>
        <w:rPr>
          <w:color w:val="auto"/>
        </w:rPr>
      </w:pPr>
      <w:r>
        <w:rPr>
          <w:color w:val="auto"/>
          <w:sz w:val="21"/>
          <w:szCs w:val="21"/>
        </w:rPr>
        <w:pict w14:anchorId="1554AF14">
          <v:shape id="图片 3" o:spid="_x0000_i1030" type="#_x0000_t75" style="width:375.75pt;height:3in;mso-wrap-style:square;mso-position-horizontal-relative:page;mso-position-vertical-relative:page">
            <v:imagedata r:id="rId34" o:title=""/>
          </v:shape>
        </w:pict>
      </w:r>
    </w:p>
    <w:p w14:paraId="6985DE59" w14:textId="77777777" w:rsidR="00000000" w:rsidRDefault="00000000">
      <w:pPr>
        <w:autoSpaceDE w:val="0"/>
        <w:autoSpaceDN w:val="0"/>
        <w:adjustRightInd w:val="0"/>
        <w:spacing w:line="400" w:lineRule="exact"/>
        <w:ind w:firstLine="0"/>
        <w:jc w:val="center"/>
        <w:rPr>
          <w:rFonts w:ascii="宋体" w:hAnsi="宋体" w:cs="宋体"/>
          <w:kern w:val="0"/>
          <w:sz w:val="21"/>
          <w:szCs w:val="21"/>
          <w:lang w:bidi="ar"/>
        </w:rPr>
      </w:pPr>
      <w:r>
        <w:rPr>
          <w:rFonts w:ascii="宋体" w:hAnsi="宋体" w:cs="宋体" w:hint="eastAsia"/>
          <w:kern w:val="0"/>
          <w:sz w:val="21"/>
          <w:szCs w:val="21"/>
          <w:lang w:bidi="ar"/>
        </w:rPr>
        <w:t>图4-1 M公司2020-2024年度负债结构图</w:t>
      </w:r>
    </w:p>
    <w:p w14:paraId="4FAFEB3A" w14:textId="77777777" w:rsidR="00000000" w:rsidRDefault="00000000">
      <w:pPr>
        <w:autoSpaceDE w:val="0"/>
        <w:autoSpaceDN w:val="0"/>
        <w:adjustRightInd w:val="0"/>
        <w:spacing w:afterLines="50" w:after="207"/>
        <w:ind w:firstLineChars="200" w:firstLine="426"/>
        <w:jc w:val="left"/>
        <w:rPr>
          <w:sz w:val="21"/>
          <w:szCs w:val="21"/>
        </w:rPr>
      </w:pPr>
      <w:r>
        <w:rPr>
          <w:rFonts w:hint="eastAsia"/>
          <w:sz w:val="21"/>
          <w:szCs w:val="21"/>
        </w:rPr>
        <w:t>数据来源：根据东方财富网</w:t>
      </w:r>
      <w:r>
        <w:rPr>
          <w:rFonts w:hint="eastAsia"/>
          <w:sz w:val="21"/>
          <w:szCs w:val="21"/>
        </w:rPr>
        <w:t>M</w:t>
      </w:r>
      <w:r>
        <w:rPr>
          <w:rFonts w:hint="eastAsia"/>
          <w:sz w:val="21"/>
          <w:szCs w:val="21"/>
        </w:rPr>
        <w:t>公司</w:t>
      </w:r>
      <w:r>
        <w:rPr>
          <w:rFonts w:hint="eastAsia"/>
          <w:sz w:val="21"/>
          <w:szCs w:val="21"/>
        </w:rPr>
        <w:t>2020-2024</w:t>
      </w:r>
      <w:r>
        <w:rPr>
          <w:rFonts w:hint="eastAsia"/>
          <w:sz w:val="21"/>
          <w:szCs w:val="21"/>
        </w:rPr>
        <w:t>年财务报表整理</w:t>
      </w:r>
    </w:p>
    <w:p w14:paraId="2ADFE351" w14:textId="77777777" w:rsidR="00000000" w:rsidRDefault="00000000">
      <w:pPr>
        <w:pStyle w:val="afd"/>
        <w:numPr>
          <w:ilvl w:val="0"/>
          <w:numId w:val="30"/>
        </w:numPr>
        <w:ind w:firstLine="486"/>
        <w:rPr>
          <w:color w:val="auto"/>
        </w:rPr>
      </w:pPr>
      <w:r>
        <w:rPr>
          <w:rFonts w:hint="eastAsia"/>
          <w:color w:val="auto"/>
        </w:rPr>
        <w:t>偿债水平分析</w:t>
      </w:r>
    </w:p>
    <w:p w14:paraId="6A206CB2" w14:textId="77777777" w:rsidR="00000000" w:rsidRDefault="00000000">
      <w:pPr>
        <w:pStyle w:val="afd"/>
        <w:ind w:firstLine="486"/>
        <w:rPr>
          <w:rFonts w:hint="eastAsia"/>
          <w:color w:val="auto"/>
        </w:rPr>
      </w:pPr>
      <w:r>
        <w:rPr>
          <w:rFonts w:hint="eastAsia"/>
          <w:color w:val="auto"/>
        </w:rPr>
        <w:t>为精准测度轻资产运营企业的偿债风险，本文选取流动比率、资产负债比率、现金流利息保障倍数三项关键财务指标，构建多维度风险识别体系。通过这三项指标的联动分析，能够有效量化M公司在不同时间维度上的债务清偿压力，通过深度挖掘并前瞻性识别潜在的偿债风险隐患，为企业实施主动式风险管控策略提供量化依据与决策支持。</w:t>
      </w:r>
    </w:p>
    <w:p w14:paraId="78F6D36F" w14:textId="77777777" w:rsidR="00000000" w:rsidRDefault="00000000">
      <w:pPr>
        <w:pStyle w:val="afd"/>
        <w:ind w:firstLine="486"/>
        <w:rPr>
          <w:rFonts w:hint="eastAsia"/>
          <w:color w:val="auto"/>
        </w:rPr>
      </w:pPr>
      <w:r>
        <w:rPr>
          <w:rFonts w:hint="eastAsia"/>
          <w:color w:val="auto"/>
        </w:rPr>
        <w:t>流动比率通过量化流动资产与流动负债的结构性配比，直观反映了企业短期债务的覆盖程度，是评估短期偿债能力与财务安全边际的核心指标。图4-2数据显示，2020年至2023年，服装行业平均流动比率维持在2.5的基准水平，之后有所下降。而M公司的该指标显著低于行业均值，至2022年，其流动比率已降至1.04，其流动比率不仅大幅偏离行业基准线，更与典型的重资产企业雅戈尔集团持平，这暗示了该轻资产企业在营运资本管理上存在严重的结构性失衡。不过从2022年开始，M公司流动比率开始回升，不仅超越雅戈尔集团，与行业差距也逐渐缩小，至2024年，已高于行业均值。这一数值表明，2022年新冠疫情之后，M公司经营状况开始好转，流动资产在量上高于流动负债，揭示出企业短期偿债能力正逐步强化。</w:t>
      </w:r>
    </w:p>
    <w:p w14:paraId="301A434F" w14:textId="77777777" w:rsidR="00000000" w:rsidRDefault="00000000">
      <w:pPr>
        <w:pStyle w:val="afd"/>
        <w:spacing w:line="240" w:lineRule="auto"/>
        <w:ind w:firstLineChars="0" w:firstLine="0"/>
        <w:jc w:val="center"/>
        <w:rPr>
          <w:color w:val="auto"/>
        </w:rPr>
      </w:pPr>
      <w:r>
        <w:rPr>
          <w:color w:val="auto"/>
        </w:rPr>
        <w:lastRenderedPageBreak/>
        <w:pict w14:anchorId="6CCD407E">
          <v:shape id="图片 4" o:spid="_x0000_i1031" type="#_x0000_t75" style="width:381pt;height:217.5pt;mso-wrap-style:square;mso-position-horizontal-relative:page;mso-position-vertical-relative:page">
            <v:imagedata r:id="rId35" o:title=""/>
          </v:shape>
        </w:pict>
      </w:r>
    </w:p>
    <w:p w14:paraId="7A94FC72" w14:textId="77777777" w:rsidR="00000000" w:rsidRDefault="00000000">
      <w:pPr>
        <w:autoSpaceDE w:val="0"/>
        <w:autoSpaceDN w:val="0"/>
        <w:adjustRightInd w:val="0"/>
        <w:spacing w:line="400" w:lineRule="exact"/>
        <w:ind w:firstLine="0"/>
        <w:jc w:val="center"/>
        <w:rPr>
          <w:rFonts w:ascii="宋体" w:hAnsi="宋体" w:cs="宋体"/>
          <w:kern w:val="0"/>
          <w:sz w:val="21"/>
          <w:szCs w:val="21"/>
          <w:lang w:bidi="ar"/>
        </w:rPr>
      </w:pPr>
      <w:r>
        <w:rPr>
          <w:rFonts w:ascii="宋体" w:hAnsi="宋体" w:cs="宋体" w:hint="eastAsia"/>
          <w:kern w:val="0"/>
          <w:sz w:val="21"/>
          <w:szCs w:val="21"/>
          <w:lang w:bidi="ar"/>
        </w:rPr>
        <w:t>图4-2 M公司、雅戈尔及服装行业2020-2024年流动比率变化图</w:t>
      </w:r>
    </w:p>
    <w:p w14:paraId="40A59DF2" w14:textId="77777777" w:rsidR="00000000" w:rsidRDefault="00000000">
      <w:pPr>
        <w:autoSpaceDE w:val="0"/>
        <w:autoSpaceDN w:val="0"/>
        <w:adjustRightInd w:val="0"/>
        <w:spacing w:afterLines="50" w:after="207" w:line="400" w:lineRule="exact"/>
        <w:ind w:firstLineChars="200" w:firstLine="426"/>
        <w:jc w:val="left"/>
        <w:rPr>
          <w:rFonts w:ascii="宋体" w:hAnsi="宋体" w:cs="宋体"/>
          <w:kern w:val="0"/>
          <w:sz w:val="21"/>
          <w:szCs w:val="21"/>
          <w:lang w:bidi="ar"/>
        </w:rPr>
      </w:pPr>
      <w:r>
        <w:rPr>
          <w:rFonts w:ascii="宋体" w:hAnsi="宋体" w:cs="宋体" w:hint="eastAsia"/>
          <w:kern w:val="0"/>
          <w:sz w:val="21"/>
          <w:szCs w:val="21"/>
          <w:lang w:bidi="ar"/>
        </w:rPr>
        <w:t>数据来源：根据东方财富网</w:t>
      </w:r>
      <w:r>
        <w:rPr>
          <w:rFonts w:hint="eastAsia"/>
          <w:sz w:val="21"/>
          <w:szCs w:val="21"/>
        </w:rPr>
        <w:t>M</w:t>
      </w:r>
      <w:r>
        <w:rPr>
          <w:rFonts w:hint="eastAsia"/>
          <w:sz w:val="21"/>
          <w:szCs w:val="21"/>
        </w:rPr>
        <w:t>公司、雅戈尔及服装行业</w:t>
      </w:r>
      <w:r>
        <w:rPr>
          <w:rFonts w:hint="eastAsia"/>
          <w:sz w:val="21"/>
          <w:szCs w:val="21"/>
        </w:rPr>
        <w:t>2020-2024</w:t>
      </w:r>
      <w:r>
        <w:rPr>
          <w:rFonts w:hint="eastAsia"/>
          <w:sz w:val="21"/>
          <w:szCs w:val="21"/>
        </w:rPr>
        <w:t>年财务报表</w:t>
      </w:r>
      <w:r>
        <w:rPr>
          <w:rFonts w:ascii="宋体" w:hAnsi="宋体" w:cs="宋体" w:hint="eastAsia"/>
          <w:kern w:val="0"/>
          <w:sz w:val="21"/>
          <w:szCs w:val="21"/>
          <w:lang w:bidi="ar"/>
        </w:rPr>
        <w:t>整理</w:t>
      </w:r>
    </w:p>
    <w:p w14:paraId="2CA9228F" w14:textId="77777777" w:rsidR="00000000" w:rsidRDefault="00000000">
      <w:pPr>
        <w:pStyle w:val="afd"/>
        <w:ind w:firstLine="486"/>
        <w:rPr>
          <w:rFonts w:hint="eastAsia"/>
          <w:color w:val="auto"/>
        </w:rPr>
      </w:pPr>
      <w:r>
        <w:rPr>
          <w:rFonts w:hint="eastAsia"/>
          <w:color w:val="auto"/>
        </w:rPr>
        <w:t>资产负债率则刻画了企业总资产中负债资金的占比，反映其财务杠杆运用程度。如图4-3所示，雅戈尔集团因实施重资产运营策略，通过抵押固定资产获得较强借款能力，其资产负债率远高于M。雅戈尔的纵向一体化模式涵盖原材料种植、生产制造及产品销售全链条，需大量资本投入，故负债水平持续高位。反观M公司，2020年后因发行5亿元公司债券用于偿还有息债务，导致该指标上升，高于行业均值。2023年之后，M公司该指标开始逐渐下降，而行业指标开始大幅攀升。值得注意的是，资产负债率长期攀升可能削弱企业后续融资能力，需警惕由此引发的财务弹性下降风险。</w:t>
      </w:r>
    </w:p>
    <w:p w14:paraId="6F9F9306" w14:textId="77777777" w:rsidR="00000000" w:rsidRDefault="00000000">
      <w:pPr>
        <w:autoSpaceDE w:val="0"/>
        <w:autoSpaceDN w:val="0"/>
        <w:adjustRightInd w:val="0"/>
        <w:ind w:firstLine="0"/>
        <w:jc w:val="center"/>
      </w:pPr>
      <w:r>
        <w:pict w14:anchorId="193024C0">
          <v:shape id="图片 5" o:spid="_x0000_i1032" type="#_x0000_t75" style="width:381pt;height:217.5pt;mso-wrap-style:square;mso-position-horizontal-relative:page;mso-position-vertical-relative:page">
            <v:imagedata r:id="rId36" o:title=""/>
          </v:shape>
        </w:pict>
      </w:r>
    </w:p>
    <w:p w14:paraId="57D84D88" w14:textId="77777777" w:rsidR="00000000" w:rsidRDefault="00000000">
      <w:pPr>
        <w:autoSpaceDE w:val="0"/>
        <w:autoSpaceDN w:val="0"/>
        <w:adjustRightInd w:val="0"/>
        <w:spacing w:line="400" w:lineRule="exact"/>
        <w:jc w:val="center"/>
        <w:rPr>
          <w:rFonts w:ascii="宋体" w:hAnsi="宋体" w:cs="宋体"/>
          <w:sz w:val="21"/>
          <w:szCs w:val="21"/>
        </w:rPr>
      </w:pPr>
      <w:r>
        <w:rPr>
          <w:rFonts w:ascii="宋体" w:hAnsi="宋体" w:cs="宋体" w:hint="eastAsia"/>
          <w:kern w:val="0"/>
          <w:sz w:val="21"/>
          <w:szCs w:val="21"/>
          <w:lang w:bidi="ar"/>
        </w:rPr>
        <w:lastRenderedPageBreak/>
        <w:t xml:space="preserve">图4-3 </w:t>
      </w:r>
      <w:r>
        <w:rPr>
          <w:rFonts w:ascii="宋体" w:hAnsi="宋体" w:cs="宋体" w:hint="eastAsia"/>
          <w:sz w:val="21"/>
          <w:szCs w:val="21"/>
        </w:rPr>
        <w:t>M公司、雅戈尔及服装行业2020-2024年</w:t>
      </w:r>
      <w:r>
        <w:rPr>
          <w:rFonts w:ascii="宋体" w:hAnsi="宋体" w:cs="宋体" w:hint="eastAsia"/>
          <w:kern w:val="0"/>
          <w:sz w:val="21"/>
          <w:szCs w:val="21"/>
          <w:lang w:bidi="ar"/>
        </w:rPr>
        <w:t>资产负债率变化图</w:t>
      </w:r>
    </w:p>
    <w:p w14:paraId="20233A18" w14:textId="77777777" w:rsidR="00000000" w:rsidRDefault="00000000">
      <w:pPr>
        <w:autoSpaceDE w:val="0"/>
        <w:autoSpaceDN w:val="0"/>
        <w:adjustRightInd w:val="0"/>
        <w:ind w:firstLineChars="200" w:firstLine="426"/>
        <w:jc w:val="left"/>
        <w:rPr>
          <w:rFonts w:ascii="宋体" w:hAnsi="宋体" w:cs="宋体"/>
          <w:kern w:val="0"/>
          <w:sz w:val="21"/>
          <w:szCs w:val="21"/>
          <w:lang w:bidi="ar"/>
        </w:rPr>
      </w:pPr>
      <w:r>
        <w:rPr>
          <w:rFonts w:ascii="宋体" w:hAnsi="宋体" w:cs="宋体" w:hint="eastAsia"/>
          <w:sz w:val="21"/>
          <w:szCs w:val="21"/>
        </w:rPr>
        <w:t>数据来源：根据东方财富网M公司、雅戈尔及服装行业2020-2024年财务报表整理</w:t>
      </w:r>
    </w:p>
    <w:p w14:paraId="02785C7A" w14:textId="77777777" w:rsidR="00000000" w:rsidRDefault="00000000">
      <w:pPr>
        <w:pStyle w:val="afd"/>
        <w:ind w:firstLine="486"/>
        <w:rPr>
          <w:rFonts w:hint="eastAsia"/>
          <w:color w:val="auto"/>
        </w:rPr>
      </w:pPr>
      <w:r>
        <w:rPr>
          <w:rFonts w:hint="eastAsia"/>
          <w:color w:val="auto"/>
        </w:rPr>
        <w:t>现金流利息保障倍数指企业用经营活动产生的现金净流量支付债务利息的能力，是评价偿债风险的重要指标。图4-4显示，2020-2023年M公司现金流利息保障倍数始终低于服装行业平均水平，且均呈现先降后升的显著态势。2020年爆发的疫情使得资本市场不确定性加剧，风险资产偏好下降，企业融资环境趋紧。服装业面临筹资难度增加，筹资活动减少，从而放大现金流利息倍数变化幅度的利息支出相应减少的困境。值得注意的是，M持续弱于行业基准的现金流利息保障能力，表明其财务安全性较低的长期偿债能力存在结构性缺失。这种劣势可能削弱债权人对企业的信心，进而推高未来融资成本，形成“融资难-成本高-偿债压力增大”的恶性循环。随着该指标在2023年下半年反超行业均值，M公司此前紧绷的短期资金链条得到明显舒缓，短期偿债风险显著降低，财务弹性逐步恢复。</w:t>
      </w:r>
    </w:p>
    <w:p w14:paraId="5E8058CF" w14:textId="77777777" w:rsidR="00000000" w:rsidRDefault="00000000">
      <w:pPr>
        <w:autoSpaceDE w:val="0"/>
        <w:autoSpaceDN w:val="0"/>
        <w:adjustRightInd w:val="0"/>
        <w:spacing w:line="400" w:lineRule="exact"/>
        <w:jc w:val="left"/>
        <w:rPr>
          <w:rFonts w:ascii="仿宋_GB2312" w:eastAsia="仿宋_GB2312" w:hAnsi="仿宋_GB2312" w:cs="仿宋_GB2312"/>
          <w:sz w:val="32"/>
          <w:szCs w:val="32"/>
        </w:rPr>
      </w:pPr>
    </w:p>
    <w:p w14:paraId="7CDBE8A5" w14:textId="77777777" w:rsidR="00000000" w:rsidRDefault="00000000">
      <w:pPr>
        <w:autoSpaceDE w:val="0"/>
        <w:autoSpaceDN w:val="0"/>
        <w:adjustRightInd w:val="0"/>
        <w:ind w:firstLine="0"/>
        <w:jc w:val="center"/>
      </w:pPr>
      <w:r>
        <w:pict w14:anchorId="66FEA0B4">
          <v:shape id="图片 6" o:spid="_x0000_i1033" type="#_x0000_t75" style="width:381.75pt;height:216.75pt;mso-wrap-style:square;mso-position-horizontal-relative:page;mso-position-vertical-relative:page">
            <v:imagedata r:id="rId37" o:title=""/>
            <o:lock v:ext="edit" aspectratio="f"/>
          </v:shape>
        </w:pict>
      </w:r>
    </w:p>
    <w:p w14:paraId="1B7904EB" w14:textId="77777777" w:rsidR="00000000" w:rsidRDefault="00000000">
      <w:pPr>
        <w:autoSpaceDE w:val="0"/>
        <w:autoSpaceDN w:val="0"/>
        <w:adjustRightInd w:val="0"/>
        <w:spacing w:line="400" w:lineRule="exact"/>
        <w:jc w:val="center"/>
        <w:rPr>
          <w:rFonts w:ascii="宋体" w:hAnsi="宋体" w:cs="宋体"/>
          <w:kern w:val="0"/>
          <w:sz w:val="21"/>
          <w:szCs w:val="21"/>
          <w:lang w:bidi="ar"/>
        </w:rPr>
      </w:pPr>
      <w:r>
        <w:rPr>
          <w:rFonts w:ascii="宋体" w:hAnsi="宋体" w:cs="宋体" w:hint="eastAsia"/>
          <w:kern w:val="0"/>
          <w:sz w:val="21"/>
          <w:szCs w:val="21"/>
          <w:lang w:bidi="ar"/>
        </w:rPr>
        <w:t>图4-4 M公司及服装行业2020-2024年现金流量利息保障倍数变化图</w:t>
      </w:r>
    </w:p>
    <w:p w14:paraId="0CBE7255" w14:textId="77777777" w:rsidR="00000000" w:rsidRDefault="00000000">
      <w:pPr>
        <w:autoSpaceDE w:val="0"/>
        <w:autoSpaceDN w:val="0"/>
        <w:adjustRightInd w:val="0"/>
        <w:spacing w:afterLines="50" w:after="207" w:line="400" w:lineRule="exact"/>
        <w:jc w:val="left"/>
        <w:rPr>
          <w:rFonts w:ascii="宋体" w:hAnsi="宋体" w:cs="宋体"/>
          <w:kern w:val="0"/>
          <w:sz w:val="21"/>
          <w:szCs w:val="21"/>
          <w:lang w:bidi="ar"/>
        </w:rPr>
      </w:pPr>
      <w:r>
        <w:rPr>
          <w:rFonts w:ascii="宋体" w:hAnsi="宋体" w:cs="宋体" w:hint="eastAsia"/>
          <w:kern w:val="0"/>
          <w:sz w:val="21"/>
          <w:szCs w:val="21"/>
          <w:lang w:bidi="ar"/>
        </w:rPr>
        <w:t>数据来源：根据东方财富网M公司及服装行业2020-2024年财务报表整理</w:t>
      </w:r>
    </w:p>
    <w:p w14:paraId="0134DAE2" w14:textId="77777777" w:rsidR="00000000" w:rsidRDefault="00000000">
      <w:pPr>
        <w:pStyle w:val="afc"/>
        <w:numPr>
          <w:ilvl w:val="0"/>
          <w:numId w:val="0"/>
        </w:numPr>
        <w:tabs>
          <w:tab w:val="left" w:pos="0"/>
        </w:tabs>
        <w:spacing w:before="207"/>
        <w:ind w:firstLine="567"/>
      </w:pPr>
      <w:bookmarkStart w:id="74" w:name="_Toc15571"/>
      <w:bookmarkStart w:id="75" w:name="_Toc20849"/>
      <w:r>
        <w:rPr>
          <w:rFonts w:hint="eastAsia"/>
        </w:rPr>
        <w:t>二、</w:t>
      </w:r>
      <w:r>
        <w:t>投资风险识别</w:t>
      </w:r>
      <w:bookmarkEnd w:id="74"/>
      <w:bookmarkEnd w:id="75"/>
    </w:p>
    <w:p w14:paraId="63BDC5D3" w14:textId="77777777" w:rsidR="00000000" w:rsidRDefault="00000000">
      <w:pPr>
        <w:pStyle w:val="afd"/>
        <w:numPr>
          <w:ilvl w:val="0"/>
          <w:numId w:val="31"/>
        </w:numPr>
        <w:ind w:firstLine="486"/>
        <w:rPr>
          <w:color w:val="auto"/>
        </w:rPr>
      </w:pPr>
      <w:r>
        <w:rPr>
          <w:color w:val="auto"/>
        </w:rPr>
        <w:t>投资效率分析</w:t>
      </w:r>
    </w:p>
    <w:p w14:paraId="025B1290" w14:textId="77777777" w:rsidR="00000000" w:rsidRDefault="00000000">
      <w:pPr>
        <w:pStyle w:val="afd"/>
        <w:ind w:firstLine="486"/>
        <w:rPr>
          <w:rFonts w:hint="eastAsia"/>
          <w:color w:val="auto"/>
        </w:rPr>
      </w:pPr>
      <w:r>
        <w:rPr>
          <w:rFonts w:hint="eastAsia"/>
          <w:color w:val="auto"/>
        </w:rPr>
        <w:t>成本费用利润率反映单位成本费用支出所创造的经营收益，是衡量企业投入产出效率的核心依据。比率越高，意味着企业以同等成本换取的经济效益越突出。图4-5数据显示，M公司与服装行业成本和费用的平均利润率基本持平。相</w:t>
      </w:r>
      <w:r>
        <w:rPr>
          <w:rFonts w:hint="eastAsia"/>
          <w:color w:val="auto"/>
        </w:rPr>
        <w:lastRenderedPageBreak/>
        <w:t>较之下，雅戈尔集团虽在该指标上波动较大，但整体表现显著优于M公司及行业平均水平。值得注意的是，从2020年开始，雅戈尔的成本费用利润率开始大幅下降，与行业均值和M公司的差距越来越小。此外，自2023年以来，M公司与行业平均成本费用利润率均呈下行态势。究其原因，主要在于企业成本费用结构失衡：营业成本与销售费用逐年刚性攀升，持续压缩利润空间。其次，宏观经济波动与外部环境变化对终端消费市场造成冲击，其快速扩张的线下直营店遭遇关店潮，实体客流的大幅萎缩，进一步加剧了经营风险，对企业盈利能力的可持续性构成了严峻挑战。</w:t>
      </w:r>
    </w:p>
    <w:p w14:paraId="7AE3D442" w14:textId="77777777" w:rsidR="00000000" w:rsidRDefault="00000000">
      <w:pPr>
        <w:pStyle w:val="afd"/>
        <w:ind w:firstLine="486"/>
        <w:rPr>
          <w:rFonts w:hint="eastAsia"/>
          <w:color w:val="auto"/>
        </w:rPr>
      </w:pPr>
      <w:r>
        <w:rPr>
          <w:rFonts w:hint="eastAsia"/>
          <w:color w:val="auto"/>
        </w:rPr>
        <w:t>比较雅戈尔的经营特点，其通过大规模固定资产投资形成规模经济效应，使单位产品成本得到有效降低，生产效率得到提高。而作为轻资产运营的典型，M公司虽然投入了更多的资源进行品牌建设、市场营销和产品设计，但外包生产模式更依赖供应链管理，加之高额的营销、研发和管理费用，在一定程度上压缩了利润空间。 此外，轻资产模式要求企业持续保持市场竞争力，一旦外部环境恶化或内部管理失效，其盈利能力的脆弱性将充分暴露。</w:t>
      </w:r>
    </w:p>
    <w:p w14:paraId="1152DFCB" w14:textId="77777777" w:rsidR="00000000" w:rsidRDefault="00000000">
      <w:pPr>
        <w:autoSpaceDE w:val="0"/>
        <w:autoSpaceDN w:val="0"/>
        <w:adjustRightInd w:val="0"/>
        <w:ind w:firstLine="0"/>
        <w:jc w:val="center"/>
      </w:pPr>
      <w:r>
        <w:pict w14:anchorId="51681A1E">
          <v:shape id="图片 7" o:spid="_x0000_i1034" type="#_x0000_t75" style="width:381.75pt;height:216.75pt;mso-wrap-style:square;mso-position-horizontal-relative:page;mso-position-vertical-relative:page">
            <v:imagedata r:id="rId38" o:title=""/>
            <o:lock v:ext="edit" aspectratio="f"/>
          </v:shape>
        </w:pict>
      </w:r>
    </w:p>
    <w:p w14:paraId="336023DF" w14:textId="77777777" w:rsidR="00000000" w:rsidRDefault="00000000">
      <w:pPr>
        <w:autoSpaceDE w:val="0"/>
        <w:autoSpaceDN w:val="0"/>
        <w:adjustRightInd w:val="0"/>
        <w:spacing w:line="400" w:lineRule="exact"/>
        <w:ind w:firstLine="0"/>
        <w:jc w:val="center"/>
        <w:rPr>
          <w:rFonts w:ascii="宋体" w:hAnsi="宋体" w:cs="宋体"/>
          <w:sz w:val="21"/>
          <w:szCs w:val="21"/>
        </w:rPr>
      </w:pPr>
      <w:r>
        <w:rPr>
          <w:rFonts w:ascii="宋体" w:hAnsi="宋体" w:cs="宋体" w:hint="eastAsia"/>
          <w:sz w:val="21"/>
          <w:szCs w:val="21"/>
        </w:rPr>
        <w:t>图4-5 M公司、雅戈尔及服装行业2020-2024年成本费用利润率变化图</w:t>
      </w:r>
    </w:p>
    <w:p w14:paraId="0A4CF38A" w14:textId="77777777" w:rsidR="00000000" w:rsidRDefault="00000000">
      <w:pPr>
        <w:autoSpaceDE w:val="0"/>
        <w:autoSpaceDN w:val="0"/>
        <w:adjustRightInd w:val="0"/>
        <w:spacing w:afterLines="50" w:after="207" w:line="400" w:lineRule="exact"/>
        <w:ind w:firstLineChars="200" w:firstLine="426"/>
        <w:jc w:val="left"/>
        <w:rPr>
          <w:rFonts w:ascii="宋体" w:hAnsi="宋体" w:cs="宋体"/>
          <w:sz w:val="21"/>
          <w:szCs w:val="21"/>
        </w:rPr>
      </w:pPr>
      <w:r>
        <w:rPr>
          <w:rFonts w:ascii="宋体" w:hAnsi="宋体" w:cs="宋体" w:hint="eastAsia"/>
          <w:sz w:val="21"/>
          <w:szCs w:val="21"/>
        </w:rPr>
        <w:t>数据来源：根据东方财富网M公司、雅戈尔及服装行业2020-2024年财务报表整理</w:t>
      </w:r>
    </w:p>
    <w:p w14:paraId="45279A39" w14:textId="77777777" w:rsidR="00000000" w:rsidRDefault="00000000">
      <w:pPr>
        <w:pStyle w:val="afd"/>
        <w:numPr>
          <w:ilvl w:val="0"/>
          <w:numId w:val="31"/>
        </w:numPr>
        <w:ind w:firstLine="486"/>
        <w:rPr>
          <w:color w:val="auto"/>
        </w:rPr>
      </w:pPr>
      <w:r>
        <w:rPr>
          <w:rFonts w:hint="eastAsia"/>
          <w:color w:val="auto"/>
        </w:rPr>
        <w:t>发展能力分析</w:t>
      </w:r>
    </w:p>
    <w:p w14:paraId="1B54532D" w14:textId="77777777" w:rsidR="00000000" w:rsidRDefault="00000000">
      <w:pPr>
        <w:pStyle w:val="afd"/>
        <w:ind w:firstLine="486"/>
        <w:rPr>
          <w:rFonts w:hint="eastAsia"/>
          <w:color w:val="auto"/>
        </w:rPr>
      </w:pPr>
      <w:r>
        <w:rPr>
          <w:rFonts w:hint="eastAsia"/>
          <w:color w:val="auto"/>
        </w:rPr>
        <w:t>M公司于2014年在轻资产运营框架内确立“实业+投资”的多元化发展战略，通过构建“核心业务+财务投资”双轮驱动模式，实现财务投资获利回流，支撑实体业务的规模化扩张。表4-2数据显示，2020-2024年间M公司财务资产投资收益占比在2022年疫情前后基本呈现先降后升态势。2020年疫情爆发后，</w:t>
      </w:r>
      <w:r>
        <w:rPr>
          <w:rFonts w:hint="eastAsia"/>
          <w:color w:val="auto"/>
        </w:rPr>
        <w:lastRenderedPageBreak/>
        <w:t>主营业务盈利能力受冲击，尽管实施“实业+投资”战略，其总体盈利能力改善有限。值得注意的是，受理财与股票公允价值下行影响，投资收益明显收缩，暴露出投资效率下降的风险。同时，尽管企业借减持兴业股权优化资金结构，但此举并未实质性改善盈利，反而因金融市场波动加剧了投资风险的暴露程度。上述分析表明，M公司的多元化投资战略在特殊经济环境下面临效率与风险的双面挑战。</w:t>
      </w:r>
    </w:p>
    <w:p w14:paraId="0D07B05B" w14:textId="77777777" w:rsidR="00000000" w:rsidRDefault="00000000">
      <w:pPr>
        <w:autoSpaceDE w:val="0"/>
        <w:autoSpaceDN w:val="0"/>
        <w:adjustRightInd w:val="0"/>
        <w:spacing w:beforeLines="50" w:before="207" w:afterLines="50" w:after="207" w:line="400" w:lineRule="exact"/>
        <w:ind w:firstLine="0"/>
        <w:jc w:val="center"/>
        <w:rPr>
          <w:rFonts w:ascii="宋体" w:hAnsi="宋体" w:cs="宋体"/>
          <w:sz w:val="21"/>
          <w:szCs w:val="21"/>
        </w:rPr>
      </w:pPr>
      <w:r>
        <w:rPr>
          <w:rFonts w:ascii="宋体" w:hAnsi="宋体" w:cs="宋体" w:hint="eastAsia"/>
          <w:sz w:val="21"/>
          <w:szCs w:val="21"/>
        </w:rPr>
        <w:t>表4-2 M公司2020-2024年财务投资收益分析表</w:t>
      </w:r>
    </w:p>
    <w:tbl>
      <w:tblPr>
        <w:tblW w:w="8637" w:type="dxa"/>
        <w:jc w:val="center"/>
        <w:tblInd w:w="0" w:type="dxa"/>
        <w:tblBorders>
          <w:top w:val="single" w:sz="12" w:space="0" w:color="008000"/>
          <w:bottom w:val="single" w:sz="12" w:space="0" w:color="008000"/>
        </w:tblBorders>
        <w:tblLayout w:type="fixed"/>
        <w:tblCellMar>
          <w:top w:w="56" w:type="dxa"/>
          <w:left w:w="96" w:type="dxa"/>
          <w:bottom w:w="56" w:type="dxa"/>
          <w:right w:w="96" w:type="dxa"/>
        </w:tblCellMar>
        <w:tblLook w:val="0000" w:firstRow="0" w:lastRow="0" w:firstColumn="0" w:lastColumn="0" w:noHBand="0" w:noVBand="0"/>
      </w:tblPr>
      <w:tblGrid>
        <w:gridCol w:w="4405"/>
        <w:gridCol w:w="846"/>
        <w:gridCol w:w="846"/>
        <w:gridCol w:w="846"/>
        <w:gridCol w:w="846"/>
        <w:gridCol w:w="848"/>
      </w:tblGrid>
      <w:tr w:rsidR="00000000" w14:paraId="6CA098B7" w14:textId="77777777">
        <w:trPr>
          <w:tblHeader/>
          <w:jc w:val="center"/>
        </w:trPr>
        <w:tc>
          <w:tcPr>
            <w:tcW w:w="4405" w:type="dxa"/>
            <w:tcBorders>
              <w:top w:val="single" w:sz="12" w:space="0" w:color="000000"/>
              <w:bottom w:val="single" w:sz="4" w:space="0" w:color="000000"/>
            </w:tcBorders>
            <w:noWrap/>
            <w:vAlign w:val="center"/>
          </w:tcPr>
          <w:p w14:paraId="7B053FB6" w14:textId="77777777" w:rsidR="00000000" w:rsidRDefault="00000000">
            <w:pPr>
              <w:widowControl/>
              <w:snapToGrid w:val="0"/>
              <w:spacing w:beforeLines="50" w:before="207" w:afterLines="50" w:after="207" w:line="240" w:lineRule="exact"/>
              <w:ind w:firstLine="0"/>
              <w:jc w:val="center"/>
              <w:rPr>
                <w:rFonts w:ascii="宋体" w:hAnsi="宋体" w:cs="宋体"/>
                <w:b/>
                <w:bCs/>
                <w:iCs/>
                <w:kern w:val="0"/>
                <w:sz w:val="21"/>
                <w:szCs w:val="21"/>
              </w:rPr>
            </w:pPr>
            <w:r>
              <w:rPr>
                <w:rFonts w:ascii="宋体" w:hAnsi="宋体" w:cs="宋体" w:hint="eastAsia"/>
                <w:b/>
                <w:bCs/>
                <w:iCs/>
                <w:kern w:val="0"/>
                <w:sz w:val="21"/>
                <w:szCs w:val="21"/>
              </w:rPr>
              <w:t>项目</w:t>
            </w:r>
          </w:p>
        </w:tc>
        <w:tc>
          <w:tcPr>
            <w:tcW w:w="846" w:type="dxa"/>
            <w:tcBorders>
              <w:top w:val="single" w:sz="12" w:space="0" w:color="000000"/>
              <w:bottom w:val="single" w:sz="4" w:space="0" w:color="000000"/>
            </w:tcBorders>
            <w:noWrap/>
            <w:vAlign w:val="center"/>
          </w:tcPr>
          <w:p w14:paraId="136A3337" w14:textId="77777777" w:rsidR="00000000" w:rsidRDefault="00000000">
            <w:pPr>
              <w:widowControl/>
              <w:snapToGrid w:val="0"/>
              <w:spacing w:beforeLines="50" w:before="207" w:afterLines="50" w:after="207" w:line="240" w:lineRule="exact"/>
              <w:ind w:firstLine="0"/>
              <w:jc w:val="center"/>
              <w:rPr>
                <w:rFonts w:ascii="宋体" w:hAnsi="宋体" w:cs="宋体"/>
                <w:b/>
                <w:bCs/>
                <w:iCs/>
                <w:kern w:val="0"/>
                <w:sz w:val="21"/>
                <w:szCs w:val="21"/>
              </w:rPr>
            </w:pPr>
            <w:r>
              <w:rPr>
                <w:rFonts w:ascii="宋体" w:hAnsi="宋体" w:cs="宋体" w:hint="eastAsia"/>
                <w:b/>
                <w:bCs/>
                <w:iCs/>
                <w:kern w:val="0"/>
                <w:sz w:val="21"/>
                <w:szCs w:val="21"/>
              </w:rPr>
              <w:t>2020</w:t>
            </w:r>
          </w:p>
        </w:tc>
        <w:tc>
          <w:tcPr>
            <w:tcW w:w="846" w:type="dxa"/>
            <w:tcBorders>
              <w:top w:val="single" w:sz="12" w:space="0" w:color="000000"/>
              <w:bottom w:val="single" w:sz="4" w:space="0" w:color="000000"/>
            </w:tcBorders>
            <w:noWrap/>
            <w:vAlign w:val="center"/>
          </w:tcPr>
          <w:p w14:paraId="6C3B6F76" w14:textId="77777777" w:rsidR="00000000" w:rsidRDefault="00000000">
            <w:pPr>
              <w:widowControl/>
              <w:snapToGrid w:val="0"/>
              <w:spacing w:beforeLines="50" w:before="207" w:afterLines="50" w:after="207" w:line="240" w:lineRule="exact"/>
              <w:ind w:firstLine="0"/>
              <w:jc w:val="center"/>
              <w:rPr>
                <w:rFonts w:ascii="宋体" w:hAnsi="宋体" w:cs="宋体"/>
                <w:b/>
                <w:bCs/>
                <w:iCs/>
                <w:kern w:val="0"/>
                <w:sz w:val="21"/>
                <w:szCs w:val="21"/>
              </w:rPr>
            </w:pPr>
            <w:r>
              <w:rPr>
                <w:rFonts w:ascii="宋体" w:hAnsi="宋体" w:cs="宋体" w:hint="eastAsia"/>
                <w:b/>
                <w:bCs/>
                <w:iCs/>
                <w:kern w:val="0"/>
                <w:sz w:val="21"/>
                <w:szCs w:val="21"/>
              </w:rPr>
              <w:t>2021</w:t>
            </w:r>
          </w:p>
        </w:tc>
        <w:tc>
          <w:tcPr>
            <w:tcW w:w="846" w:type="dxa"/>
            <w:tcBorders>
              <w:top w:val="single" w:sz="12" w:space="0" w:color="000000"/>
              <w:bottom w:val="single" w:sz="4" w:space="0" w:color="000000"/>
            </w:tcBorders>
            <w:noWrap/>
            <w:vAlign w:val="center"/>
          </w:tcPr>
          <w:p w14:paraId="3F3001B2" w14:textId="77777777" w:rsidR="00000000" w:rsidRDefault="00000000">
            <w:pPr>
              <w:widowControl/>
              <w:snapToGrid w:val="0"/>
              <w:spacing w:beforeLines="50" w:before="207" w:afterLines="50" w:after="207" w:line="240" w:lineRule="exact"/>
              <w:ind w:firstLine="0"/>
              <w:jc w:val="center"/>
              <w:rPr>
                <w:rFonts w:ascii="宋体" w:hAnsi="宋体" w:cs="宋体"/>
                <w:b/>
                <w:bCs/>
                <w:iCs/>
                <w:kern w:val="0"/>
                <w:sz w:val="21"/>
                <w:szCs w:val="21"/>
              </w:rPr>
            </w:pPr>
            <w:r>
              <w:rPr>
                <w:rFonts w:ascii="宋体" w:hAnsi="宋体" w:cs="宋体" w:hint="eastAsia"/>
                <w:b/>
                <w:bCs/>
                <w:iCs/>
                <w:kern w:val="0"/>
                <w:sz w:val="21"/>
                <w:szCs w:val="21"/>
              </w:rPr>
              <w:t>2022</w:t>
            </w:r>
          </w:p>
        </w:tc>
        <w:tc>
          <w:tcPr>
            <w:tcW w:w="846" w:type="dxa"/>
            <w:tcBorders>
              <w:top w:val="single" w:sz="12" w:space="0" w:color="000000"/>
              <w:bottom w:val="single" w:sz="4" w:space="0" w:color="000000"/>
            </w:tcBorders>
            <w:noWrap/>
            <w:vAlign w:val="center"/>
          </w:tcPr>
          <w:p w14:paraId="2FBDDF02" w14:textId="77777777" w:rsidR="00000000" w:rsidRDefault="00000000">
            <w:pPr>
              <w:widowControl/>
              <w:snapToGrid w:val="0"/>
              <w:spacing w:beforeLines="50" w:before="207" w:afterLines="50" w:after="207" w:line="240" w:lineRule="exact"/>
              <w:ind w:firstLine="0"/>
              <w:jc w:val="center"/>
              <w:rPr>
                <w:rFonts w:ascii="宋体" w:hAnsi="宋体" w:cs="宋体"/>
                <w:b/>
                <w:bCs/>
                <w:iCs/>
                <w:kern w:val="0"/>
                <w:sz w:val="21"/>
                <w:szCs w:val="21"/>
              </w:rPr>
            </w:pPr>
            <w:r>
              <w:rPr>
                <w:rFonts w:ascii="宋体" w:hAnsi="宋体" w:cs="宋体" w:hint="eastAsia"/>
                <w:b/>
                <w:bCs/>
                <w:iCs/>
                <w:kern w:val="0"/>
                <w:sz w:val="21"/>
                <w:szCs w:val="21"/>
              </w:rPr>
              <w:t>2023</w:t>
            </w:r>
          </w:p>
        </w:tc>
        <w:tc>
          <w:tcPr>
            <w:tcW w:w="848" w:type="dxa"/>
            <w:tcBorders>
              <w:top w:val="single" w:sz="12" w:space="0" w:color="000000"/>
              <w:bottom w:val="single" w:sz="4" w:space="0" w:color="000000"/>
            </w:tcBorders>
            <w:noWrap/>
            <w:vAlign w:val="center"/>
          </w:tcPr>
          <w:p w14:paraId="2221254C" w14:textId="77777777" w:rsidR="00000000" w:rsidRDefault="00000000">
            <w:pPr>
              <w:widowControl/>
              <w:snapToGrid w:val="0"/>
              <w:spacing w:beforeLines="50" w:before="207" w:afterLines="50" w:after="207" w:line="240" w:lineRule="exact"/>
              <w:ind w:firstLine="0"/>
              <w:jc w:val="center"/>
              <w:rPr>
                <w:rFonts w:ascii="宋体" w:hAnsi="宋体" w:cs="宋体"/>
                <w:b/>
                <w:bCs/>
                <w:iCs/>
                <w:kern w:val="0"/>
                <w:sz w:val="21"/>
                <w:szCs w:val="21"/>
              </w:rPr>
            </w:pPr>
            <w:r>
              <w:rPr>
                <w:rFonts w:ascii="宋体" w:hAnsi="宋体" w:cs="宋体" w:hint="eastAsia"/>
                <w:b/>
                <w:bCs/>
                <w:iCs/>
                <w:kern w:val="0"/>
                <w:sz w:val="21"/>
                <w:szCs w:val="21"/>
              </w:rPr>
              <w:t>2024</w:t>
            </w:r>
          </w:p>
        </w:tc>
      </w:tr>
      <w:tr w:rsidR="00000000" w14:paraId="63F88007" w14:textId="77777777">
        <w:trPr>
          <w:jc w:val="center"/>
        </w:trPr>
        <w:tc>
          <w:tcPr>
            <w:tcW w:w="4405" w:type="dxa"/>
            <w:tcBorders>
              <w:top w:val="single" w:sz="4" w:space="0" w:color="000000"/>
            </w:tcBorders>
            <w:noWrap/>
            <w:vAlign w:val="center"/>
          </w:tcPr>
          <w:p w14:paraId="680FA8F4" w14:textId="77777777" w:rsidR="00000000" w:rsidRDefault="00000000">
            <w:pPr>
              <w:widowControl/>
              <w:snapToGrid w:val="0"/>
              <w:spacing w:line="400" w:lineRule="exact"/>
              <w:jc w:val="center"/>
              <w:rPr>
                <w:rFonts w:ascii="宋体" w:hAnsi="宋体" w:cs="宋体"/>
                <w:kern w:val="0"/>
                <w:sz w:val="21"/>
                <w:szCs w:val="21"/>
              </w:rPr>
            </w:pPr>
            <w:r>
              <w:rPr>
                <w:rFonts w:ascii="宋体" w:hAnsi="宋体" w:cs="宋体" w:hint="eastAsia"/>
                <w:kern w:val="0"/>
                <w:sz w:val="21"/>
                <w:szCs w:val="21"/>
              </w:rPr>
              <w:t>公允价值变动损益（亿元）</w:t>
            </w:r>
          </w:p>
        </w:tc>
        <w:tc>
          <w:tcPr>
            <w:tcW w:w="846" w:type="dxa"/>
            <w:tcBorders>
              <w:top w:val="single" w:sz="4" w:space="0" w:color="000000"/>
            </w:tcBorders>
            <w:noWrap/>
            <w:vAlign w:val="center"/>
          </w:tcPr>
          <w:p w14:paraId="3BD177E0" w14:textId="77777777" w:rsidR="00000000" w:rsidRDefault="00000000">
            <w:pPr>
              <w:widowControl/>
              <w:snapToGrid w:val="0"/>
              <w:spacing w:line="400" w:lineRule="exact"/>
              <w:ind w:firstLine="0"/>
              <w:jc w:val="right"/>
              <w:rPr>
                <w:rFonts w:ascii="宋体" w:hAnsi="宋体" w:cs="宋体"/>
                <w:kern w:val="0"/>
                <w:sz w:val="21"/>
                <w:szCs w:val="21"/>
              </w:rPr>
            </w:pPr>
            <w:r>
              <w:rPr>
                <w:rFonts w:ascii="宋体" w:hAnsi="宋体" w:cs="宋体" w:hint="eastAsia"/>
                <w:kern w:val="0"/>
                <w:sz w:val="21"/>
                <w:szCs w:val="21"/>
              </w:rPr>
              <w:t>0.71</w:t>
            </w:r>
          </w:p>
        </w:tc>
        <w:tc>
          <w:tcPr>
            <w:tcW w:w="846" w:type="dxa"/>
            <w:tcBorders>
              <w:top w:val="single" w:sz="4" w:space="0" w:color="000000"/>
            </w:tcBorders>
            <w:noWrap/>
            <w:vAlign w:val="center"/>
          </w:tcPr>
          <w:p w14:paraId="6DF0A10B" w14:textId="77777777" w:rsidR="00000000" w:rsidRDefault="00000000">
            <w:pPr>
              <w:widowControl/>
              <w:snapToGrid w:val="0"/>
              <w:spacing w:line="400" w:lineRule="exact"/>
              <w:ind w:firstLine="0"/>
              <w:jc w:val="right"/>
              <w:rPr>
                <w:rFonts w:ascii="宋体" w:hAnsi="宋体" w:cs="宋体"/>
                <w:kern w:val="0"/>
                <w:sz w:val="21"/>
                <w:szCs w:val="21"/>
              </w:rPr>
            </w:pPr>
            <w:r>
              <w:rPr>
                <w:rFonts w:ascii="宋体" w:hAnsi="宋体" w:cs="宋体" w:hint="eastAsia"/>
                <w:kern w:val="0"/>
                <w:sz w:val="21"/>
                <w:szCs w:val="21"/>
              </w:rPr>
              <w:t>-0.24</w:t>
            </w:r>
          </w:p>
        </w:tc>
        <w:tc>
          <w:tcPr>
            <w:tcW w:w="846" w:type="dxa"/>
            <w:tcBorders>
              <w:top w:val="single" w:sz="4" w:space="0" w:color="000000"/>
            </w:tcBorders>
            <w:noWrap/>
            <w:vAlign w:val="center"/>
          </w:tcPr>
          <w:p w14:paraId="435F0693" w14:textId="77777777" w:rsidR="00000000" w:rsidRDefault="00000000">
            <w:pPr>
              <w:widowControl/>
              <w:snapToGrid w:val="0"/>
              <w:spacing w:line="400" w:lineRule="exact"/>
              <w:ind w:firstLine="0"/>
              <w:jc w:val="right"/>
              <w:rPr>
                <w:rFonts w:ascii="宋体" w:hAnsi="宋体" w:cs="宋体"/>
                <w:kern w:val="0"/>
                <w:sz w:val="21"/>
                <w:szCs w:val="21"/>
              </w:rPr>
            </w:pPr>
            <w:r>
              <w:rPr>
                <w:rFonts w:ascii="宋体" w:hAnsi="宋体" w:cs="宋体" w:hint="eastAsia"/>
                <w:kern w:val="0"/>
                <w:sz w:val="21"/>
                <w:szCs w:val="21"/>
              </w:rPr>
              <w:t>0.01</w:t>
            </w:r>
          </w:p>
        </w:tc>
        <w:tc>
          <w:tcPr>
            <w:tcW w:w="846" w:type="dxa"/>
            <w:tcBorders>
              <w:top w:val="single" w:sz="4" w:space="0" w:color="000000"/>
            </w:tcBorders>
            <w:noWrap/>
            <w:vAlign w:val="center"/>
          </w:tcPr>
          <w:p w14:paraId="2F8C1EAE" w14:textId="77777777" w:rsidR="00000000" w:rsidRDefault="00000000">
            <w:pPr>
              <w:widowControl/>
              <w:snapToGrid w:val="0"/>
              <w:spacing w:line="400" w:lineRule="exact"/>
              <w:ind w:firstLine="0"/>
              <w:jc w:val="right"/>
              <w:rPr>
                <w:rFonts w:ascii="宋体" w:hAnsi="宋体" w:cs="宋体"/>
                <w:kern w:val="0"/>
                <w:sz w:val="21"/>
                <w:szCs w:val="21"/>
              </w:rPr>
            </w:pPr>
            <w:r>
              <w:rPr>
                <w:rFonts w:ascii="宋体" w:hAnsi="宋体" w:cs="宋体" w:hint="eastAsia"/>
                <w:kern w:val="0"/>
                <w:sz w:val="21"/>
                <w:szCs w:val="21"/>
              </w:rPr>
              <w:t>-0.02</w:t>
            </w:r>
          </w:p>
        </w:tc>
        <w:tc>
          <w:tcPr>
            <w:tcW w:w="848" w:type="dxa"/>
            <w:tcBorders>
              <w:top w:val="single" w:sz="4" w:space="0" w:color="000000"/>
            </w:tcBorders>
            <w:vAlign w:val="center"/>
          </w:tcPr>
          <w:p w14:paraId="2D81B48E" w14:textId="77777777" w:rsidR="00000000" w:rsidRDefault="00000000">
            <w:pPr>
              <w:widowControl/>
              <w:snapToGrid w:val="0"/>
              <w:spacing w:line="400" w:lineRule="exact"/>
              <w:ind w:firstLine="0"/>
              <w:jc w:val="right"/>
              <w:rPr>
                <w:rFonts w:ascii="宋体" w:hAnsi="Arial" w:cs="Arial"/>
                <w:kern w:val="0"/>
                <w:sz w:val="21"/>
                <w:szCs w:val="21"/>
              </w:rPr>
            </w:pPr>
            <w:r>
              <w:rPr>
                <w:rFonts w:ascii="宋体" w:hAnsi="宋体" w:cs="宋体" w:hint="eastAsia"/>
                <w:kern w:val="0"/>
                <w:sz w:val="21"/>
                <w:szCs w:val="21"/>
              </w:rPr>
              <w:t>2.07</w:t>
            </w:r>
          </w:p>
        </w:tc>
      </w:tr>
      <w:tr w:rsidR="00000000" w14:paraId="4D9CDFB3" w14:textId="77777777">
        <w:trPr>
          <w:jc w:val="center"/>
        </w:trPr>
        <w:tc>
          <w:tcPr>
            <w:tcW w:w="4405" w:type="dxa"/>
            <w:noWrap/>
            <w:vAlign w:val="center"/>
          </w:tcPr>
          <w:p w14:paraId="4F548195" w14:textId="77777777" w:rsidR="00000000" w:rsidRDefault="00000000">
            <w:pPr>
              <w:widowControl/>
              <w:snapToGrid w:val="0"/>
              <w:spacing w:line="400" w:lineRule="exact"/>
              <w:jc w:val="center"/>
              <w:rPr>
                <w:rFonts w:ascii="宋体" w:hAnsi="宋体" w:cs="宋体"/>
                <w:kern w:val="0"/>
                <w:sz w:val="21"/>
                <w:szCs w:val="21"/>
              </w:rPr>
            </w:pPr>
            <w:r>
              <w:rPr>
                <w:rFonts w:ascii="宋体" w:hAnsi="宋体" w:cs="宋体" w:hint="eastAsia"/>
                <w:kern w:val="0"/>
                <w:sz w:val="21"/>
                <w:szCs w:val="21"/>
              </w:rPr>
              <w:t>投资收益（亿元）</w:t>
            </w:r>
          </w:p>
        </w:tc>
        <w:tc>
          <w:tcPr>
            <w:tcW w:w="846" w:type="dxa"/>
            <w:noWrap/>
            <w:vAlign w:val="center"/>
          </w:tcPr>
          <w:p w14:paraId="77FC0053" w14:textId="77777777" w:rsidR="00000000" w:rsidRDefault="00000000">
            <w:pPr>
              <w:widowControl/>
              <w:snapToGrid w:val="0"/>
              <w:spacing w:line="400" w:lineRule="exact"/>
              <w:ind w:firstLine="0"/>
              <w:jc w:val="right"/>
              <w:rPr>
                <w:rFonts w:ascii="宋体" w:hAnsi="宋体" w:cs="宋体"/>
                <w:kern w:val="0"/>
                <w:sz w:val="21"/>
                <w:szCs w:val="21"/>
              </w:rPr>
            </w:pPr>
            <w:r>
              <w:rPr>
                <w:rFonts w:ascii="宋体" w:hAnsi="宋体" w:cs="宋体" w:hint="eastAsia"/>
                <w:kern w:val="0"/>
                <w:sz w:val="21"/>
                <w:szCs w:val="21"/>
              </w:rPr>
              <w:t>0.40</w:t>
            </w:r>
          </w:p>
        </w:tc>
        <w:tc>
          <w:tcPr>
            <w:tcW w:w="846" w:type="dxa"/>
            <w:noWrap/>
            <w:vAlign w:val="center"/>
          </w:tcPr>
          <w:p w14:paraId="19A57022" w14:textId="77777777" w:rsidR="00000000" w:rsidRDefault="00000000">
            <w:pPr>
              <w:widowControl/>
              <w:snapToGrid w:val="0"/>
              <w:spacing w:line="400" w:lineRule="exact"/>
              <w:ind w:firstLine="0"/>
              <w:jc w:val="right"/>
              <w:rPr>
                <w:rFonts w:ascii="宋体" w:hAnsi="宋体" w:cs="宋体"/>
                <w:kern w:val="0"/>
                <w:sz w:val="21"/>
                <w:szCs w:val="21"/>
              </w:rPr>
            </w:pPr>
            <w:r>
              <w:rPr>
                <w:rFonts w:ascii="宋体" w:hAnsi="宋体" w:cs="宋体" w:hint="eastAsia"/>
                <w:kern w:val="0"/>
                <w:sz w:val="21"/>
                <w:szCs w:val="21"/>
              </w:rPr>
              <w:t>0.31</w:t>
            </w:r>
          </w:p>
        </w:tc>
        <w:tc>
          <w:tcPr>
            <w:tcW w:w="846" w:type="dxa"/>
            <w:noWrap/>
            <w:vAlign w:val="center"/>
          </w:tcPr>
          <w:p w14:paraId="7ACB851D" w14:textId="77777777" w:rsidR="00000000" w:rsidRDefault="00000000">
            <w:pPr>
              <w:widowControl/>
              <w:snapToGrid w:val="0"/>
              <w:spacing w:line="400" w:lineRule="exact"/>
              <w:ind w:firstLine="0"/>
              <w:jc w:val="right"/>
              <w:rPr>
                <w:rFonts w:ascii="宋体" w:hAnsi="宋体" w:cs="宋体"/>
                <w:kern w:val="0"/>
                <w:sz w:val="21"/>
                <w:szCs w:val="21"/>
              </w:rPr>
            </w:pPr>
            <w:r>
              <w:rPr>
                <w:rFonts w:ascii="宋体" w:hAnsi="宋体" w:cs="宋体" w:hint="eastAsia"/>
                <w:kern w:val="0"/>
                <w:sz w:val="21"/>
                <w:szCs w:val="21"/>
              </w:rPr>
              <w:t>0.16</w:t>
            </w:r>
          </w:p>
        </w:tc>
        <w:tc>
          <w:tcPr>
            <w:tcW w:w="846" w:type="dxa"/>
            <w:noWrap/>
            <w:vAlign w:val="center"/>
          </w:tcPr>
          <w:p w14:paraId="6CBEB5A6" w14:textId="77777777" w:rsidR="00000000" w:rsidRDefault="00000000">
            <w:pPr>
              <w:widowControl/>
              <w:snapToGrid w:val="0"/>
              <w:spacing w:line="400" w:lineRule="exact"/>
              <w:ind w:firstLine="0"/>
              <w:jc w:val="right"/>
              <w:rPr>
                <w:rFonts w:ascii="宋体" w:hAnsi="宋体" w:cs="宋体"/>
                <w:kern w:val="0"/>
                <w:sz w:val="21"/>
                <w:szCs w:val="21"/>
              </w:rPr>
            </w:pPr>
            <w:r>
              <w:rPr>
                <w:rFonts w:ascii="宋体" w:hAnsi="宋体" w:cs="宋体" w:hint="eastAsia"/>
                <w:kern w:val="0"/>
                <w:sz w:val="21"/>
                <w:szCs w:val="21"/>
              </w:rPr>
              <w:t>0.60</w:t>
            </w:r>
          </w:p>
        </w:tc>
        <w:tc>
          <w:tcPr>
            <w:tcW w:w="848" w:type="dxa"/>
            <w:noWrap/>
            <w:vAlign w:val="center"/>
          </w:tcPr>
          <w:p w14:paraId="6B4B94EB" w14:textId="77777777" w:rsidR="00000000" w:rsidRDefault="00000000">
            <w:pPr>
              <w:widowControl/>
              <w:snapToGrid w:val="0"/>
              <w:spacing w:line="400" w:lineRule="exact"/>
              <w:ind w:firstLine="0"/>
              <w:jc w:val="right"/>
              <w:rPr>
                <w:rFonts w:ascii="宋体" w:hAnsi="宋体" w:cs="宋体"/>
                <w:kern w:val="0"/>
                <w:sz w:val="21"/>
                <w:szCs w:val="21"/>
              </w:rPr>
            </w:pPr>
            <w:r>
              <w:rPr>
                <w:rFonts w:ascii="宋体" w:hAnsi="宋体" w:cs="宋体" w:hint="eastAsia"/>
                <w:kern w:val="0"/>
                <w:sz w:val="21"/>
                <w:szCs w:val="21"/>
              </w:rPr>
              <w:t>0.45</w:t>
            </w:r>
          </w:p>
        </w:tc>
      </w:tr>
      <w:tr w:rsidR="00000000" w14:paraId="698CF66D" w14:textId="77777777">
        <w:trPr>
          <w:jc w:val="center"/>
        </w:trPr>
        <w:tc>
          <w:tcPr>
            <w:tcW w:w="4405" w:type="dxa"/>
            <w:noWrap/>
            <w:vAlign w:val="center"/>
          </w:tcPr>
          <w:p w14:paraId="163EB843" w14:textId="77777777" w:rsidR="00000000" w:rsidRDefault="00000000">
            <w:pPr>
              <w:widowControl/>
              <w:snapToGrid w:val="0"/>
              <w:spacing w:line="400" w:lineRule="exact"/>
              <w:jc w:val="center"/>
              <w:rPr>
                <w:rFonts w:ascii="宋体" w:hAnsi="宋体" w:cs="宋体"/>
                <w:kern w:val="0"/>
                <w:sz w:val="21"/>
                <w:szCs w:val="21"/>
              </w:rPr>
            </w:pPr>
            <w:r>
              <w:rPr>
                <w:rFonts w:ascii="宋体" w:hAnsi="宋体" w:cs="宋体" w:hint="eastAsia"/>
                <w:kern w:val="0"/>
                <w:sz w:val="21"/>
                <w:szCs w:val="21"/>
              </w:rPr>
              <w:t>财务资产投资收益（亿元）</w:t>
            </w:r>
          </w:p>
        </w:tc>
        <w:tc>
          <w:tcPr>
            <w:tcW w:w="846" w:type="dxa"/>
            <w:noWrap/>
            <w:vAlign w:val="center"/>
          </w:tcPr>
          <w:p w14:paraId="7F2F9AD5" w14:textId="77777777" w:rsidR="00000000" w:rsidRDefault="00000000">
            <w:pPr>
              <w:widowControl/>
              <w:snapToGrid w:val="0"/>
              <w:spacing w:line="400" w:lineRule="exact"/>
              <w:ind w:firstLine="0"/>
              <w:jc w:val="right"/>
              <w:rPr>
                <w:rFonts w:ascii="宋体" w:hAnsi="宋体" w:cs="宋体"/>
                <w:kern w:val="0"/>
                <w:sz w:val="21"/>
                <w:szCs w:val="21"/>
              </w:rPr>
            </w:pPr>
            <w:r>
              <w:rPr>
                <w:rFonts w:ascii="宋体" w:hAnsi="宋体" w:cs="宋体" w:hint="eastAsia"/>
                <w:kern w:val="0"/>
                <w:sz w:val="21"/>
                <w:szCs w:val="21"/>
              </w:rPr>
              <w:t>1.11</w:t>
            </w:r>
          </w:p>
        </w:tc>
        <w:tc>
          <w:tcPr>
            <w:tcW w:w="846" w:type="dxa"/>
            <w:noWrap/>
            <w:vAlign w:val="center"/>
          </w:tcPr>
          <w:p w14:paraId="6053DBEE" w14:textId="77777777" w:rsidR="00000000" w:rsidRDefault="00000000">
            <w:pPr>
              <w:widowControl/>
              <w:snapToGrid w:val="0"/>
              <w:spacing w:line="400" w:lineRule="exact"/>
              <w:ind w:firstLine="0"/>
              <w:jc w:val="right"/>
              <w:rPr>
                <w:rFonts w:ascii="宋体" w:hAnsi="宋体" w:cs="宋体"/>
                <w:kern w:val="0"/>
                <w:sz w:val="21"/>
                <w:szCs w:val="21"/>
              </w:rPr>
            </w:pPr>
            <w:r>
              <w:rPr>
                <w:rFonts w:ascii="宋体" w:hAnsi="宋体" w:cs="宋体" w:hint="eastAsia"/>
                <w:kern w:val="0"/>
                <w:sz w:val="21"/>
                <w:szCs w:val="21"/>
              </w:rPr>
              <w:t>0.08</w:t>
            </w:r>
          </w:p>
        </w:tc>
        <w:tc>
          <w:tcPr>
            <w:tcW w:w="846" w:type="dxa"/>
            <w:noWrap/>
            <w:vAlign w:val="center"/>
          </w:tcPr>
          <w:p w14:paraId="0C2931B9" w14:textId="77777777" w:rsidR="00000000" w:rsidRDefault="00000000">
            <w:pPr>
              <w:widowControl/>
              <w:snapToGrid w:val="0"/>
              <w:spacing w:line="400" w:lineRule="exact"/>
              <w:ind w:firstLine="0"/>
              <w:jc w:val="right"/>
              <w:rPr>
                <w:rFonts w:ascii="宋体" w:hAnsi="宋体" w:cs="宋体"/>
                <w:kern w:val="0"/>
                <w:sz w:val="21"/>
                <w:szCs w:val="21"/>
              </w:rPr>
            </w:pPr>
            <w:r>
              <w:rPr>
                <w:rFonts w:ascii="宋体" w:hAnsi="宋体" w:cs="宋体" w:hint="eastAsia"/>
                <w:kern w:val="0"/>
                <w:sz w:val="21"/>
                <w:szCs w:val="21"/>
              </w:rPr>
              <w:t>0.16</w:t>
            </w:r>
          </w:p>
        </w:tc>
        <w:tc>
          <w:tcPr>
            <w:tcW w:w="846" w:type="dxa"/>
            <w:noWrap/>
            <w:vAlign w:val="center"/>
          </w:tcPr>
          <w:p w14:paraId="23654E24" w14:textId="77777777" w:rsidR="00000000" w:rsidRDefault="00000000">
            <w:pPr>
              <w:widowControl/>
              <w:snapToGrid w:val="0"/>
              <w:spacing w:line="400" w:lineRule="exact"/>
              <w:ind w:firstLine="0"/>
              <w:jc w:val="right"/>
              <w:rPr>
                <w:rFonts w:ascii="宋体" w:hAnsi="宋体" w:cs="宋体"/>
                <w:kern w:val="0"/>
                <w:sz w:val="21"/>
                <w:szCs w:val="21"/>
              </w:rPr>
            </w:pPr>
            <w:r>
              <w:rPr>
                <w:rFonts w:ascii="宋体" w:hAnsi="宋体" w:cs="宋体" w:hint="eastAsia"/>
                <w:kern w:val="0"/>
                <w:sz w:val="21"/>
                <w:szCs w:val="21"/>
              </w:rPr>
              <w:t>0.58</w:t>
            </w:r>
          </w:p>
        </w:tc>
        <w:tc>
          <w:tcPr>
            <w:tcW w:w="848" w:type="dxa"/>
            <w:noWrap/>
            <w:vAlign w:val="center"/>
          </w:tcPr>
          <w:p w14:paraId="00737CF2" w14:textId="77777777" w:rsidR="00000000" w:rsidRDefault="00000000">
            <w:pPr>
              <w:widowControl/>
              <w:snapToGrid w:val="0"/>
              <w:spacing w:line="400" w:lineRule="exact"/>
              <w:ind w:firstLine="0"/>
              <w:jc w:val="right"/>
              <w:rPr>
                <w:rFonts w:ascii="宋体" w:hAnsi="宋体" w:cs="宋体"/>
                <w:kern w:val="0"/>
                <w:sz w:val="21"/>
                <w:szCs w:val="21"/>
              </w:rPr>
            </w:pPr>
            <w:r>
              <w:rPr>
                <w:rFonts w:ascii="宋体" w:hAnsi="宋体" w:cs="宋体" w:hint="eastAsia"/>
                <w:kern w:val="0"/>
                <w:sz w:val="21"/>
                <w:szCs w:val="21"/>
              </w:rPr>
              <w:t>2.51</w:t>
            </w:r>
          </w:p>
        </w:tc>
      </w:tr>
      <w:tr w:rsidR="00000000" w14:paraId="48193157" w14:textId="77777777">
        <w:trPr>
          <w:jc w:val="center"/>
        </w:trPr>
        <w:tc>
          <w:tcPr>
            <w:tcW w:w="4405" w:type="dxa"/>
            <w:noWrap/>
            <w:vAlign w:val="center"/>
          </w:tcPr>
          <w:p w14:paraId="5FD69B5F" w14:textId="77777777" w:rsidR="00000000" w:rsidRDefault="00000000">
            <w:pPr>
              <w:widowControl/>
              <w:snapToGrid w:val="0"/>
              <w:spacing w:line="400" w:lineRule="exact"/>
              <w:jc w:val="center"/>
              <w:rPr>
                <w:rFonts w:ascii="宋体" w:hAnsi="宋体" w:cs="宋体"/>
                <w:kern w:val="0"/>
                <w:sz w:val="21"/>
                <w:szCs w:val="21"/>
              </w:rPr>
            </w:pPr>
            <w:r>
              <w:rPr>
                <w:rFonts w:ascii="宋体" w:hAnsi="宋体" w:cs="宋体" w:hint="eastAsia"/>
                <w:kern w:val="0"/>
                <w:sz w:val="21"/>
                <w:szCs w:val="21"/>
              </w:rPr>
              <w:t>营业利润（亿元）</w:t>
            </w:r>
          </w:p>
        </w:tc>
        <w:tc>
          <w:tcPr>
            <w:tcW w:w="846" w:type="dxa"/>
            <w:noWrap/>
            <w:vAlign w:val="center"/>
          </w:tcPr>
          <w:p w14:paraId="471386C5" w14:textId="77777777" w:rsidR="00000000" w:rsidRDefault="00000000">
            <w:pPr>
              <w:widowControl/>
              <w:snapToGrid w:val="0"/>
              <w:spacing w:line="400" w:lineRule="exact"/>
              <w:ind w:firstLine="0"/>
              <w:jc w:val="right"/>
              <w:rPr>
                <w:rFonts w:ascii="宋体" w:hAnsi="宋体" w:cs="宋体"/>
                <w:kern w:val="0"/>
                <w:sz w:val="21"/>
                <w:szCs w:val="21"/>
              </w:rPr>
            </w:pPr>
            <w:r>
              <w:rPr>
                <w:rFonts w:ascii="宋体" w:hAnsi="宋体" w:cs="宋体" w:hint="eastAsia"/>
                <w:kern w:val="0"/>
                <w:sz w:val="21"/>
                <w:szCs w:val="21"/>
              </w:rPr>
              <w:t>2.46</w:t>
            </w:r>
          </w:p>
        </w:tc>
        <w:tc>
          <w:tcPr>
            <w:tcW w:w="846" w:type="dxa"/>
            <w:noWrap/>
            <w:vAlign w:val="center"/>
          </w:tcPr>
          <w:p w14:paraId="532605B0" w14:textId="77777777" w:rsidR="00000000" w:rsidRDefault="00000000">
            <w:pPr>
              <w:widowControl/>
              <w:snapToGrid w:val="0"/>
              <w:spacing w:line="400" w:lineRule="exact"/>
              <w:ind w:firstLine="0"/>
              <w:jc w:val="right"/>
              <w:rPr>
                <w:rFonts w:ascii="宋体" w:hAnsi="宋体" w:cs="宋体"/>
                <w:kern w:val="0"/>
                <w:sz w:val="21"/>
                <w:szCs w:val="21"/>
              </w:rPr>
            </w:pPr>
            <w:r>
              <w:rPr>
                <w:rFonts w:ascii="宋体" w:hAnsi="宋体" w:cs="宋体" w:hint="eastAsia"/>
                <w:kern w:val="0"/>
                <w:sz w:val="21"/>
                <w:szCs w:val="21"/>
              </w:rPr>
              <w:t>3.19</w:t>
            </w:r>
          </w:p>
        </w:tc>
        <w:tc>
          <w:tcPr>
            <w:tcW w:w="846" w:type="dxa"/>
            <w:noWrap/>
            <w:vAlign w:val="center"/>
          </w:tcPr>
          <w:p w14:paraId="74B50DC5" w14:textId="77777777" w:rsidR="00000000" w:rsidRDefault="00000000">
            <w:pPr>
              <w:widowControl/>
              <w:snapToGrid w:val="0"/>
              <w:spacing w:line="400" w:lineRule="exact"/>
              <w:ind w:firstLine="0"/>
              <w:jc w:val="right"/>
              <w:rPr>
                <w:rFonts w:ascii="宋体" w:hAnsi="宋体" w:cs="宋体"/>
                <w:kern w:val="0"/>
                <w:sz w:val="21"/>
                <w:szCs w:val="21"/>
              </w:rPr>
            </w:pPr>
            <w:r>
              <w:rPr>
                <w:rFonts w:ascii="宋体" w:hAnsi="宋体" w:cs="宋体" w:hint="eastAsia"/>
                <w:kern w:val="0"/>
                <w:sz w:val="21"/>
                <w:szCs w:val="21"/>
              </w:rPr>
              <w:t>2.14</w:t>
            </w:r>
          </w:p>
        </w:tc>
        <w:tc>
          <w:tcPr>
            <w:tcW w:w="846" w:type="dxa"/>
            <w:noWrap/>
            <w:vAlign w:val="center"/>
          </w:tcPr>
          <w:p w14:paraId="60DE40CA" w14:textId="77777777" w:rsidR="00000000" w:rsidRDefault="00000000">
            <w:pPr>
              <w:widowControl/>
              <w:snapToGrid w:val="0"/>
              <w:spacing w:line="400" w:lineRule="exact"/>
              <w:ind w:firstLine="0"/>
              <w:jc w:val="right"/>
              <w:rPr>
                <w:rFonts w:ascii="宋体" w:hAnsi="宋体" w:cs="宋体"/>
                <w:kern w:val="0"/>
                <w:sz w:val="21"/>
                <w:szCs w:val="21"/>
              </w:rPr>
            </w:pPr>
            <w:r>
              <w:rPr>
                <w:rFonts w:ascii="宋体" w:hAnsi="宋体" w:cs="宋体" w:hint="eastAsia"/>
                <w:kern w:val="0"/>
                <w:sz w:val="21"/>
                <w:szCs w:val="21"/>
              </w:rPr>
              <w:t>3.73</w:t>
            </w:r>
          </w:p>
        </w:tc>
        <w:tc>
          <w:tcPr>
            <w:tcW w:w="848" w:type="dxa"/>
            <w:noWrap/>
            <w:vAlign w:val="center"/>
          </w:tcPr>
          <w:p w14:paraId="496879E5" w14:textId="77777777" w:rsidR="00000000" w:rsidRDefault="00000000">
            <w:pPr>
              <w:widowControl/>
              <w:snapToGrid w:val="0"/>
              <w:spacing w:line="400" w:lineRule="exact"/>
              <w:ind w:firstLine="0"/>
              <w:jc w:val="right"/>
              <w:rPr>
                <w:rFonts w:ascii="宋体" w:hAnsi="宋体" w:cs="宋体"/>
                <w:kern w:val="0"/>
                <w:sz w:val="21"/>
                <w:szCs w:val="21"/>
              </w:rPr>
            </w:pPr>
            <w:r>
              <w:rPr>
                <w:rFonts w:ascii="宋体" w:hAnsi="宋体" w:cs="宋体" w:hint="eastAsia"/>
                <w:kern w:val="0"/>
                <w:sz w:val="21"/>
                <w:szCs w:val="21"/>
              </w:rPr>
              <w:t>3.45</w:t>
            </w:r>
          </w:p>
        </w:tc>
      </w:tr>
      <w:tr w:rsidR="00000000" w14:paraId="0C074F4D" w14:textId="77777777">
        <w:trPr>
          <w:jc w:val="center"/>
        </w:trPr>
        <w:tc>
          <w:tcPr>
            <w:tcW w:w="4405" w:type="dxa"/>
            <w:tcBorders>
              <w:bottom w:val="single" w:sz="12" w:space="0" w:color="000000"/>
            </w:tcBorders>
            <w:noWrap/>
            <w:vAlign w:val="center"/>
          </w:tcPr>
          <w:p w14:paraId="0986A6B5" w14:textId="77777777" w:rsidR="00000000" w:rsidRDefault="00000000">
            <w:pPr>
              <w:widowControl/>
              <w:snapToGrid w:val="0"/>
              <w:spacing w:line="400" w:lineRule="exact"/>
              <w:jc w:val="center"/>
              <w:rPr>
                <w:rFonts w:ascii="宋体" w:hAnsi="宋体" w:cs="宋体"/>
                <w:kern w:val="0"/>
                <w:sz w:val="21"/>
                <w:szCs w:val="21"/>
              </w:rPr>
            </w:pPr>
            <w:r>
              <w:rPr>
                <w:rFonts w:ascii="宋体" w:hAnsi="宋体" w:cs="宋体" w:hint="eastAsia"/>
                <w:kern w:val="0"/>
                <w:sz w:val="21"/>
                <w:szCs w:val="21"/>
              </w:rPr>
              <w:t>占比</w:t>
            </w:r>
          </w:p>
        </w:tc>
        <w:tc>
          <w:tcPr>
            <w:tcW w:w="846" w:type="dxa"/>
            <w:tcBorders>
              <w:bottom w:val="single" w:sz="12" w:space="0" w:color="000000"/>
            </w:tcBorders>
            <w:noWrap/>
            <w:vAlign w:val="center"/>
          </w:tcPr>
          <w:p w14:paraId="0DB627E7" w14:textId="77777777" w:rsidR="00000000" w:rsidRDefault="00000000">
            <w:pPr>
              <w:widowControl/>
              <w:snapToGrid w:val="0"/>
              <w:spacing w:line="400" w:lineRule="exact"/>
              <w:ind w:firstLine="0"/>
              <w:jc w:val="right"/>
              <w:rPr>
                <w:rFonts w:ascii="宋体" w:hAnsi="宋体" w:cs="宋体"/>
                <w:kern w:val="0"/>
                <w:sz w:val="21"/>
                <w:szCs w:val="21"/>
              </w:rPr>
            </w:pPr>
            <w:r>
              <w:rPr>
                <w:rFonts w:ascii="宋体" w:hAnsi="宋体" w:cs="宋体" w:hint="eastAsia"/>
                <w:kern w:val="0"/>
                <w:sz w:val="21"/>
                <w:szCs w:val="21"/>
              </w:rPr>
              <w:t>0.45</w:t>
            </w:r>
          </w:p>
        </w:tc>
        <w:tc>
          <w:tcPr>
            <w:tcW w:w="846" w:type="dxa"/>
            <w:tcBorders>
              <w:bottom w:val="single" w:sz="12" w:space="0" w:color="000000"/>
            </w:tcBorders>
            <w:noWrap/>
            <w:vAlign w:val="center"/>
          </w:tcPr>
          <w:p w14:paraId="20257A99" w14:textId="77777777" w:rsidR="00000000" w:rsidRDefault="00000000">
            <w:pPr>
              <w:widowControl/>
              <w:snapToGrid w:val="0"/>
              <w:spacing w:line="400" w:lineRule="exact"/>
              <w:ind w:firstLine="0"/>
              <w:jc w:val="right"/>
              <w:rPr>
                <w:rFonts w:ascii="宋体" w:hAnsi="宋体" w:cs="宋体"/>
                <w:kern w:val="0"/>
                <w:sz w:val="21"/>
                <w:szCs w:val="21"/>
              </w:rPr>
            </w:pPr>
            <w:r>
              <w:rPr>
                <w:rFonts w:ascii="宋体" w:hAnsi="宋体" w:cs="宋体" w:hint="eastAsia"/>
                <w:kern w:val="0"/>
                <w:sz w:val="21"/>
                <w:szCs w:val="21"/>
              </w:rPr>
              <w:t>0.02</w:t>
            </w:r>
          </w:p>
        </w:tc>
        <w:tc>
          <w:tcPr>
            <w:tcW w:w="846" w:type="dxa"/>
            <w:tcBorders>
              <w:bottom w:val="single" w:sz="12" w:space="0" w:color="000000"/>
            </w:tcBorders>
            <w:noWrap/>
            <w:vAlign w:val="center"/>
          </w:tcPr>
          <w:p w14:paraId="58DD0377" w14:textId="77777777" w:rsidR="00000000" w:rsidRDefault="00000000">
            <w:pPr>
              <w:widowControl/>
              <w:snapToGrid w:val="0"/>
              <w:spacing w:line="400" w:lineRule="exact"/>
              <w:ind w:firstLine="0"/>
              <w:jc w:val="right"/>
              <w:rPr>
                <w:rFonts w:ascii="宋体" w:hAnsi="宋体" w:cs="宋体"/>
                <w:kern w:val="0"/>
                <w:sz w:val="21"/>
                <w:szCs w:val="21"/>
              </w:rPr>
            </w:pPr>
            <w:r>
              <w:rPr>
                <w:rFonts w:ascii="宋体" w:hAnsi="宋体" w:cs="宋体" w:hint="eastAsia"/>
                <w:kern w:val="0"/>
                <w:sz w:val="21"/>
                <w:szCs w:val="21"/>
              </w:rPr>
              <w:t>0.08</w:t>
            </w:r>
          </w:p>
        </w:tc>
        <w:tc>
          <w:tcPr>
            <w:tcW w:w="846" w:type="dxa"/>
            <w:tcBorders>
              <w:bottom w:val="single" w:sz="12" w:space="0" w:color="000000"/>
            </w:tcBorders>
            <w:noWrap/>
            <w:vAlign w:val="center"/>
          </w:tcPr>
          <w:p w14:paraId="31DADBCD" w14:textId="77777777" w:rsidR="00000000" w:rsidRDefault="00000000">
            <w:pPr>
              <w:widowControl/>
              <w:snapToGrid w:val="0"/>
              <w:spacing w:line="400" w:lineRule="exact"/>
              <w:ind w:firstLine="0"/>
              <w:jc w:val="right"/>
              <w:rPr>
                <w:rFonts w:ascii="宋体" w:hAnsi="宋体" w:cs="宋体"/>
                <w:kern w:val="0"/>
                <w:sz w:val="21"/>
                <w:szCs w:val="21"/>
              </w:rPr>
            </w:pPr>
            <w:r>
              <w:rPr>
                <w:rFonts w:ascii="宋体" w:hAnsi="宋体" w:cs="宋体" w:hint="eastAsia"/>
                <w:kern w:val="0"/>
                <w:sz w:val="21"/>
                <w:szCs w:val="21"/>
              </w:rPr>
              <w:t>0.16</w:t>
            </w:r>
          </w:p>
        </w:tc>
        <w:tc>
          <w:tcPr>
            <w:tcW w:w="848" w:type="dxa"/>
            <w:tcBorders>
              <w:bottom w:val="single" w:sz="12" w:space="0" w:color="000000"/>
            </w:tcBorders>
            <w:noWrap/>
            <w:vAlign w:val="center"/>
          </w:tcPr>
          <w:p w14:paraId="342F0CB5" w14:textId="77777777" w:rsidR="00000000" w:rsidRDefault="00000000">
            <w:pPr>
              <w:widowControl/>
              <w:snapToGrid w:val="0"/>
              <w:spacing w:line="400" w:lineRule="exact"/>
              <w:ind w:firstLine="0"/>
              <w:jc w:val="right"/>
              <w:rPr>
                <w:rFonts w:ascii="宋体" w:hAnsi="宋体" w:cs="宋体"/>
                <w:kern w:val="0"/>
                <w:sz w:val="21"/>
                <w:szCs w:val="21"/>
              </w:rPr>
            </w:pPr>
            <w:r>
              <w:rPr>
                <w:rFonts w:ascii="宋体" w:hAnsi="宋体" w:cs="宋体" w:hint="eastAsia"/>
                <w:kern w:val="0"/>
                <w:sz w:val="21"/>
                <w:szCs w:val="21"/>
              </w:rPr>
              <w:t>0.73</w:t>
            </w:r>
          </w:p>
        </w:tc>
      </w:tr>
    </w:tbl>
    <w:p w14:paraId="0F7A04C2" w14:textId="77777777" w:rsidR="00000000" w:rsidRDefault="00000000">
      <w:pPr>
        <w:autoSpaceDE w:val="0"/>
        <w:autoSpaceDN w:val="0"/>
        <w:adjustRightInd w:val="0"/>
        <w:spacing w:line="400" w:lineRule="exact"/>
        <w:ind w:firstLine="0"/>
        <w:jc w:val="left"/>
        <w:rPr>
          <w:rFonts w:ascii="宋体" w:hAnsi="宋体" w:cs="宋体"/>
          <w:sz w:val="21"/>
          <w:szCs w:val="21"/>
        </w:rPr>
      </w:pPr>
      <w:r>
        <w:rPr>
          <w:rFonts w:ascii="宋体" w:hAnsi="宋体" w:cs="宋体" w:hint="eastAsia"/>
          <w:sz w:val="21"/>
          <w:szCs w:val="21"/>
        </w:rPr>
        <w:t>数据来源：根据M公司2020-2024年度报告整理</w:t>
      </w:r>
    </w:p>
    <w:p w14:paraId="57153A67" w14:textId="77777777" w:rsidR="00000000" w:rsidRDefault="00000000">
      <w:pPr>
        <w:pStyle w:val="afd"/>
        <w:ind w:firstLine="486"/>
        <w:rPr>
          <w:rFonts w:hint="eastAsia"/>
          <w:color w:val="auto"/>
        </w:rPr>
      </w:pPr>
      <w:r>
        <w:rPr>
          <w:rFonts w:hint="eastAsia"/>
          <w:color w:val="auto"/>
        </w:rPr>
        <w:t>本研究采用营业收入增长率作为核心指标评价M公司企业发展能力，该指标可有效量化企业在市场竞争中的扩张潜力与成长动能。依据行业通行标准，营业收入增长率高于10%表明企业具备强劲的市场增长动能；介于5%-10%区间则反映增长潜力有待进一步释放，需关注产品创新与市场拓展；若低于5%则可能预示增长乏力或市场认可度不足。</w:t>
      </w:r>
    </w:p>
    <w:p w14:paraId="646E5689" w14:textId="77777777" w:rsidR="00000000" w:rsidRDefault="00000000">
      <w:pPr>
        <w:pStyle w:val="afd"/>
        <w:ind w:firstLine="486"/>
        <w:rPr>
          <w:rFonts w:hint="eastAsia"/>
          <w:color w:val="auto"/>
        </w:rPr>
      </w:pPr>
      <w:r>
        <w:rPr>
          <w:rFonts w:hint="eastAsia"/>
          <w:color w:val="auto"/>
        </w:rPr>
        <w:t>图4-6数据显示，2020年至2024年M公司及行业营业收入增长率均呈现显著波动。2020年，M公司的成本费用利润率虽优于行业均值，但受宏观环境影响，其与行业整体均陷入负增长区间。2021年至2022年下半年，M公司该指标先降后升，变动剧烈，但低于行业均值。2023年在行业均值跌至-5.8%时，M公司却攀升至6.5%，之后又开始下降。这种剧烈波动揭示了企业运营的显著不稳定性，反映出其市场适应能力、产品创新机制及战略持续性存在缺陷。</w:t>
      </w:r>
    </w:p>
    <w:p w14:paraId="77FAACCB" w14:textId="77777777" w:rsidR="00000000" w:rsidRDefault="00000000">
      <w:pPr>
        <w:pStyle w:val="afd"/>
        <w:ind w:firstLine="486"/>
        <w:rPr>
          <w:rFonts w:hint="eastAsia"/>
          <w:color w:val="auto"/>
        </w:rPr>
      </w:pPr>
      <w:r>
        <w:rPr>
          <w:rFonts w:hint="eastAsia"/>
          <w:color w:val="auto"/>
        </w:rPr>
        <w:t>值得关注的是，2021年产品调整虽短期刺激了收入增长，但未能形成持续效应，表明M公司在战略执行的系统性和前瞻性上尚有提升空间。</w:t>
      </w:r>
      <w:bookmarkStart w:id="76" w:name="OLE_LINK1"/>
      <w:r>
        <w:rPr>
          <w:rFonts w:hint="eastAsia"/>
          <w:color w:val="auto"/>
        </w:rPr>
        <w:t>未来要实现可持续发展，企业亟需构建稳健的投资战略框架，强化市场洞察与创新能力，建立更具韧性的运营模式，以有效应对市场不确定性带来的发展风险。</w:t>
      </w:r>
    </w:p>
    <w:p w14:paraId="66C3DE95" w14:textId="77777777" w:rsidR="00000000" w:rsidRDefault="00000000">
      <w:pPr>
        <w:autoSpaceDE w:val="0"/>
        <w:autoSpaceDN w:val="0"/>
        <w:adjustRightInd w:val="0"/>
        <w:ind w:firstLine="0"/>
        <w:jc w:val="center"/>
      </w:pPr>
      <w:r>
        <w:lastRenderedPageBreak/>
        <w:pict w14:anchorId="21BECCFD">
          <v:shape id="图片 8" o:spid="_x0000_i1035" type="#_x0000_t75" style="width:381.75pt;height:216.75pt;mso-wrap-style:square;mso-position-horizontal-relative:page;mso-position-vertical-relative:page">
            <v:imagedata r:id="rId39" o:title=""/>
            <o:lock v:ext="edit" aspectratio="f"/>
          </v:shape>
        </w:pict>
      </w:r>
    </w:p>
    <w:p w14:paraId="033ED745" w14:textId="77777777" w:rsidR="00000000" w:rsidRDefault="00000000">
      <w:pPr>
        <w:autoSpaceDE w:val="0"/>
        <w:autoSpaceDN w:val="0"/>
        <w:adjustRightInd w:val="0"/>
        <w:spacing w:line="400" w:lineRule="exact"/>
        <w:ind w:firstLine="0"/>
        <w:jc w:val="center"/>
        <w:rPr>
          <w:rFonts w:ascii="宋体" w:hAnsi="宋体" w:cs="宋体"/>
          <w:sz w:val="21"/>
          <w:szCs w:val="21"/>
        </w:rPr>
      </w:pPr>
      <w:r>
        <w:rPr>
          <w:rFonts w:ascii="宋体" w:hAnsi="宋体" w:cs="宋体" w:hint="eastAsia"/>
          <w:sz w:val="21"/>
          <w:szCs w:val="21"/>
        </w:rPr>
        <w:t>图4-6 M公司及服装行业2020-2024年营业收入增长率对比图</w:t>
      </w:r>
    </w:p>
    <w:p w14:paraId="1CD51D14" w14:textId="77777777" w:rsidR="00000000" w:rsidRDefault="00000000">
      <w:pPr>
        <w:autoSpaceDE w:val="0"/>
        <w:autoSpaceDN w:val="0"/>
        <w:adjustRightInd w:val="0"/>
        <w:spacing w:afterLines="50" w:after="207" w:line="400" w:lineRule="exact"/>
        <w:ind w:firstLineChars="200" w:firstLine="426"/>
        <w:jc w:val="left"/>
        <w:rPr>
          <w:rFonts w:ascii="仿宋_GB2312" w:eastAsia="仿宋_GB2312" w:hAnsi="仿宋_GB2312" w:cs="仿宋_GB2312"/>
          <w:sz w:val="21"/>
          <w:szCs w:val="21"/>
        </w:rPr>
      </w:pPr>
      <w:r>
        <w:rPr>
          <w:rFonts w:hint="eastAsia"/>
          <w:sz w:val="21"/>
          <w:szCs w:val="21"/>
        </w:rPr>
        <w:t>数据来源：根据东方财富网</w:t>
      </w:r>
      <w:r>
        <w:rPr>
          <w:rFonts w:hint="eastAsia"/>
          <w:sz w:val="21"/>
          <w:szCs w:val="21"/>
        </w:rPr>
        <w:t>M</w:t>
      </w:r>
      <w:r>
        <w:rPr>
          <w:rFonts w:hint="eastAsia"/>
          <w:sz w:val="21"/>
          <w:szCs w:val="21"/>
        </w:rPr>
        <w:t>公司及服装行业</w:t>
      </w:r>
      <w:r>
        <w:rPr>
          <w:rFonts w:hint="eastAsia"/>
          <w:sz w:val="21"/>
          <w:szCs w:val="21"/>
        </w:rPr>
        <w:t>2020-2024</w:t>
      </w:r>
      <w:r>
        <w:rPr>
          <w:rFonts w:hint="eastAsia"/>
          <w:sz w:val="21"/>
          <w:szCs w:val="21"/>
        </w:rPr>
        <w:t>年财务报表整理</w:t>
      </w:r>
    </w:p>
    <w:p w14:paraId="36C945C9" w14:textId="77777777" w:rsidR="00000000" w:rsidRDefault="00000000">
      <w:pPr>
        <w:pStyle w:val="afc"/>
        <w:numPr>
          <w:ilvl w:val="0"/>
          <w:numId w:val="0"/>
        </w:numPr>
        <w:tabs>
          <w:tab w:val="left" w:pos="0"/>
        </w:tabs>
        <w:spacing w:before="207"/>
        <w:ind w:firstLine="567"/>
      </w:pPr>
      <w:bookmarkStart w:id="77" w:name="_Toc20041"/>
      <w:bookmarkStart w:id="78" w:name="_Toc27983"/>
      <w:bookmarkEnd w:id="76"/>
      <w:r>
        <w:rPr>
          <w:rFonts w:hint="eastAsia"/>
        </w:rPr>
        <w:t>三、</w:t>
      </w:r>
      <w:r>
        <w:t>营运风险识别</w:t>
      </w:r>
      <w:bookmarkEnd w:id="77"/>
      <w:bookmarkEnd w:id="78"/>
    </w:p>
    <w:p w14:paraId="6286FF5E" w14:textId="77777777" w:rsidR="00000000" w:rsidRDefault="00000000">
      <w:pPr>
        <w:pStyle w:val="afd"/>
        <w:ind w:firstLine="486"/>
        <w:rPr>
          <w:rFonts w:hint="eastAsia"/>
          <w:color w:val="auto"/>
        </w:rPr>
      </w:pPr>
      <w:r>
        <w:rPr>
          <w:rFonts w:hint="eastAsia"/>
          <w:color w:val="auto"/>
        </w:rPr>
        <w:t>在轻资产运营模式下，针对M公司的营运风险识别重点考察其存货管理效率及供应链协同机制。具体而言，通过分析存货周转天数、库存结构合理性等指标评价存货管理风险；同时，从供应商关系管理、物流响应速度、信息系统集成度等维度构建供应链风险评价体系，以全面揭示轻资产运营模式下企业面临的关键风险点，为后续开展风险应对机制提供有力的决策支撑。</w:t>
      </w:r>
    </w:p>
    <w:p w14:paraId="6FFFA0B2" w14:textId="77777777" w:rsidR="00000000" w:rsidRDefault="00000000">
      <w:pPr>
        <w:pStyle w:val="afd"/>
        <w:numPr>
          <w:ilvl w:val="0"/>
          <w:numId w:val="32"/>
        </w:numPr>
        <w:ind w:firstLine="486"/>
        <w:rPr>
          <w:color w:val="auto"/>
        </w:rPr>
      </w:pPr>
      <w:r>
        <w:rPr>
          <w:color w:val="auto"/>
        </w:rPr>
        <w:t>存货管理风险</w:t>
      </w:r>
    </w:p>
    <w:p w14:paraId="3CC4CDEA" w14:textId="77777777" w:rsidR="00000000" w:rsidRDefault="00000000">
      <w:pPr>
        <w:pStyle w:val="afd"/>
        <w:ind w:firstLine="486"/>
        <w:rPr>
          <w:rFonts w:hint="eastAsia"/>
          <w:color w:val="auto"/>
        </w:rPr>
      </w:pPr>
      <w:r>
        <w:rPr>
          <w:rFonts w:hint="eastAsia"/>
          <w:color w:val="auto"/>
        </w:rPr>
        <w:t>服装消费需求作为日常消费品，具有频率高、周期性强的特点，其市场需求随季节变化、趋势演变而出现明显波动，这就要求企业在生产和库存之间做到精细化匹配，在避免过时产品积压的同时，还必须具备对市场趋势的精准预判能力。</w:t>
      </w:r>
    </w:p>
    <w:p w14:paraId="651C7095" w14:textId="77777777" w:rsidR="00000000" w:rsidRDefault="00000000">
      <w:pPr>
        <w:pStyle w:val="afd"/>
        <w:ind w:firstLine="486"/>
        <w:rPr>
          <w:rFonts w:hint="eastAsia"/>
          <w:color w:val="auto"/>
        </w:rPr>
        <w:sectPr w:rsidR="00000000">
          <w:headerReference w:type="even" r:id="rId40"/>
          <w:headerReference w:type="default" r:id="rId41"/>
          <w:footnotePr>
            <w:numRestart w:val="eachPage"/>
          </w:footnotePr>
          <w:pgSz w:w="11909" w:h="16834"/>
          <w:pgMar w:top="1701" w:right="1701" w:bottom="1418" w:left="1701" w:header="1304" w:footer="1021" w:gutter="0"/>
          <w:cols w:space="720"/>
          <w:docGrid w:type="linesAndChars" w:linePitch="415" w:charSpace="614"/>
        </w:sectPr>
      </w:pPr>
      <w:r>
        <w:rPr>
          <w:rFonts w:hint="eastAsia"/>
          <w:color w:val="auto"/>
        </w:rPr>
        <w:t>M公司采用直营与加盟混合销售模式，该模式下直营渠道未售出商品及加盟商按协议退回商品均转化为企业存货。表4-2数据显示，企业存货结构存在一定程度失衡：库龄超过一年的服装占比高达60.00%，而一年以内库龄的服装仅7716391件。2020-2024年间，存货占营业收入比例长期维持在29.07%-59.03%区间，凸显了存货积压问题的严峻性。在库存商品中沉淀了大量资金，不仅降低了资本周转效率，而且造成了仓储成本过高，双重资金占用压力严重削弱了企业的经营效益。</w:t>
      </w:r>
    </w:p>
    <w:p w14:paraId="0F17F786" w14:textId="77777777" w:rsidR="00000000" w:rsidRDefault="00000000">
      <w:pPr>
        <w:autoSpaceDE w:val="0"/>
        <w:autoSpaceDN w:val="0"/>
        <w:adjustRightInd w:val="0"/>
        <w:spacing w:beforeLines="50" w:before="207" w:afterLines="50" w:after="207" w:line="400" w:lineRule="exact"/>
        <w:ind w:firstLine="0"/>
        <w:jc w:val="center"/>
        <w:rPr>
          <w:rFonts w:ascii="宋体" w:hAnsi="宋体" w:cs="宋体"/>
          <w:sz w:val="21"/>
          <w:szCs w:val="21"/>
        </w:rPr>
      </w:pPr>
      <w:r>
        <w:rPr>
          <w:rFonts w:ascii="宋体" w:hAnsi="宋体" w:cs="宋体" w:hint="eastAsia"/>
          <w:sz w:val="21"/>
          <w:szCs w:val="21"/>
        </w:rPr>
        <w:lastRenderedPageBreak/>
        <w:t>表4-2 M公司2024年库存构成分析表</w:t>
      </w:r>
    </w:p>
    <w:tbl>
      <w:tblPr>
        <w:tblW w:w="8639" w:type="dxa"/>
        <w:jc w:val="center"/>
        <w:tblInd w:w="0" w:type="dxa"/>
        <w:tblBorders>
          <w:top w:val="single" w:sz="12" w:space="0" w:color="008000"/>
          <w:bottom w:val="single" w:sz="12" w:space="0" w:color="008000"/>
        </w:tblBorders>
        <w:tblCellMar>
          <w:top w:w="80" w:type="dxa"/>
          <w:left w:w="128" w:type="dxa"/>
          <w:bottom w:w="80" w:type="dxa"/>
          <w:right w:w="128" w:type="dxa"/>
        </w:tblCellMar>
        <w:tblLook w:val="0000" w:firstRow="0" w:lastRow="0" w:firstColumn="0" w:lastColumn="0" w:noHBand="0" w:noVBand="0"/>
      </w:tblPr>
      <w:tblGrid>
        <w:gridCol w:w="2067"/>
        <w:gridCol w:w="3708"/>
        <w:gridCol w:w="2864"/>
      </w:tblGrid>
      <w:tr w:rsidR="00000000" w14:paraId="5C5E2EFE" w14:textId="77777777">
        <w:trPr>
          <w:tblHeader/>
          <w:jc w:val="center"/>
        </w:trPr>
        <w:tc>
          <w:tcPr>
            <w:tcW w:w="2067" w:type="dxa"/>
            <w:tcBorders>
              <w:top w:val="single" w:sz="12" w:space="0" w:color="000000"/>
              <w:bottom w:val="single" w:sz="4" w:space="0" w:color="000000"/>
            </w:tcBorders>
            <w:noWrap/>
            <w:vAlign w:val="center"/>
          </w:tcPr>
          <w:p w14:paraId="257F78AB" w14:textId="77777777" w:rsidR="00000000" w:rsidRDefault="00000000">
            <w:pPr>
              <w:widowControl/>
              <w:snapToGrid w:val="0"/>
              <w:ind w:firstLine="0"/>
              <w:jc w:val="center"/>
              <w:rPr>
                <w:rFonts w:ascii="宋体" w:hAnsi="宋体" w:cs="宋体"/>
                <w:b/>
                <w:bCs/>
                <w:kern w:val="0"/>
                <w:sz w:val="21"/>
                <w:szCs w:val="21"/>
              </w:rPr>
            </w:pPr>
            <w:r>
              <w:rPr>
                <w:rFonts w:ascii="宋体" w:hAnsi="宋体" w:cs="宋体" w:hint="eastAsia"/>
                <w:b/>
                <w:bCs/>
                <w:kern w:val="0"/>
                <w:sz w:val="21"/>
                <w:szCs w:val="21"/>
              </w:rPr>
              <w:t>库龄</w:t>
            </w:r>
          </w:p>
        </w:tc>
        <w:tc>
          <w:tcPr>
            <w:tcW w:w="3708" w:type="dxa"/>
            <w:tcBorders>
              <w:top w:val="single" w:sz="12" w:space="0" w:color="000000"/>
              <w:bottom w:val="single" w:sz="4" w:space="0" w:color="000000"/>
            </w:tcBorders>
            <w:noWrap/>
            <w:vAlign w:val="center"/>
          </w:tcPr>
          <w:p w14:paraId="2644F950" w14:textId="77777777" w:rsidR="00000000" w:rsidRDefault="00000000">
            <w:pPr>
              <w:widowControl/>
              <w:snapToGrid w:val="0"/>
              <w:ind w:firstLine="0"/>
              <w:jc w:val="center"/>
              <w:rPr>
                <w:rFonts w:ascii="宋体" w:hAnsi="宋体" w:cs="宋体"/>
                <w:b/>
                <w:bCs/>
                <w:kern w:val="0"/>
                <w:sz w:val="21"/>
                <w:szCs w:val="21"/>
              </w:rPr>
            </w:pPr>
            <w:r>
              <w:rPr>
                <w:rFonts w:ascii="宋体" w:hAnsi="宋体" w:cs="宋体" w:hint="eastAsia"/>
                <w:b/>
                <w:bCs/>
                <w:kern w:val="0"/>
                <w:sz w:val="21"/>
                <w:szCs w:val="21"/>
              </w:rPr>
              <w:t>库存数量</w:t>
            </w:r>
          </w:p>
        </w:tc>
        <w:tc>
          <w:tcPr>
            <w:tcW w:w="2864" w:type="dxa"/>
            <w:tcBorders>
              <w:top w:val="single" w:sz="12" w:space="0" w:color="000000"/>
              <w:bottom w:val="single" w:sz="4" w:space="0" w:color="000000"/>
            </w:tcBorders>
            <w:noWrap/>
            <w:vAlign w:val="center"/>
          </w:tcPr>
          <w:p w14:paraId="3F1D2696" w14:textId="77777777" w:rsidR="00000000" w:rsidRDefault="00000000">
            <w:pPr>
              <w:widowControl/>
              <w:snapToGrid w:val="0"/>
              <w:ind w:firstLine="0"/>
              <w:jc w:val="center"/>
              <w:rPr>
                <w:rFonts w:ascii="宋体" w:hAnsi="宋体" w:cs="宋体"/>
                <w:b/>
                <w:bCs/>
                <w:kern w:val="0"/>
                <w:sz w:val="21"/>
                <w:szCs w:val="21"/>
              </w:rPr>
            </w:pPr>
            <w:r>
              <w:rPr>
                <w:rFonts w:ascii="宋体" w:hAnsi="宋体" w:cs="宋体" w:hint="eastAsia"/>
                <w:b/>
                <w:bCs/>
                <w:kern w:val="0"/>
                <w:sz w:val="21"/>
                <w:szCs w:val="21"/>
              </w:rPr>
              <w:t>比例（%）</w:t>
            </w:r>
          </w:p>
        </w:tc>
      </w:tr>
      <w:tr w:rsidR="00000000" w14:paraId="364CB687" w14:textId="77777777">
        <w:trPr>
          <w:jc w:val="center"/>
        </w:trPr>
        <w:tc>
          <w:tcPr>
            <w:tcW w:w="2067" w:type="dxa"/>
            <w:tcBorders>
              <w:top w:val="single" w:sz="4" w:space="0" w:color="000000"/>
            </w:tcBorders>
            <w:noWrap/>
            <w:vAlign w:val="center"/>
          </w:tcPr>
          <w:p w14:paraId="243DB2B2" w14:textId="77777777" w:rsidR="00000000" w:rsidRDefault="00000000">
            <w:pPr>
              <w:widowControl/>
              <w:snapToGrid w:val="0"/>
              <w:spacing w:line="360" w:lineRule="auto"/>
              <w:ind w:firstLine="0"/>
              <w:jc w:val="center"/>
              <w:rPr>
                <w:rFonts w:ascii="宋体" w:hAnsi="宋体" w:cs="宋体"/>
                <w:kern w:val="0"/>
                <w:sz w:val="21"/>
                <w:szCs w:val="21"/>
              </w:rPr>
            </w:pPr>
            <w:r>
              <w:rPr>
                <w:rFonts w:ascii="宋体" w:hAnsi="宋体" w:cs="宋体" w:hint="eastAsia"/>
                <w:kern w:val="0"/>
                <w:sz w:val="21"/>
                <w:szCs w:val="21"/>
              </w:rPr>
              <w:t>1年以内</w:t>
            </w:r>
          </w:p>
        </w:tc>
        <w:tc>
          <w:tcPr>
            <w:tcW w:w="3708" w:type="dxa"/>
            <w:tcBorders>
              <w:top w:val="single" w:sz="4" w:space="0" w:color="000000"/>
            </w:tcBorders>
            <w:noWrap/>
            <w:vAlign w:val="center"/>
          </w:tcPr>
          <w:p w14:paraId="6DFD2A22" w14:textId="77777777" w:rsidR="00000000" w:rsidRDefault="00000000">
            <w:pPr>
              <w:widowControl/>
              <w:snapToGrid w:val="0"/>
              <w:spacing w:line="360" w:lineRule="auto"/>
              <w:ind w:firstLine="0"/>
              <w:jc w:val="center"/>
              <w:rPr>
                <w:rFonts w:ascii="宋体" w:hAnsi="宋体" w:cs="宋体"/>
                <w:kern w:val="0"/>
                <w:sz w:val="21"/>
                <w:szCs w:val="21"/>
              </w:rPr>
            </w:pPr>
            <w:r>
              <w:rPr>
                <w:rFonts w:ascii="宋体" w:hAnsi="宋体" w:cs="宋体" w:hint="eastAsia"/>
                <w:kern w:val="0"/>
                <w:sz w:val="21"/>
                <w:szCs w:val="21"/>
              </w:rPr>
              <w:t>7716391.00</w:t>
            </w:r>
          </w:p>
        </w:tc>
        <w:tc>
          <w:tcPr>
            <w:tcW w:w="2864" w:type="dxa"/>
            <w:tcBorders>
              <w:top w:val="single" w:sz="4" w:space="0" w:color="000000"/>
            </w:tcBorders>
            <w:noWrap/>
            <w:vAlign w:val="center"/>
          </w:tcPr>
          <w:p w14:paraId="24464188" w14:textId="77777777" w:rsidR="00000000" w:rsidRDefault="00000000">
            <w:pPr>
              <w:widowControl/>
              <w:snapToGrid w:val="0"/>
              <w:spacing w:line="360" w:lineRule="auto"/>
              <w:ind w:firstLine="0"/>
              <w:jc w:val="center"/>
              <w:rPr>
                <w:rFonts w:ascii="宋体" w:hAnsi="宋体" w:cs="宋体"/>
                <w:kern w:val="0"/>
                <w:sz w:val="21"/>
                <w:szCs w:val="21"/>
              </w:rPr>
            </w:pPr>
            <w:r>
              <w:rPr>
                <w:rFonts w:ascii="宋体" w:hAnsi="宋体" w:cs="宋体" w:hint="eastAsia"/>
                <w:kern w:val="0"/>
                <w:sz w:val="21"/>
                <w:szCs w:val="21"/>
              </w:rPr>
              <w:t>40.00%</w:t>
            </w:r>
          </w:p>
        </w:tc>
      </w:tr>
      <w:tr w:rsidR="00000000" w14:paraId="48B79F3C" w14:textId="77777777">
        <w:trPr>
          <w:jc w:val="center"/>
        </w:trPr>
        <w:tc>
          <w:tcPr>
            <w:tcW w:w="2067" w:type="dxa"/>
            <w:noWrap/>
            <w:vAlign w:val="center"/>
          </w:tcPr>
          <w:p w14:paraId="380334C2" w14:textId="77777777" w:rsidR="00000000" w:rsidRDefault="00000000">
            <w:pPr>
              <w:widowControl/>
              <w:snapToGrid w:val="0"/>
              <w:spacing w:line="360" w:lineRule="auto"/>
              <w:ind w:firstLine="0"/>
              <w:jc w:val="center"/>
              <w:rPr>
                <w:rFonts w:ascii="宋体" w:hAnsi="宋体" w:cs="宋体"/>
                <w:kern w:val="0"/>
                <w:sz w:val="21"/>
                <w:szCs w:val="21"/>
              </w:rPr>
            </w:pPr>
            <w:r>
              <w:rPr>
                <w:rFonts w:ascii="宋体" w:hAnsi="宋体" w:cs="宋体" w:hint="eastAsia"/>
                <w:kern w:val="0"/>
                <w:sz w:val="21"/>
                <w:szCs w:val="21"/>
              </w:rPr>
              <w:t>1-3年</w:t>
            </w:r>
          </w:p>
        </w:tc>
        <w:tc>
          <w:tcPr>
            <w:tcW w:w="3708" w:type="dxa"/>
            <w:noWrap/>
            <w:vAlign w:val="center"/>
          </w:tcPr>
          <w:p w14:paraId="6E0BB68A" w14:textId="77777777" w:rsidR="00000000" w:rsidRDefault="00000000">
            <w:pPr>
              <w:widowControl/>
              <w:snapToGrid w:val="0"/>
              <w:spacing w:line="360" w:lineRule="auto"/>
              <w:ind w:firstLine="0"/>
              <w:jc w:val="center"/>
              <w:rPr>
                <w:rFonts w:ascii="宋体" w:hAnsi="宋体" w:cs="宋体"/>
                <w:kern w:val="0"/>
                <w:sz w:val="21"/>
                <w:szCs w:val="21"/>
              </w:rPr>
            </w:pPr>
            <w:r>
              <w:rPr>
                <w:rFonts w:ascii="宋体" w:hAnsi="宋体" w:cs="宋体" w:hint="eastAsia"/>
                <w:kern w:val="0"/>
                <w:sz w:val="21"/>
                <w:szCs w:val="21"/>
              </w:rPr>
              <w:t>6666234.00</w:t>
            </w:r>
          </w:p>
        </w:tc>
        <w:tc>
          <w:tcPr>
            <w:tcW w:w="2864" w:type="dxa"/>
            <w:noWrap/>
            <w:vAlign w:val="center"/>
          </w:tcPr>
          <w:p w14:paraId="5266B196" w14:textId="77777777" w:rsidR="00000000" w:rsidRDefault="00000000">
            <w:pPr>
              <w:widowControl/>
              <w:snapToGrid w:val="0"/>
              <w:spacing w:line="360" w:lineRule="auto"/>
              <w:ind w:firstLine="0"/>
              <w:jc w:val="center"/>
              <w:rPr>
                <w:rFonts w:ascii="宋体" w:hAnsi="宋体" w:cs="宋体"/>
                <w:kern w:val="0"/>
                <w:sz w:val="21"/>
                <w:szCs w:val="21"/>
              </w:rPr>
            </w:pPr>
            <w:r>
              <w:rPr>
                <w:rFonts w:ascii="宋体" w:hAnsi="宋体" w:cs="宋体" w:hint="eastAsia"/>
                <w:kern w:val="0"/>
                <w:sz w:val="21"/>
                <w:szCs w:val="21"/>
              </w:rPr>
              <w:t>34.56%</w:t>
            </w:r>
          </w:p>
        </w:tc>
      </w:tr>
      <w:tr w:rsidR="00000000" w14:paraId="73B0A9C2" w14:textId="77777777">
        <w:trPr>
          <w:jc w:val="center"/>
        </w:trPr>
        <w:tc>
          <w:tcPr>
            <w:tcW w:w="2067" w:type="dxa"/>
            <w:tcBorders>
              <w:bottom w:val="single" w:sz="12" w:space="0" w:color="000000"/>
            </w:tcBorders>
            <w:noWrap/>
            <w:vAlign w:val="center"/>
          </w:tcPr>
          <w:p w14:paraId="47648F2C" w14:textId="77777777" w:rsidR="00000000" w:rsidRDefault="00000000">
            <w:pPr>
              <w:widowControl/>
              <w:snapToGrid w:val="0"/>
              <w:spacing w:line="360" w:lineRule="auto"/>
              <w:ind w:firstLine="0"/>
              <w:jc w:val="center"/>
              <w:rPr>
                <w:rFonts w:ascii="宋体" w:hAnsi="宋体" w:cs="宋体"/>
                <w:kern w:val="0"/>
                <w:sz w:val="21"/>
                <w:szCs w:val="21"/>
              </w:rPr>
            </w:pPr>
            <w:r>
              <w:rPr>
                <w:rFonts w:ascii="宋体" w:hAnsi="宋体" w:cs="宋体" w:hint="eastAsia"/>
                <w:kern w:val="0"/>
                <w:sz w:val="21"/>
                <w:szCs w:val="21"/>
              </w:rPr>
              <w:t>3年以上</w:t>
            </w:r>
          </w:p>
        </w:tc>
        <w:tc>
          <w:tcPr>
            <w:tcW w:w="3708" w:type="dxa"/>
            <w:tcBorders>
              <w:bottom w:val="single" w:sz="12" w:space="0" w:color="000000"/>
            </w:tcBorders>
            <w:noWrap/>
            <w:vAlign w:val="center"/>
          </w:tcPr>
          <w:p w14:paraId="77D564AC" w14:textId="77777777" w:rsidR="00000000" w:rsidRDefault="00000000">
            <w:pPr>
              <w:widowControl/>
              <w:snapToGrid w:val="0"/>
              <w:spacing w:line="360" w:lineRule="auto"/>
              <w:ind w:firstLine="0"/>
              <w:jc w:val="center"/>
              <w:rPr>
                <w:rFonts w:ascii="宋体" w:hAnsi="宋体" w:cs="宋体"/>
                <w:kern w:val="0"/>
                <w:sz w:val="21"/>
                <w:szCs w:val="21"/>
              </w:rPr>
            </w:pPr>
            <w:r>
              <w:rPr>
                <w:rFonts w:ascii="宋体" w:hAnsi="宋体" w:cs="宋体" w:hint="eastAsia"/>
                <w:kern w:val="0"/>
                <w:sz w:val="21"/>
                <w:szCs w:val="21"/>
              </w:rPr>
              <w:t>4906197.00</w:t>
            </w:r>
          </w:p>
        </w:tc>
        <w:tc>
          <w:tcPr>
            <w:tcW w:w="2864" w:type="dxa"/>
            <w:tcBorders>
              <w:bottom w:val="single" w:sz="12" w:space="0" w:color="000000"/>
            </w:tcBorders>
            <w:noWrap/>
            <w:vAlign w:val="center"/>
          </w:tcPr>
          <w:p w14:paraId="50840495" w14:textId="77777777" w:rsidR="00000000" w:rsidRDefault="00000000">
            <w:pPr>
              <w:widowControl/>
              <w:snapToGrid w:val="0"/>
              <w:spacing w:line="360" w:lineRule="auto"/>
              <w:ind w:firstLine="0"/>
              <w:jc w:val="center"/>
              <w:rPr>
                <w:rFonts w:ascii="宋体" w:hAnsi="宋体" w:cs="宋体"/>
                <w:kern w:val="0"/>
                <w:sz w:val="21"/>
                <w:szCs w:val="21"/>
              </w:rPr>
            </w:pPr>
            <w:r>
              <w:rPr>
                <w:rFonts w:ascii="宋体" w:hAnsi="宋体" w:cs="宋体" w:hint="eastAsia"/>
                <w:kern w:val="0"/>
                <w:sz w:val="21"/>
                <w:szCs w:val="21"/>
              </w:rPr>
              <w:t>25.44%</w:t>
            </w:r>
          </w:p>
        </w:tc>
      </w:tr>
    </w:tbl>
    <w:p w14:paraId="5B6D6B50" w14:textId="77777777" w:rsidR="00000000" w:rsidRDefault="00000000">
      <w:pPr>
        <w:autoSpaceDE w:val="0"/>
        <w:autoSpaceDN w:val="0"/>
        <w:adjustRightInd w:val="0"/>
        <w:spacing w:line="400" w:lineRule="exact"/>
        <w:ind w:firstLineChars="200" w:firstLine="426"/>
        <w:rPr>
          <w:rFonts w:ascii="宋体" w:hAnsi="宋体" w:cs="宋体"/>
          <w:sz w:val="21"/>
          <w:szCs w:val="21"/>
        </w:rPr>
      </w:pPr>
      <w:r>
        <w:rPr>
          <w:rFonts w:ascii="宋体" w:hAnsi="宋体" w:cs="宋体" w:hint="eastAsia"/>
          <w:sz w:val="21"/>
          <w:szCs w:val="21"/>
        </w:rPr>
        <w:t>数据来源：根据M公司2024年度报告整理</w:t>
      </w:r>
    </w:p>
    <w:p w14:paraId="0FBAD560" w14:textId="77777777" w:rsidR="00000000" w:rsidRDefault="00000000">
      <w:pPr>
        <w:pStyle w:val="afd"/>
        <w:ind w:firstLine="486"/>
        <w:rPr>
          <w:rFonts w:hint="eastAsia"/>
          <w:color w:val="auto"/>
        </w:rPr>
      </w:pPr>
      <w:r>
        <w:rPr>
          <w:rFonts w:hint="eastAsia"/>
          <w:color w:val="auto"/>
        </w:rPr>
        <w:t>存货周转率是衡量企业存货管理成效的核心指标，其高低直接体现了存货的周转速度以及企业对资金的利用效率。如图4-7所示，2020年至2024年间，雅戈尔的存货周转率显著滞后于M公司与行业均值，这主要归因于其纵向一体化战略下的重资产运营特征。该战略涵盖从原材料种植（棉花）到成品制造、销售的全产业链控制，虽能强化供应链掌控力，但导致生产周期延长。在瞬息万变的服装市场中，过长的生产周期加剧了产品的时效性风险，极易诱发库存积压与资金占用。</w:t>
      </w:r>
    </w:p>
    <w:p w14:paraId="0D987A47" w14:textId="77777777" w:rsidR="00000000" w:rsidRDefault="00000000">
      <w:pPr>
        <w:pStyle w:val="afd"/>
        <w:ind w:firstLine="486"/>
        <w:rPr>
          <w:rFonts w:hint="eastAsia"/>
          <w:color w:val="auto"/>
        </w:rPr>
      </w:pPr>
      <w:r>
        <w:rPr>
          <w:rFonts w:hint="eastAsia"/>
          <w:color w:val="auto"/>
        </w:rPr>
        <w:t>值得关注的是，M公司在此期间的存货周转率亦低于行业平均水平，且呈现逐年略有下降趋势，至2024年已降至1.54。相较之下，行业自2022年起存货周转率持续攀升。这一对比凸显了M公司存货管理的结构性矛盾：内部周转放缓叠加外部竞争加剧。周转效率的下滑不仅导致营运资金大量被占用，更显著增加了跌价损失，严重侵蚀了企业的营运效能。</w:t>
      </w:r>
    </w:p>
    <w:p w14:paraId="2D97A453" w14:textId="77777777" w:rsidR="00000000" w:rsidRDefault="00000000">
      <w:pPr>
        <w:autoSpaceDE w:val="0"/>
        <w:autoSpaceDN w:val="0"/>
        <w:adjustRightInd w:val="0"/>
        <w:ind w:firstLine="0"/>
        <w:jc w:val="center"/>
      </w:pPr>
      <w:r>
        <w:pict w14:anchorId="2FCAC274">
          <v:shape id="图片 9" o:spid="_x0000_i1036" type="#_x0000_t75" style="width:381.75pt;height:216.75pt;mso-wrap-style:square;mso-position-horizontal-relative:page;mso-position-vertical-relative:page">
            <v:imagedata r:id="rId42" o:title=""/>
            <o:lock v:ext="edit" aspectratio="f"/>
          </v:shape>
        </w:pict>
      </w:r>
    </w:p>
    <w:p w14:paraId="2D87D646" w14:textId="77777777" w:rsidR="00000000" w:rsidRDefault="00000000">
      <w:pPr>
        <w:autoSpaceDE w:val="0"/>
        <w:autoSpaceDN w:val="0"/>
        <w:adjustRightInd w:val="0"/>
        <w:ind w:firstLine="0"/>
        <w:jc w:val="center"/>
        <w:rPr>
          <w:rFonts w:ascii="宋体" w:hAnsi="宋体" w:cs="宋体"/>
          <w:sz w:val="21"/>
          <w:szCs w:val="21"/>
        </w:rPr>
      </w:pPr>
      <w:r>
        <w:rPr>
          <w:rFonts w:ascii="宋体" w:hAnsi="宋体" w:cs="宋体" w:hint="eastAsia"/>
          <w:sz w:val="21"/>
          <w:szCs w:val="21"/>
        </w:rPr>
        <w:t>图4-7 M公司、雅戈尔及服装行业2020-2024年存货周转率对比图</w:t>
      </w:r>
    </w:p>
    <w:p w14:paraId="4F341844" w14:textId="77777777" w:rsidR="00000000" w:rsidRDefault="00000000">
      <w:pPr>
        <w:autoSpaceDE w:val="0"/>
        <w:autoSpaceDN w:val="0"/>
        <w:adjustRightInd w:val="0"/>
        <w:spacing w:afterLines="50" w:after="207"/>
        <w:ind w:firstLineChars="200" w:firstLine="426"/>
        <w:jc w:val="left"/>
        <w:rPr>
          <w:rFonts w:ascii="宋体" w:hAnsi="宋体" w:cs="宋体"/>
          <w:sz w:val="21"/>
          <w:szCs w:val="21"/>
        </w:rPr>
      </w:pPr>
      <w:r>
        <w:rPr>
          <w:rFonts w:ascii="宋体" w:hAnsi="宋体" w:cs="宋体" w:hint="eastAsia"/>
          <w:sz w:val="21"/>
          <w:szCs w:val="21"/>
        </w:rPr>
        <w:lastRenderedPageBreak/>
        <w:t>数据来源：根据东方财富网M公司、雅戈尔及服装行业2020-2024年财务报表整理</w:t>
      </w:r>
    </w:p>
    <w:p w14:paraId="1C93C491" w14:textId="77777777" w:rsidR="00000000" w:rsidRDefault="00000000">
      <w:pPr>
        <w:pStyle w:val="afd"/>
        <w:numPr>
          <w:ilvl w:val="0"/>
          <w:numId w:val="32"/>
        </w:numPr>
        <w:ind w:firstLine="486"/>
        <w:rPr>
          <w:color w:val="auto"/>
        </w:rPr>
      </w:pPr>
      <w:r>
        <w:rPr>
          <w:color w:val="auto"/>
        </w:rPr>
        <w:t>供应链管理风险</w:t>
      </w:r>
    </w:p>
    <w:p w14:paraId="6BE8BCAC" w14:textId="77777777" w:rsidR="00000000" w:rsidRDefault="00000000">
      <w:pPr>
        <w:pStyle w:val="afd"/>
        <w:ind w:firstLine="486"/>
        <w:rPr>
          <w:rFonts w:hint="eastAsia"/>
          <w:color w:val="auto"/>
        </w:rPr>
      </w:pPr>
      <w:r>
        <w:rPr>
          <w:rFonts w:hint="eastAsia"/>
          <w:color w:val="auto"/>
        </w:rPr>
        <w:t>供应链管理风险关注供应链各环节的潜在不确定性，包括直接影响企业运营效率和成本结构的供应商稳定性、物流连续性、需求预测准确性等，这些要素会直接作用于企业的运营效率以及成本构成。M公司采用年度两期订货会机制，通过提前展示新品引导加盟商参与订货，旨在实现市场需求与产品供给的动态匹配。订货机制提供两种订货模式：买断式和自主式：前者由经销商自主下单，企业根据市场需求给予退换货支持；后者主要是企业基于市场预测下单的代销款式和直营店商品，供应链中心在订单整合后进行整体生产安排。</w:t>
      </w:r>
    </w:p>
    <w:p w14:paraId="5A9B160F" w14:textId="77777777" w:rsidR="00000000" w:rsidRDefault="00000000">
      <w:pPr>
        <w:pStyle w:val="afd"/>
        <w:ind w:firstLine="486"/>
        <w:rPr>
          <w:rFonts w:hint="eastAsia"/>
          <w:color w:val="auto"/>
        </w:rPr>
      </w:pPr>
      <w:r>
        <w:rPr>
          <w:rFonts w:hint="eastAsia"/>
          <w:color w:val="auto"/>
        </w:rPr>
        <w:t>服装行业的特性决定了它的产品更新速度快，难以把握消费者的喜好，虽然M公司的订货会机制可以增强市场反应能力，但是流行趋势捕捉的时效性却被更长的生产和销售周期(设计到销售)所削弱。同时，消费者购买决策受时尚元素驱动，而时尚元素的非规律性演变进一步加剧了生产调整的难度。在需求剧烈波动的市场环境下，加盟商基于历史销售数据简单推断的预测模式容易出现系统性偏差，从而导致产品出现库存积压、滞销等风险。在供应链的上游环节，M公司对核心原材料的获取依赖于外部供应商，特别是需要通过进口来满足需求的高端面料。目前M公司与供应商之间的合作，在轻资产运营模式下，大多局限于短期的交易层面，战略上缺乏协同效应。年报数据显示，供应商选择主要基于价格与质量指标，这种交易型合作关系存在显著不稳定性。供应商稳定性不足不仅可能导致原材料质量波动，更增加了供应链中断风险，削弱了企业的风险管理能力。</w:t>
      </w:r>
    </w:p>
    <w:p w14:paraId="0AAA15CB" w14:textId="77777777" w:rsidR="00000000" w:rsidRDefault="00000000">
      <w:pPr>
        <w:pStyle w:val="afc"/>
        <w:numPr>
          <w:ilvl w:val="0"/>
          <w:numId w:val="0"/>
        </w:numPr>
        <w:tabs>
          <w:tab w:val="left" w:pos="0"/>
        </w:tabs>
        <w:spacing w:before="207"/>
        <w:ind w:firstLine="567"/>
      </w:pPr>
      <w:bookmarkStart w:id="79" w:name="_Toc11474"/>
      <w:bookmarkStart w:id="80" w:name="_Toc19014"/>
      <w:r>
        <w:rPr>
          <w:rFonts w:hint="eastAsia"/>
        </w:rPr>
        <w:t>四、</w:t>
      </w:r>
      <w:r>
        <w:t>收益分配风险识别</w:t>
      </w:r>
      <w:bookmarkEnd w:id="79"/>
      <w:bookmarkEnd w:id="80"/>
    </w:p>
    <w:p w14:paraId="3A12C624" w14:textId="77777777" w:rsidR="00000000" w:rsidRDefault="00000000">
      <w:pPr>
        <w:pStyle w:val="afd"/>
        <w:ind w:firstLine="486"/>
        <w:rPr>
          <w:rFonts w:hint="eastAsia"/>
          <w:color w:val="auto"/>
        </w:rPr>
      </w:pPr>
      <w:r>
        <w:rPr>
          <w:rFonts w:hint="eastAsia"/>
          <w:color w:val="auto"/>
        </w:rPr>
        <w:t>表4-3数据显示，M公司除2022年因疫情原因没有派发股利外，其余年份均随着净利润的变动，维持了较高的现金分红比例与连续性。然而，这种刚性的股利政策在传递利好信号的同时，也对企业的自由现金流构成了硬性约束，增加了再投资与偿债的资金压力。</w:t>
      </w:r>
    </w:p>
    <w:p w14:paraId="7D483229" w14:textId="77777777" w:rsidR="00000000" w:rsidRDefault="00000000">
      <w:pPr>
        <w:pStyle w:val="afd"/>
        <w:ind w:firstLine="486"/>
        <w:rPr>
          <w:rFonts w:hint="eastAsia"/>
          <w:color w:val="auto"/>
        </w:rPr>
        <w:sectPr w:rsidR="00000000">
          <w:footnotePr>
            <w:numRestart w:val="eachPage"/>
          </w:footnotePr>
          <w:pgSz w:w="11909" w:h="16834"/>
          <w:pgMar w:top="1701" w:right="1701" w:bottom="1418" w:left="1701" w:header="1304" w:footer="1021" w:gutter="0"/>
          <w:cols w:space="720"/>
          <w:docGrid w:type="linesAndChars" w:linePitch="415" w:charSpace="614"/>
        </w:sectPr>
      </w:pPr>
      <w:r>
        <w:rPr>
          <w:rFonts w:hint="eastAsia"/>
          <w:color w:val="auto"/>
        </w:rPr>
        <w:t>进一步分析表明，M公司当前收益分配策略隐含双重矛盾：短期需满足股东回报要求以维系市场信心，长期需保障资本积累以支撑战略转型。外部经营环境的不确定性持续存在，显著增加了企业收益分配决策与现金流管理的难度。若企业不能建立动态调整的收益分配机制，将难以在股东短期利益与企业长远发展之间实现有效平衡，最终损害财务可持续性。因此，构建与生命周期相匹配、兼具灵活性与稳定性的收益分配体系，应成为M财务战略优化的重要方向。</w:t>
      </w:r>
    </w:p>
    <w:p w14:paraId="55B93BFD" w14:textId="77777777" w:rsidR="00000000" w:rsidRDefault="00000000">
      <w:pPr>
        <w:autoSpaceDE w:val="0"/>
        <w:autoSpaceDN w:val="0"/>
        <w:adjustRightInd w:val="0"/>
        <w:spacing w:beforeLines="50" w:before="207" w:afterLines="50" w:after="207" w:line="400" w:lineRule="exact"/>
        <w:ind w:firstLine="0"/>
        <w:jc w:val="center"/>
        <w:rPr>
          <w:rFonts w:ascii="宋体" w:hAnsi="宋体" w:cs="宋体"/>
          <w:sz w:val="21"/>
          <w:szCs w:val="21"/>
        </w:rPr>
      </w:pPr>
      <w:r>
        <w:rPr>
          <w:rFonts w:ascii="宋体" w:hAnsi="宋体" w:cs="宋体" w:hint="eastAsia"/>
          <w:sz w:val="21"/>
          <w:szCs w:val="21"/>
        </w:rPr>
        <w:lastRenderedPageBreak/>
        <w:t>表4-3 M公司2020-2024年股利分配表</w:t>
      </w:r>
    </w:p>
    <w:tbl>
      <w:tblPr>
        <w:tblW w:w="8639" w:type="dxa"/>
        <w:jc w:val="center"/>
        <w:tblInd w:w="0" w:type="dxa"/>
        <w:tblCellMar>
          <w:top w:w="56" w:type="dxa"/>
          <w:left w:w="96" w:type="dxa"/>
          <w:bottom w:w="56" w:type="dxa"/>
          <w:right w:w="96" w:type="dxa"/>
        </w:tblCellMar>
        <w:tblLook w:val="0000" w:firstRow="0" w:lastRow="0" w:firstColumn="0" w:lastColumn="0" w:noHBand="0" w:noVBand="0"/>
      </w:tblPr>
      <w:tblGrid>
        <w:gridCol w:w="3113"/>
        <w:gridCol w:w="1069"/>
        <w:gridCol w:w="1069"/>
        <w:gridCol w:w="1001"/>
        <w:gridCol w:w="1069"/>
        <w:gridCol w:w="1318"/>
      </w:tblGrid>
      <w:tr w:rsidR="00000000" w14:paraId="5A6F2210" w14:textId="77777777">
        <w:trPr>
          <w:jc w:val="center"/>
        </w:trPr>
        <w:tc>
          <w:tcPr>
            <w:tcW w:w="3113" w:type="dxa"/>
            <w:tcBorders>
              <w:top w:val="single" w:sz="12" w:space="0" w:color="000000"/>
              <w:left w:val="nil"/>
              <w:bottom w:val="single" w:sz="4" w:space="0" w:color="000000"/>
              <w:right w:val="nil"/>
            </w:tcBorders>
            <w:noWrap/>
            <w:vAlign w:val="center"/>
          </w:tcPr>
          <w:p w14:paraId="3E3F44BB" w14:textId="77777777" w:rsidR="00000000" w:rsidRDefault="00000000">
            <w:pPr>
              <w:widowControl/>
              <w:snapToGrid w:val="0"/>
              <w:ind w:firstLine="0"/>
              <w:jc w:val="center"/>
              <w:textAlignment w:val="bottom"/>
              <w:rPr>
                <w:rFonts w:ascii="宋体" w:hAnsi="宋体" w:cs="宋体"/>
                <w:b/>
                <w:bCs/>
                <w:sz w:val="21"/>
                <w:szCs w:val="21"/>
              </w:rPr>
            </w:pPr>
            <w:r>
              <w:rPr>
                <w:rFonts w:ascii="宋体" w:hAnsi="宋体" w:cs="宋体" w:hint="eastAsia"/>
                <w:b/>
                <w:bCs/>
                <w:kern w:val="0"/>
                <w:sz w:val="21"/>
                <w:szCs w:val="21"/>
                <w:lang w:bidi="ar"/>
              </w:rPr>
              <w:t>项目名称</w:t>
            </w:r>
          </w:p>
        </w:tc>
        <w:tc>
          <w:tcPr>
            <w:tcW w:w="1069" w:type="dxa"/>
            <w:tcBorders>
              <w:top w:val="single" w:sz="12" w:space="0" w:color="000000"/>
              <w:left w:val="nil"/>
              <w:bottom w:val="single" w:sz="4" w:space="0" w:color="000000"/>
              <w:right w:val="nil"/>
            </w:tcBorders>
            <w:noWrap/>
            <w:vAlign w:val="center"/>
          </w:tcPr>
          <w:p w14:paraId="1C3CA263" w14:textId="77777777" w:rsidR="00000000" w:rsidRDefault="00000000">
            <w:pPr>
              <w:widowControl/>
              <w:snapToGrid w:val="0"/>
              <w:ind w:firstLine="0"/>
              <w:jc w:val="center"/>
              <w:textAlignment w:val="bottom"/>
              <w:rPr>
                <w:rFonts w:ascii="宋体" w:hAnsi="宋体" w:cs="宋体"/>
                <w:b/>
                <w:bCs/>
                <w:sz w:val="21"/>
                <w:szCs w:val="21"/>
              </w:rPr>
            </w:pPr>
            <w:r>
              <w:rPr>
                <w:rFonts w:ascii="宋体" w:hAnsi="宋体" w:cs="宋体" w:hint="eastAsia"/>
                <w:b/>
                <w:bCs/>
                <w:kern w:val="0"/>
                <w:sz w:val="21"/>
                <w:szCs w:val="21"/>
                <w:lang w:bidi="ar"/>
              </w:rPr>
              <w:t>2020</w:t>
            </w:r>
          </w:p>
        </w:tc>
        <w:tc>
          <w:tcPr>
            <w:tcW w:w="1069" w:type="dxa"/>
            <w:tcBorders>
              <w:top w:val="single" w:sz="12" w:space="0" w:color="000000"/>
              <w:left w:val="nil"/>
              <w:bottom w:val="single" w:sz="4" w:space="0" w:color="000000"/>
              <w:right w:val="nil"/>
            </w:tcBorders>
            <w:noWrap/>
            <w:vAlign w:val="center"/>
          </w:tcPr>
          <w:p w14:paraId="5D2E6B62" w14:textId="77777777" w:rsidR="00000000" w:rsidRDefault="00000000">
            <w:pPr>
              <w:widowControl/>
              <w:snapToGrid w:val="0"/>
              <w:ind w:firstLine="0"/>
              <w:jc w:val="center"/>
              <w:textAlignment w:val="bottom"/>
              <w:rPr>
                <w:rFonts w:ascii="宋体" w:hAnsi="宋体" w:cs="宋体"/>
                <w:b/>
                <w:bCs/>
                <w:sz w:val="21"/>
                <w:szCs w:val="21"/>
              </w:rPr>
            </w:pPr>
            <w:r>
              <w:rPr>
                <w:rFonts w:ascii="宋体" w:hAnsi="宋体" w:cs="宋体" w:hint="eastAsia"/>
                <w:b/>
                <w:bCs/>
                <w:kern w:val="0"/>
                <w:sz w:val="21"/>
                <w:szCs w:val="21"/>
                <w:lang w:bidi="ar"/>
              </w:rPr>
              <w:t>2021</w:t>
            </w:r>
          </w:p>
        </w:tc>
        <w:tc>
          <w:tcPr>
            <w:tcW w:w="1001" w:type="dxa"/>
            <w:tcBorders>
              <w:top w:val="single" w:sz="12" w:space="0" w:color="000000"/>
              <w:left w:val="nil"/>
              <w:bottom w:val="single" w:sz="4" w:space="0" w:color="000000"/>
              <w:right w:val="nil"/>
            </w:tcBorders>
            <w:noWrap/>
            <w:vAlign w:val="center"/>
          </w:tcPr>
          <w:p w14:paraId="58DA6A03" w14:textId="77777777" w:rsidR="00000000" w:rsidRDefault="00000000">
            <w:pPr>
              <w:widowControl/>
              <w:snapToGrid w:val="0"/>
              <w:ind w:firstLine="0"/>
              <w:jc w:val="center"/>
              <w:textAlignment w:val="bottom"/>
              <w:rPr>
                <w:rFonts w:ascii="宋体" w:hAnsi="宋体" w:cs="宋体"/>
                <w:b/>
                <w:bCs/>
                <w:sz w:val="21"/>
                <w:szCs w:val="21"/>
              </w:rPr>
            </w:pPr>
            <w:r>
              <w:rPr>
                <w:rFonts w:ascii="宋体" w:hAnsi="宋体" w:cs="宋体" w:hint="eastAsia"/>
                <w:b/>
                <w:bCs/>
                <w:kern w:val="0"/>
                <w:sz w:val="21"/>
                <w:szCs w:val="21"/>
                <w:lang w:bidi="ar"/>
              </w:rPr>
              <w:t>2022</w:t>
            </w:r>
          </w:p>
        </w:tc>
        <w:tc>
          <w:tcPr>
            <w:tcW w:w="1069" w:type="dxa"/>
            <w:tcBorders>
              <w:top w:val="single" w:sz="12" w:space="0" w:color="000000"/>
              <w:left w:val="nil"/>
              <w:bottom w:val="single" w:sz="4" w:space="0" w:color="000000"/>
              <w:right w:val="nil"/>
            </w:tcBorders>
            <w:noWrap/>
            <w:vAlign w:val="center"/>
          </w:tcPr>
          <w:p w14:paraId="4E21E602" w14:textId="77777777" w:rsidR="00000000" w:rsidRDefault="00000000">
            <w:pPr>
              <w:widowControl/>
              <w:snapToGrid w:val="0"/>
              <w:ind w:firstLine="0"/>
              <w:jc w:val="center"/>
              <w:textAlignment w:val="bottom"/>
              <w:rPr>
                <w:rFonts w:ascii="宋体" w:hAnsi="宋体" w:cs="宋体"/>
                <w:b/>
                <w:bCs/>
                <w:sz w:val="21"/>
                <w:szCs w:val="21"/>
              </w:rPr>
            </w:pPr>
            <w:r>
              <w:rPr>
                <w:rFonts w:ascii="宋体" w:hAnsi="宋体" w:cs="宋体" w:hint="eastAsia"/>
                <w:b/>
                <w:bCs/>
                <w:kern w:val="0"/>
                <w:sz w:val="21"/>
                <w:szCs w:val="21"/>
                <w:lang w:bidi="ar"/>
              </w:rPr>
              <w:t>2023</w:t>
            </w:r>
          </w:p>
        </w:tc>
        <w:tc>
          <w:tcPr>
            <w:tcW w:w="1318" w:type="dxa"/>
            <w:tcBorders>
              <w:top w:val="single" w:sz="12" w:space="0" w:color="000000"/>
              <w:left w:val="nil"/>
              <w:bottom w:val="single" w:sz="4" w:space="0" w:color="000000"/>
              <w:right w:val="nil"/>
            </w:tcBorders>
            <w:noWrap/>
            <w:vAlign w:val="center"/>
          </w:tcPr>
          <w:p w14:paraId="0581AA4E" w14:textId="77777777" w:rsidR="00000000" w:rsidRDefault="00000000">
            <w:pPr>
              <w:widowControl/>
              <w:snapToGrid w:val="0"/>
              <w:ind w:firstLine="0"/>
              <w:jc w:val="center"/>
              <w:textAlignment w:val="bottom"/>
              <w:rPr>
                <w:rFonts w:ascii="宋体" w:hAnsi="宋体" w:cs="宋体"/>
                <w:b/>
                <w:bCs/>
                <w:sz w:val="21"/>
                <w:szCs w:val="21"/>
              </w:rPr>
            </w:pPr>
            <w:r>
              <w:rPr>
                <w:rFonts w:ascii="宋体" w:hAnsi="宋体" w:cs="宋体" w:hint="eastAsia"/>
                <w:b/>
                <w:bCs/>
                <w:kern w:val="0"/>
                <w:sz w:val="21"/>
                <w:szCs w:val="21"/>
                <w:lang w:bidi="ar"/>
              </w:rPr>
              <w:t>2024</w:t>
            </w:r>
          </w:p>
        </w:tc>
      </w:tr>
      <w:tr w:rsidR="00000000" w14:paraId="274A88AF" w14:textId="77777777">
        <w:trPr>
          <w:jc w:val="center"/>
        </w:trPr>
        <w:tc>
          <w:tcPr>
            <w:tcW w:w="3113" w:type="dxa"/>
            <w:tcBorders>
              <w:top w:val="single" w:sz="4" w:space="0" w:color="000000"/>
              <w:left w:val="nil"/>
              <w:bottom w:val="nil"/>
              <w:right w:val="nil"/>
            </w:tcBorders>
            <w:noWrap/>
            <w:vAlign w:val="center"/>
          </w:tcPr>
          <w:p w14:paraId="747AB4B3" w14:textId="77777777" w:rsidR="00000000" w:rsidRDefault="00000000">
            <w:pPr>
              <w:widowControl/>
              <w:snapToGrid w:val="0"/>
              <w:spacing w:line="360" w:lineRule="auto"/>
              <w:ind w:firstLine="0"/>
              <w:jc w:val="center"/>
              <w:textAlignment w:val="bottom"/>
              <w:rPr>
                <w:rFonts w:ascii="宋体" w:hAnsi="宋体" w:cs="宋体"/>
                <w:sz w:val="21"/>
                <w:szCs w:val="21"/>
              </w:rPr>
            </w:pPr>
            <w:r>
              <w:rPr>
                <w:rFonts w:ascii="宋体" w:hAnsi="宋体" w:cs="宋体" w:hint="eastAsia"/>
                <w:kern w:val="0"/>
                <w:sz w:val="21"/>
                <w:szCs w:val="21"/>
                <w:lang w:bidi="ar"/>
              </w:rPr>
              <w:t>净利润（万元）</w:t>
            </w:r>
          </w:p>
        </w:tc>
        <w:tc>
          <w:tcPr>
            <w:tcW w:w="1069" w:type="dxa"/>
            <w:tcBorders>
              <w:top w:val="single" w:sz="4" w:space="0" w:color="000000"/>
              <w:left w:val="nil"/>
              <w:bottom w:val="nil"/>
              <w:right w:val="nil"/>
            </w:tcBorders>
            <w:noWrap/>
            <w:vAlign w:val="center"/>
          </w:tcPr>
          <w:p w14:paraId="22731EA8" w14:textId="77777777" w:rsidR="00000000" w:rsidRDefault="00000000">
            <w:pPr>
              <w:widowControl/>
              <w:snapToGrid w:val="0"/>
              <w:spacing w:line="360" w:lineRule="auto"/>
              <w:ind w:firstLine="0"/>
              <w:jc w:val="center"/>
              <w:textAlignment w:val="bottom"/>
              <w:rPr>
                <w:rFonts w:ascii="宋体" w:hAnsi="宋体" w:cs="宋体"/>
                <w:sz w:val="21"/>
                <w:szCs w:val="21"/>
              </w:rPr>
            </w:pPr>
            <w:r>
              <w:rPr>
                <w:rFonts w:ascii="宋体" w:hAnsi="宋体" w:cs="宋体" w:hint="eastAsia"/>
                <w:kern w:val="0"/>
                <w:sz w:val="21"/>
                <w:szCs w:val="21"/>
                <w:lang w:bidi="ar"/>
              </w:rPr>
              <w:t>23530</w:t>
            </w:r>
          </w:p>
        </w:tc>
        <w:tc>
          <w:tcPr>
            <w:tcW w:w="1069" w:type="dxa"/>
            <w:tcBorders>
              <w:top w:val="single" w:sz="4" w:space="0" w:color="000000"/>
              <w:left w:val="nil"/>
              <w:bottom w:val="nil"/>
              <w:right w:val="nil"/>
            </w:tcBorders>
            <w:noWrap/>
            <w:vAlign w:val="center"/>
          </w:tcPr>
          <w:p w14:paraId="356BCE9A" w14:textId="77777777" w:rsidR="00000000" w:rsidRDefault="00000000">
            <w:pPr>
              <w:widowControl/>
              <w:snapToGrid w:val="0"/>
              <w:spacing w:line="360" w:lineRule="auto"/>
              <w:ind w:firstLine="0"/>
              <w:jc w:val="center"/>
              <w:textAlignment w:val="bottom"/>
              <w:rPr>
                <w:rFonts w:ascii="宋体" w:hAnsi="宋体" w:cs="宋体"/>
                <w:sz w:val="21"/>
                <w:szCs w:val="21"/>
              </w:rPr>
            </w:pPr>
            <w:r>
              <w:rPr>
                <w:rFonts w:ascii="宋体" w:hAnsi="宋体" w:cs="宋体" w:hint="eastAsia"/>
                <w:kern w:val="0"/>
                <w:sz w:val="21"/>
                <w:szCs w:val="21"/>
                <w:lang w:bidi="ar"/>
              </w:rPr>
              <w:t>27320</w:t>
            </w:r>
          </w:p>
        </w:tc>
        <w:tc>
          <w:tcPr>
            <w:tcW w:w="1001" w:type="dxa"/>
            <w:tcBorders>
              <w:top w:val="single" w:sz="4" w:space="0" w:color="000000"/>
              <w:left w:val="nil"/>
              <w:bottom w:val="nil"/>
              <w:right w:val="nil"/>
            </w:tcBorders>
            <w:noWrap/>
            <w:vAlign w:val="center"/>
          </w:tcPr>
          <w:p w14:paraId="03E1ACEF" w14:textId="77777777" w:rsidR="00000000" w:rsidRDefault="00000000">
            <w:pPr>
              <w:widowControl/>
              <w:snapToGrid w:val="0"/>
              <w:spacing w:line="360" w:lineRule="auto"/>
              <w:ind w:firstLine="0"/>
              <w:jc w:val="center"/>
              <w:textAlignment w:val="bottom"/>
              <w:rPr>
                <w:rFonts w:ascii="宋体" w:hAnsi="宋体" w:cs="宋体"/>
                <w:sz w:val="21"/>
                <w:szCs w:val="21"/>
              </w:rPr>
            </w:pPr>
            <w:r>
              <w:rPr>
                <w:rFonts w:ascii="宋体" w:hAnsi="宋体" w:cs="宋体" w:hint="eastAsia"/>
                <w:kern w:val="0"/>
                <w:sz w:val="21"/>
                <w:szCs w:val="21"/>
                <w:lang w:bidi="ar"/>
              </w:rPr>
              <w:t>19290</w:t>
            </w:r>
          </w:p>
        </w:tc>
        <w:tc>
          <w:tcPr>
            <w:tcW w:w="1069" w:type="dxa"/>
            <w:tcBorders>
              <w:top w:val="single" w:sz="4" w:space="0" w:color="000000"/>
              <w:left w:val="nil"/>
              <w:bottom w:val="nil"/>
              <w:right w:val="nil"/>
            </w:tcBorders>
            <w:noWrap/>
            <w:vAlign w:val="center"/>
          </w:tcPr>
          <w:p w14:paraId="03B40F24" w14:textId="77777777" w:rsidR="00000000" w:rsidRDefault="00000000">
            <w:pPr>
              <w:widowControl/>
              <w:snapToGrid w:val="0"/>
              <w:spacing w:line="360" w:lineRule="auto"/>
              <w:ind w:firstLine="0"/>
              <w:jc w:val="center"/>
              <w:textAlignment w:val="bottom"/>
              <w:rPr>
                <w:rFonts w:ascii="宋体" w:hAnsi="宋体" w:cs="宋体"/>
                <w:sz w:val="21"/>
                <w:szCs w:val="21"/>
              </w:rPr>
            </w:pPr>
            <w:r>
              <w:rPr>
                <w:rFonts w:ascii="宋体" w:hAnsi="宋体" w:cs="宋体" w:hint="eastAsia"/>
                <w:kern w:val="0"/>
                <w:sz w:val="21"/>
                <w:szCs w:val="21"/>
                <w:lang w:bidi="ar"/>
              </w:rPr>
              <w:t>32450</w:t>
            </w:r>
          </w:p>
        </w:tc>
        <w:tc>
          <w:tcPr>
            <w:tcW w:w="1318" w:type="dxa"/>
            <w:tcBorders>
              <w:top w:val="single" w:sz="4" w:space="0" w:color="000000"/>
              <w:left w:val="nil"/>
              <w:bottom w:val="nil"/>
              <w:right w:val="nil"/>
            </w:tcBorders>
            <w:noWrap/>
            <w:vAlign w:val="center"/>
          </w:tcPr>
          <w:p w14:paraId="2DB5820A" w14:textId="77777777" w:rsidR="00000000" w:rsidRDefault="00000000">
            <w:pPr>
              <w:widowControl/>
              <w:snapToGrid w:val="0"/>
              <w:spacing w:line="360" w:lineRule="auto"/>
              <w:ind w:firstLine="0"/>
              <w:jc w:val="center"/>
              <w:textAlignment w:val="bottom"/>
              <w:rPr>
                <w:rFonts w:ascii="宋体" w:hAnsi="宋体" w:cs="宋体"/>
                <w:sz w:val="21"/>
                <w:szCs w:val="21"/>
              </w:rPr>
            </w:pPr>
            <w:r>
              <w:rPr>
                <w:rFonts w:ascii="宋体" w:hAnsi="宋体" w:cs="宋体" w:hint="eastAsia"/>
                <w:kern w:val="0"/>
                <w:sz w:val="21"/>
                <w:szCs w:val="21"/>
                <w:lang w:bidi="ar"/>
              </w:rPr>
              <w:t>32420</w:t>
            </w:r>
          </w:p>
        </w:tc>
      </w:tr>
      <w:tr w:rsidR="00000000" w14:paraId="01E30FA6" w14:textId="77777777">
        <w:trPr>
          <w:jc w:val="center"/>
        </w:trPr>
        <w:tc>
          <w:tcPr>
            <w:tcW w:w="3113" w:type="dxa"/>
            <w:tcBorders>
              <w:top w:val="nil"/>
              <w:left w:val="nil"/>
              <w:bottom w:val="nil"/>
              <w:right w:val="nil"/>
            </w:tcBorders>
            <w:noWrap/>
            <w:vAlign w:val="center"/>
          </w:tcPr>
          <w:p w14:paraId="716A6D40" w14:textId="77777777" w:rsidR="00000000" w:rsidRDefault="00000000">
            <w:pPr>
              <w:widowControl/>
              <w:snapToGrid w:val="0"/>
              <w:spacing w:line="360" w:lineRule="auto"/>
              <w:ind w:firstLine="0"/>
              <w:jc w:val="center"/>
              <w:textAlignment w:val="bottom"/>
              <w:rPr>
                <w:rFonts w:ascii="宋体" w:hAnsi="宋体" w:cs="宋体"/>
                <w:sz w:val="21"/>
                <w:szCs w:val="21"/>
              </w:rPr>
            </w:pPr>
            <w:r>
              <w:rPr>
                <w:rFonts w:ascii="宋体" w:hAnsi="宋体" w:cs="宋体" w:hint="eastAsia"/>
                <w:kern w:val="0"/>
                <w:sz w:val="21"/>
                <w:szCs w:val="21"/>
                <w:lang w:bidi="ar"/>
              </w:rPr>
              <w:t>已派股利（万元）</w:t>
            </w:r>
          </w:p>
        </w:tc>
        <w:tc>
          <w:tcPr>
            <w:tcW w:w="1069" w:type="dxa"/>
            <w:tcBorders>
              <w:top w:val="nil"/>
              <w:left w:val="nil"/>
              <w:bottom w:val="nil"/>
              <w:right w:val="nil"/>
            </w:tcBorders>
            <w:noWrap/>
            <w:vAlign w:val="center"/>
          </w:tcPr>
          <w:p w14:paraId="1AEE1BA0" w14:textId="77777777" w:rsidR="00000000" w:rsidRDefault="00000000">
            <w:pPr>
              <w:widowControl/>
              <w:snapToGrid w:val="0"/>
              <w:spacing w:line="360" w:lineRule="auto"/>
              <w:ind w:firstLine="0"/>
              <w:jc w:val="center"/>
              <w:textAlignment w:val="bottom"/>
              <w:rPr>
                <w:rFonts w:ascii="宋体" w:hAnsi="宋体" w:cs="宋体"/>
                <w:sz w:val="21"/>
                <w:szCs w:val="21"/>
              </w:rPr>
            </w:pPr>
            <w:r>
              <w:rPr>
                <w:rFonts w:ascii="宋体" w:hAnsi="宋体" w:cs="宋体" w:hint="eastAsia"/>
                <w:kern w:val="0"/>
                <w:sz w:val="21"/>
                <w:szCs w:val="21"/>
                <w:lang w:bidi="ar"/>
              </w:rPr>
              <w:t>2751.69</w:t>
            </w:r>
          </w:p>
        </w:tc>
        <w:tc>
          <w:tcPr>
            <w:tcW w:w="1069" w:type="dxa"/>
            <w:tcBorders>
              <w:top w:val="nil"/>
              <w:left w:val="nil"/>
              <w:bottom w:val="nil"/>
              <w:right w:val="nil"/>
            </w:tcBorders>
            <w:noWrap/>
            <w:vAlign w:val="center"/>
          </w:tcPr>
          <w:p w14:paraId="3BA687D7" w14:textId="77777777" w:rsidR="00000000" w:rsidRDefault="00000000">
            <w:pPr>
              <w:widowControl/>
              <w:snapToGrid w:val="0"/>
              <w:spacing w:line="360" w:lineRule="auto"/>
              <w:ind w:firstLine="0"/>
              <w:jc w:val="center"/>
              <w:textAlignment w:val="bottom"/>
              <w:rPr>
                <w:rFonts w:ascii="宋体" w:hAnsi="宋体" w:cs="宋体"/>
                <w:sz w:val="21"/>
                <w:szCs w:val="21"/>
              </w:rPr>
            </w:pPr>
            <w:r>
              <w:rPr>
                <w:rFonts w:ascii="宋体" w:hAnsi="宋体" w:cs="宋体" w:hint="eastAsia"/>
                <w:kern w:val="0"/>
                <w:sz w:val="21"/>
                <w:szCs w:val="21"/>
                <w:lang w:bidi="ar"/>
              </w:rPr>
              <w:t>2002.63</w:t>
            </w:r>
          </w:p>
        </w:tc>
        <w:tc>
          <w:tcPr>
            <w:tcW w:w="1001" w:type="dxa"/>
            <w:tcBorders>
              <w:top w:val="nil"/>
              <w:left w:val="nil"/>
              <w:bottom w:val="nil"/>
              <w:right w:val="nil"/>
            </w:tcBorders>
            <w:noWrap/>
            <w:vAlign w:val="center"/>
          </w:tcPr>
          <w:p w14:paraId="7EB61E37" w14:textId="77777777" w:rsidR="00000000" w:rsidRDefault="00000000">
            <w:pPr>
              <w:widowControl/>
              <w:snapToGrid w:val="0"/>
              <w:spacing w:line="360" w:lineRule="auto"/>
              <w:ind w:firstLine="0"/>
              <w:jc w:val="center"/>
              <w:textAlignment w:val="bottom"/>
              <w:rPr>
                <w:rFonts w:ascii="宋体" w:hAnsi="宋体" w:cs="宋体"/>
                <w:sz w:val="21"/>
                <w:szCs w:val="21"/>
              </w:rPr>
            </w:pPr>
            <w:r>
              <w:rPr>
                <w:rFonts w:ascii="宋体" w:hAnsi="宋体" w:cs="宋体" w:hint="eastAsia"/>
                <w:kern w:val="0"/>
                <w:sz w:val="21"/>
                <w:szCs w:val="21"/>
                <w:lang w:bidi="ar"/>
              </w:rPr>
              <w:t>0.00</w:t>
            </w:r>
          </w:p>
        </w:tc>
        <w:tc>
          <w:tcPr>
            <w:tcW w:w="1069" w:type="dxa"/>
            <w:tcBorders>
              <w:top w:val="nil"/>
              <w:left w:val="nil"/>
              <w:bottom w:val="nil"/>
              <w:right w:val="nil"/>
            </w:tcBorders>
            <w:noWrap/>
            <w:vAlign w:val="center"/>
          </w:tcPr>
          <w:p w14:paraId="2BB21F64" w14:textId="77777777" w:rsidR="00000000" w:rsidRDefault="00000000">
            <w:pPr>
              <w:widowControl/>
              <w:snapToGrid w:val="0"/>
              <w:spacing w:line="360" w:lineRule="auto"/>
              <w:ind w:firstLine="0"/>
              <w:jc w:val="center"/>
              <w:textAlignment w:val="bottom"/>
              <w:rPr>
                <w:rFonts w:ascii="宋体" w:hAnsi="宋体" w:cs="宋体"/>
                <w:sz w:val="21"/>
                <w:szCs w:val="21"/>
              </w:rPr>
            </w:pPr>
            <w:r>
              <w:rPr>
                <w:rFonts w:ascii="宋体" w:hAnsi="宋体" w:cs="宋体" w:hint="eastAsia"/>
                <w:kern w:val="0"/>
                <w:sz w:val="21"/>
                <w:szCs w:val="21"/>
                <w:lang w:bidi="ar"/>
              </w:rPr>
              <w:t>8460.28</w:t>
            </w:r>
          </w:p>
        </w:tc>
        <w:tc>
          <w:tcPr>
            <w:tcW w:w="1318" w:type="dxa"/>
            <w:tcBorders>
              <w:top w:val="nil"/>
              <w:left w:val="nil"/>
              <w:bottom w:val="nil"/>
              <w:right w:val="nil"/>
            </w:tcBorders>
            <w:noWrap/>
            <w:vAlign w:val="center"/>
          </w:tcPr>
          <w:p w14:paraId="6B6AF918" w14:textId="77777777" w:rsidR="00000000" w:rsidRDefault="00000000">
            <w:pPr>
              <w:widowControl/>
              <w:snapToGrid w:val="0"/>
              <w:spacing w:line="360" w:lineRule="auto"/>
              <w:ind w:firstLine="0"/>
              <w:jc w:val="center"/>
              <w:textAlignment w:val="bottom"/>
              <w:rPr>
                <w:rFonts w:ascii="宋体" w:hAnsi="宋体" w:cs="宋体"/>
                <w:sz w:val="21"/>
                <w:szCs w:val="21"/>
              </w:rPr>
            </w:pPr>
            <w:r>
              <w:rPr>
                <w:rFonts w:ascii="宋体" w:hAnsi="宋体" w:cs="宋体" w:hint="eastAsia"/>
                <w:kern w:val="0"/>
                <w:sz w:val="21"/>
                <w:szCs w:val="21"/>
                <w:lang w:bidi="ar"/>
              </w:rPr>
              <w:t>6858.18</w:t>
            </w:r>
          </w:p>
        </w:tc>
      </w:tr>
      <w:tr w:rsidR="00000000" w14:paraId="02F42CE8" w14:textId="77777777">
        <w:trPr>
          <w:jc w:val="center"/>
        </w:trPr>
        <w:tc>
          <w:tcPr>
            <w:tcW w:w="3113" w:type="dxa"/>
            <w:tcBorders>
              <w:top w:val="nil"/>
              <w:left w:val="nil"/>
              <w:bottom w:val="nil"/>
              <w:right w:val="nil"/>
            </w:tcBorders>
            <w:noWrap/>
            <w:vAlign w:val="center"/>
          </w:tcPr>
          <w:p w14:paraId="7EDC0594" w14:textId="77777777" w:rsidR="00000000" w:rsidRDefault="00000000">
            <w:pPr>
              <w:widowControl/>
              <w:snapToGrid w:val="0"/>
              <w:spacing w:line="360" w:lineRule="auto"/>
              <w:ind w:firstLine="0"/>
              <w:jc w:val="center"/>
              <w:textAlignment w:val="bottom"/>
              <w:rPr>
                <w:rFonts w:ascii="宋体" w:hAnsi="宋体" w:cs="宋体"/>
                <w:sz w:val="21"/>
                <w:szCs w:val="21"/>
              </w:rPr>
            </w:pPr>
            <w:r>
              <w:rPr>
                <w:rFonts w:ascii="宋体" w:hAnsi="宋体" w:cs="宋体" w:hint="eastAsia"/>
                <w:kern w:val="0"/>
                <w:sz w:val="21"/>
                <w:szCs w:val="21"/>
                <w:lang w:bidi="ar"/>
              </w:rPr>
              <w:t>每股收益（元）</w:t>
            </w:r>
          </w:p>
        </w:tc>
        <w:tc>
          <w:tcPr>
            <w:tcW w:w="1069" w:type="dxa"/>
            <w:tcBorders>
              <w:top w:val="nil"/>
              <w:left w:val="nil"/>
              <w:bottom w:val="nil"/>
              <w:right w:val="nil"/>
            </w:tcBorders>
            <w:noWrap/>
            <w:vAlign w:val="center"/>
          </w:tcPr>
          <w:p w14:paraId="59CEFA66" w14:textId="77777777" w:rsidR="00000000" w:rsidRDefault="00000000">
            <w:pPr>
              <w:widowControl/>
              <w:snapToGrid w:val="0"/>
              <w:spacing w:line="360" w:lineRule="auto"/>
              <w:ind w:firstLine="0"/>
              <w:jc w:val="center"/>
              <w:textAlignment w:val="bottom"/>
              <w:rPr>
                <w:rFonts w:ascii="宋体" w:hAnsi="宋体" w:cs="宋体"/>
                <w:sz w:val="21"/>
                <w:szCs w:val="21"/>
              </w:rPr>
            </w:pPr>
            <w:r>
              <w:rPr>
                <w:rFonts w:ascii="宋体" w:hAnsi="宋体" w:cs="宋体" w:hint="eastAsia"/>
                <w:kern w:val="0"/>
                <w:sz w:val="21"/>
                <w:szCs w:val="21"/>
                <w:lang w:bidi="ar"/>
              </w:rPr>
              <w:t>0.28</w:t>
            </w:r>
          </w:p>
        </w:tc>
        <w:tc>
          <w:tcPr>
            <w:tcW w:w="1069" w:type="dxa"/>
            <w:tcBorders>
              <w:top w:val="nil"/>
              <w:left w:val="nil"/>
              <w:bottom w:val="nil"/>
              <w:right w:val="nil"/>
            </w:tcBorders>
            <w:noWrap/>
            <w:vAlign w:val="center"/>
          </w:tcPr>
          <w:p w14:paraId="746900BB" w14:textId="77777777" w:rsidR="00000000" w:rsidRDefault="00000000">
            <w:pPr>
              <w:widowControl/>
              <w:snapToGrid w:val="0"/>
              <w:spacing w:line="360" w:lineRule="auto"/>
              <w:ind w:firstLine="0"/>
              <w:jc w:val="center"/>
              <w:textAlignment w:val="bottom"/>
              <w:rPr>
                <w:rFonts w:ascii="宋体" w:hAnsi="宋体" w:cs="宋体"/>
                <w:sz w:val="21"/>
                <w:szCs w:val="21"/>
              </w:rPr>
            </w:pPr>
            <w:r>
              <w:rPr>
                <w:rFonts w:ascii="宋体" w:hAnsi="宋体" w:cs="宋体" w:hint="eastAsia"/>
                <w:kern w:val="0"/>
                <w:sz w:val="21"/>
                <w:szCs w:val="21"/>
                <w:lang w:bidi="ar"/>
              </w:rPr>
              <w:t>0.32</w:t>
            </w:r>
          </w:p>
        </w:tc>
        <w:tc>
          <w:tcPr>
            <w:tcW w:w="1001" w:type="dxa"/>
            <w:tcBorders>
              <w:top w:val="nil"/>
              <w:left w:val="nil"/>
              <w:bottom w:val="nil"/>
              <w:right w:val="nil"/>
            </w:tcBorders>
            <w:noWrap/>
            <w:vAlign w:val="center"/>
          </w:tcPr>
          <w:p w14:paraId="7B4DF26D" w14:textId="77777777" w:rsidR="00000000" w:rsidRDefault="00000000">
            <w:pPr>
              <w:widowControl/>
              <w:snapToGrid w:val="0"/>
              <w:spacing w:line="360" w:lineRule="auto"/>
              <w:ind w:firstLine="0"/>
              <w:jc w:val="center"/>
              <w:textAlignment w:val="bottom"/>
              <w:rPr>
                <w:rFonts w:ascii="宋体" w:hAnsi="宋体" w:cs="宋体"/>
                <w:sz w:val="21"/>
                <w:szCs w:val="21"/>
              </w:rPr>
            </w:pPr>
            <w:r>
              <w:rPr>
                <w:rFonts w:ascii="宋体" w:hAnsi="宋体" w:cs="宋体" w:hint="eastAsia"/>
                <w:kern w:val="0"/>
                <w:sz w:val="21"/>
                <w:szCs w:val="21"/>
                <w:lang w:bidi="ar"/>
              </w:rPr>
              <w:t>0.21</w:t>
            </w:r>
          </w:p>
        </w:tc>
        <w:tc>
          <w:tcPr>
            <w:tcW w:w="1069" w:type="dxa"/>
            <w:tcBorders>
              <w:top w:val="nil"/>
              <w:left w:val="nil"/>
              <w:bottom w:val="nil"/>
              <w:right w:val="nil"/>
            </w:tcBorders>
            <w:noWrap/>
            <w:vAlign w:val="center"/>
          </w:tcPr>
          <w:p w14:paraId="785A4065" w14:textId="77777777" w:rsidR="00000000" w:rsidRDefault="00000000">
            <w:pPr>
              <w:widowControl/>
              <w:snapToGrid w:val="0"/>
              <w:spacing w:line="360" w:lineRule="auto"/>
              <w:ind w:firstLine="0"/>
              <w:jc w:val="center"/>
              <w:textAlignment w:val="bottom"/>
              <w:rPr>
                <w:rFonts w:ascii="宋体" w:hAnsi="宋体" w:cs="宋体"/>
                <w:sz w:val="21"/>
                <w:szCs w:val="21"/>
              </w:rPr>
            </w:pPr>
            <w:r>
              <w:rPr>
                <w:rFonts w:ascii="宋体" w:hAnsi="宋体" w:cs="宋体" w:hint="eastAsia"/>
                <w:kern w:val="0"/>
                <w:sz w:val="21"/>
                <w:szCs w:val="21"/>
                <w:lang w:bidi="ar"/>
              </w:rPr>
              <w:t>0.38</w:t>
            </w:r>
          </w:p>
        </w:tc>
        <w:tc>
          <w:tcPr>
            <w:tcW w:w="1318" w:type="dxa"/>
            <w:tcBorders>
              <w:top w:val="nil"/>
              <w:left w:val="nil"/>
              <w:bottom w:val="nil"/>
              <w:right w:val="nil"/>
            </w:tcBorders>
            <w:noWrap/>
            <w:vAlign w:val="center"/>
          </w:tcPr>
          <w:p w14:paraId="39656C30" w14:textId="77777777" w:rsidR="00000000" w:rsidRDefault="00000000">
            <w:pPr>
              <w:widowControl/>
              <w:snapToGrid w:val="0"/>
              <w:spacing w:line="360" w:lineRule="auto"/>
              <w:ind w:firstLine="0"/>
              <w:jc w:val="center"/>
              <w:textAlignment w:val="bottom"/>
              <w:rPr>
                <w:rFonts w:ascii="宋体" w:hAnsi="宋体" w:cs="宋体"/>
                <w:sz w:val="21"/>
                <w:szCs w:val="21"/>
              </w:rPr>
            </w:pPr>
            <w:r>
              <w:rPr>
                <w:rFonts w:ascii="宋体" w:hAnsi="宋体" w:cs="宋体" w:hint="eastAsia"/>
                <w:kern w:val="0"/>
                <w:sz w:val="21"/>
                <w:szCs w:val="21"/>
                <w:lang w:bidi="ar"/>
              </w:rPr>
              <w:t>0.41</w:t>
            </w:r>
          </w:p>
        </w:tc>
      </w:tr>
      <w:tr w:rsidR="00000000" w14:paraId="3D1F8086" w14:textId="77777777">
        <w:trPr>
          <w:jc w:val="center"/>
        </w:trPr>
        <w:tc>
          <w:tcPr>
            <w:tcW w:w="3113" w:type="dxa"/>
            <w:tcBorders>
              <w:top w:val="nil"/>
              <w:left w:val="nil"/>
              <w:bottom w:val="nil"/>
              <w:right w:val="nil"/>
            </w:tcBorders>
            <w:noWrap/>
            <w:vAlign w:val="center"/>
          </w:tcPr>
          <w:p w14:paraId="6C6B6DFC" w14:textId="77777777" w:rsidR="00000000" w:rsidRDefault="00000000">
            <w:pPr>
              <w:widowControl/>
              <w:snapToGrid w:val="0"/>
              <w:spacing w:line="360" w:lineRule="auto"/>
              <w:ind w:firstLine="0"/>
              <w:jc w:val="center"/>
              <w:textAlignment w:val="bottom"/>
              <w:rPr>
                <w:rFonts w:ascii="宋体" w:hAnsi="宋体" w:cs="宋体"/>
                <w:sz w:val="21"/>
                <w:szCs w:val="21"/>
              </w:rPr>
            </w:pPr>
            <w:r>
              <w:rPr>
                <w:rFonts w:ascii="宋体" w:hAnsi="宋体" w:cs="宋体" w:hint="eastAsia"/>
                <w:kern w:val="0"/>
                <w:sz w:val="21"/>
                <w:szCs w:val="21"/>
                <w:lang w:bidi="ar"/>
              </w:rPr>
              <w:t>普通股每股现金股利（元）</w:t>
            </w:r>
          </w:p>
        </w:tc>
        <w:tc>
          <w:tcPr>
            <w:tcW w:w="1069" w:type="dxa"/>
            <w:tcBorders>
              <w:top w:val="nil"/>
              <w:left w:val="nil"/>
              <w:bottom w:val="nil"/>
              <w:right w:val="nil"/>
            </w:tcBorders>
            <w:noWrap/>
            <w:vAlign w:val="center"/>
          </w:tcPr>
          <w:p w14:paraId="7067551B" w14:textId="77777777" w:rsidR="00000000" w:rsidRDefault="00000000">
            <w:pPr>
              <w:widowControl/>
              <w:snapToGrid w:val="0"/>
              <w:spacing w:line="360" w:lineRule="auto"/>
              <w:ind w:firstLine="0"/>
              <w:jc w:val="center"/>
              <w:textAlignment w:val="bottom"/>
              <w:rPr>
                <w:rFonts w:ascii="宋体" w:hAnsi="宋体" w:cs="宋体"/>
                <w:sz w:val="21"/>
                <w:szCs w:val="21"/>
              </w:rPr>
            </w:pPr>
            <w:r>
              <w:rPr>
                <w:rFonts w:ascii="宋体" w:hAnsi="宋体" w:cs="宋体" w:hint="eastAsia"/>
                <w:kern w:val="0"/>
                <w:sz w:val="21"/>
                <w:szCs w:val="21"/>
                <w:lang w:bidi="ar"/>
              </w:rPr>
              <w:t>0.1</w:t>
            </w:r>
          </w:p>
        </w:tc>
        <w:tc>
          <w:tcPr>
            <w:tcW w:w="1069" w:type="dxa"/>
            <w:tcBorders>
              <w:top w:val="nil"/>
              <w:left w:val="nil"/>
              <w:bottom w:val="nil"/>
              <w:right w:val="nil"/>
            </w:tcBorders>
            <w:noWrap/>
            <w:vAlign w:val="center"/>
          </w:tcPr>
          <w:p w14:paraId="4738E79E" w14:textId="77777777" w:rsidR="00000000" w:rsidRDefault="00000000">
            <w:pPr>
              <w:widowControl/>
              <w:snapToGrid w:val="0"/>
              <w:spacing w:line="360" w:lineRule="auto"/>
              <w:ind w:firstLine="0"/>
              <w:jc w:val="center"/>
              <w:textAlignment w:val="bottom"/>
              <w:rPr>
                <w:rFonts w:ascii="宋体" w:hAnsi="宋体" w:cs="宋体"/>
                <w:sz w:val="21"/>
                <w:szCs w:val="21"/>
              </w:rPr>
            </w:pPr>
            <w:r>
              <w:rPr>
                <w:rFonts w:ascii="宋体" w:hAnsi="宋体" w:cs="宋体" w:hint="eastAsia"/>
                <w:kern w:val="0"/>
                <w:sz w:val="21"/>
                <w:szCs w:val="21"/>
                <w:lang w:bidi="ar"/>
              </w:rPr>
              <w:t>0.1</w:t>
            </w:r>
          </w:p>
        </w:tc>
        <w:tc>
          <w:tcPr>
            <w:tcW w:w="1001" w:type="dxa"/>
            <w:tcBorders>
              <w:top w:val="nil"/>
              <w:left w:val="nil"/>
              <w:bottom w:val="nil"/>
              <w:right w:val="nil"/>
            </w:tcBorders>
            <w:noWrap/>
            <w:vAlign w:val="center"/>
          </w:tcPr>
          <w:p w14:paraId="6D1A6725" w14:textId="77777777" w:rsidR="00000000" w:rsidRDefault="00000000">
            <w:pPr>
              <w:widowControl/>
              <w:snapToGrid w:val="0"/>
              <w:spacing w:line="360" w:lineRule="auto"/>
              <w:ind w:firstLine="0"/>
              <w:jc w:val="center"/>
              <w:textAlignment w:val="bottom"/>
              <w:rPr>
                <w:rFonts w:ascii="宋体" w:hAnsi="宋体" w:cs="宋体"/>
                <w:sz w:val="21"/>
                <w:szCs w:val="21"/>
              </w:rPr>
            </w:pPr>
            <w:r>
              <w:rPr>
                <w:rFonts w:ascii="宋体" w:hAnsi="宋体" w:cs="宋体" w:hint="eastAsia"/>
                <w:kern w:val="0"/>
                <w:sz w:val="21"/>
                <w:szCs w:val="21"/>
                <w:lang w:bidi="ar"/>
              </w:rPr>
              <w:t>0.1</w:t>
            </w:r>
          </w:p>
        </w:tc>
        <w:tc>
          <w:tcPr>
            <w:tcW w:w="1069" w:type="dxa"/>
            <w:tcBorders>
              <w:top w:val="nil"/>
              <w:left w:val="nil"/>
              <w:bottom w:val="nil"/>
              <w:right w:val="nil"/>
            </w:tcBorders>
            <w:noWrap/>
            <w:vAlign w:val="center"/>
          </w:tcPr>
          <w:p w14:paraId="28F3F2F9" w14:textId="77777777" w:rsidR="00000000" w:rsidRDefault="00000000">
            <w:pPr>
              <w:widowControl/>
              <w:snapToGrid w:val="0"/>
              <w:spacing w:line="360" w:lineRule="auto"/>
              <w:ind w:firstLine="0"/>
              <w:jc w:val="center"/>
              <w:textAlignment w:val="bottom"/>
              <w:rPr>
                <w:rFonts w:ascii="宋体" w:hAnsi="宋体" w:cs="宋体"/>
                <w:sz w:val="21"/>
                <w:szCs w:val="21"/>
              </w:rPr>
            </w:pPr>
            <w:r>
              <w:rPr>
                <w:rFonts w:ascii="宋体" w:hAnsi="宋体" w:cs="宋体" w:hint="eastAsia"/>
                <w:kern w:val="0"/>
                <w:sz w:val="21"/>
                <w:szCs w:val="21"/>
                <w:lang w:bidi="ar"/>
              </w:rPr>
              <w:t>0.12</w:t>
            </w:r>
          </w:p>
        </w:tc>
        <w:tc>
          <w:tcPr>
            <w:tcW w:w="1318" w:type="dxa"/>
            <w:tcBorders>
              <w:top w:val="nil"/>
              <w:left w:val="nil"/>
              <w:bottom w:val="nil"/>
              <w:right w:val="nil"/>
            </w:tcBorders>
            <w:noWrap/>
            <w:vAlign w:val="center"/>
          </w:tcPr>
          <w:p w14:paraId="31BD101A" w14:textId="77777777" w:rsidR="00000000" w:rsidRDefault="00000000">
            <w:pPr>
              <w:widowControl/>
              <w:snapToGrid w:val="0"/>
              <w:spacing w:line="360" w:lineRule="auto"/>
              <w:ind w:firstLine="0"/>
              <w:jc w:val="center"/>
              <w:textAlignment w:val="bottom"/>
              <w:rPr>
                <w:rFonts w:ascii="宋体" w:hAnsi="宋体" w:cs="宋体"/>
                <w:sz w:val="21"/>
                <w:szCs w:val="21"/>
              </w:rPr>
            </w:pPr>
            <w:r>
              <w:rPr>
                <w:rFonts w:ascii="宋体" w:hAnsi="宋体" w:cs="宋体" w:hint="eastAsia"/>
                <w:kern w:val="0"/>
                <w:sz w:val="21"/>
                <w:szCs w:val="21"/>
                <w:lang w:bidi="ar"/>
              </w:rPr>
              <w:t>0.1</w:t>
            </w:r>
          </w:p>
        </w:tc>
      </w:tr>
      <w:tr w:rsidR="00000000" w14:paraId="2D2E638B" w14:textId="77777777">
        <w:trPr>
          <w:jc w:val="center"/>
        </w:trPr>
        <w:tc>
          <w:tcPr>
            <w:tcW w:w="3113" w:type="dxa"/>
            <w:tcBorders>
              <w:top w:val="nil"/>
              <w:left w:val="nil"/>
              <w:bottom w:val="single" w:sz="12" w:space="0" w:color="000000"/>
              <w:right w:val="nil"/>
            </w:tcBorders>
            <w:noWrap/>
            <w:vAlign w:val="center"/>
          </w:tcPr>
          <w:p w14:paraId="7C926EAA" w14:textId="77777777" w:rsidR="00000000" w:rsidRDefault="00000000">
            <w:pPr>
              <w:widowControl/>
              <w:snapToGrid w:val="0"/>
              <w:spacing w:line="360" w:lineRule="auto"/>
              <w:ind w:firstLine="0"/>
              <w:jc w:val="center"/>
              <w:textAlignment w:val="bottom"/>
              <w:rPr>
                <w:rFonts w:ascii="宋体" w:hAnsi="宋体" w:cs="宋体"/>
                <w:sz w:val="21"/>
                <w:szCs w:val="21"/>
              </w:rPr>
            </w:pPr>
            <w:r>
              <w:rPr>
                <w:rFonts w:ascii="宋体" w:hAnsi="宋体" w:cs="宋体" w:hint="eastAsia"/>
                <w:kern w:val="0"/>
                <w:sz w:val="21"/>
                <w:szCs w:val="21"/>
                <w:lang w:bidi="ar"/>
              </w:rPr>
              <w:t>股利分配率</w:t>
            </w:r>
          </w:p>
        </w:tc>
        <w:tc>
          <w:tcPr>
            <w:tcW w:w="1069" w:type="dxa"/>
            <w:tcBorders>
              <w:top w:val="nil"/>
              <w:left w:val="nil"/>
              <w:bottom w:val="single" w:sz="12" w:space="0" w:color="000000"/>
              <w:right w:val="nil"/>
            </w:tcBorders>
            <w:noWrap/>
            <w:vAlign w:val="center"/>
          </w:tcPr>
          <w:p w14:paraId="18AC75BB" w14:textId="77777777" w:rsidR="00000000" w:rsidRDefault="00000000">
            <w:pPr>
              <w:widowControl/>
              <w:snapToGrid w:val="0"/>
              <w:spacing w:line="360" w:lineRule="auto"/>
              <w:ind w:firstLine="0"/>
              <w:jc w:val="center"/>
              <w:textAlignment w:val="bottom"/>
              <w:rPr>
                <w:rFonts w:ascii="宋体" w:hAnsi="宋体" w:cs="宋体"/>
                <w:sz w:val="21"/>
                <w:szCs w:val="21"/>
              </w:rPr>
            </w:pPr>
            <w:r>
              <w:rPr>
                <w:rFonts w:ascii="宋体" w:hAnsi="宋体" w:cs="宋体" w:hint="eastAsia"/>
                <w:kern w:val="0"/>
                <w:sz w:val="21"/>
                <w:szCs w:val="21"/>
                <w:lang w:bidi="ar"/>
              </w:rPr>
              <w:t>0.3571</w:t>
            </w:r>
          </w:p>
        </w:tc>
        <w:tc>
          <w:tcPr>
            <w:tcW w:w="1069" w:type="dxa"/>
            <w:tcBorders>
              <w:top w:val="nil"/>
              <w:left w:val="nil"/>
              <w:bottom w:val="single" w:sz="12" w:space="0" w:color="000000"/>
              <w:right w:val="nil"/>
            </w:tcBorders>
            <w:noWrap/>
            <w:vAlign w:val="center"/>
          </w:tcPr>
          <w:p w14:paraId="2B2D5815" w14:textId="77777777" w:rsidR="00000000" w:rsidRDefault="00000000">
            <w:pPr>
              <w:widowControl/>
              <w:snapToGrid w:val="0"/>
              <w:spacing w:line="360" w:lineRule="auto"/>
              <w:ind w:firstLine="0"/>
              <w:jc w:val="center"/>
              <w:textAlignment w:val="bottom"/>
              <w:rPr>
                <w:rFonts w:ascii="宋体" w:hAnsi="宋体" w:cs="宋体"/>
                <w:sz w:val="21"/>
                <w:szCs w:val="21"/>
              </w:rPr>
            </w:pPr>
            <w:r>
              <w:rPr>
                <w:rFonts w:ascii="宋体" w:hAnsi="宋体" w:cs="宋体" w:hint="eastAsia"/>
                <w:kern w:val="0"/>
                <w:sz w:val="21"/>
                <w:szCs w:val="21"/>
                <w:lang w:bidi="ar"/>
              </w:rPr>
              <w:t>0.3125</w:t>
            </w:r>
          </w:p>
        </w:tc>
        <w:tc>
          <w:tcPr>
            <w:tcW w:w="1001" w:type="dxa"/>
            <w:tcBorders>
              <w:top w:val="nil"/>
              <w:left w:val="nil"/>
              <w:bottom w:val="single" w:sz="12" w:space="0" w:color="000000"/>
              <w:right w:val="nil"/>
            </w:tcBorders>
            <w:noWrap/>
            <w:vAlign w:val="center"/>
          </w:tcPr>
          <w:p w14:paraId="0598EC9B" w14:textId="77777777" w:rsidR="00000000" w:rsidRDefault="00000000">
            <w:pPr>
              <w:widowControl/>
              <w:snapToGrid w:val="0"/>
              <w:spacing w:line="360" w:lineRule="auto"/>
              <w:ind w:firstLine="0"/>
              <w:jc w:val="center"/>
              <w:textAlignment w:val="bottom"/>
              <w:rPr>
                <w:rFonts w:ascii="宋体" w:hAnsi="宋体" w:cs="宋体"/>
                <w:sz w:val="21"/>
                <w:szCs w:val="21"/>
              </w:rPr>
            </w:pPr>
            <w:r>
              <w:rPr>
                <w:rFonts w:ascii="宋体" w:hAnsi="宋体" w:cs="宋体" w:hint="eastAsia"/>
                <w:kern w:val="0"/>
                <w:sz w:val="21"/>
                <w:szCs w:val="21"/>
                <w:lang w:bidi="ar"/>
              </w:rPr>
              <w:t>0.4762</w:t>
            </w:r>
          </w:p>
        </w:tc>
        <w:tc>
          <w:tcPr>
            <w:tcW w:w="1069" w:type="dxa"/>
            <w:tcBorders>
              <w:top w:val="nil"/>
              <w:left w:val="nil"/>
              <w:bottom w:val="single" w:sz="12" w:space="0" w:color="000000"/>
              <w:right w:val="nil"/>
            </w:tcBorders>
            <w:noWrap/>
            <w:vAlign w:val="center"/>
          </w:tcPr>
          <w:p w14:paraId="56B9BB04" w14:textId="77777777" w:rsidR="00000000" w:rsidRDefault="00000000">
            <w:pPr>
              <w:widowControl/>
              <w:snapToGrid w:val="0"/>
              <w:spacing w:line="360" w:lineRule="auto"/>
              <w:ind w:firstLine="0"/>
              <w:jc w:val="center"/>
              <w:textAlignment w:val="bottom"/>
              <w:rPr>
                <w:rFonts w:ascii="宋体" w:hAnsi="宋体" w:cs="宋体"/>
                <w:sz w:val="21"/>
                <w:szCs w:val="21"/>
              </w:rPr>
            </w:pPr>
            <w:r>
              <w:rPr>
                <w:rFonts w:ascii="宋体" w:hAnsi="宋体" w:cs="宋体" w:hint="eastAsia"/>
                <w:kern w:val="0"/>
                <w:sz w:val="21"/>
                <w:szCs w:val="21"/>
                <w:lang w:bidi="ar"/>
              </w:rPr>
              <w:t>0.3158</w:t>
            </w:r>
          </w:p>
        </w:tc>
        <w:tc>
          <w:tcPr>
            <w:tcW w:w="1318" w:type="dxa"/>
            <w:tcBorders>
              <w:top w:val="nil"/>
              <w:left w:val="nil"/>
              <w:bottom w:val="single" w:sz="12" w:space="0" w:color="000000"/>
              <w:right w:val="nil"/>
            </w:tcBorders>
            <w:noWrap/>
            <w:vAlign w:val="center"/>
          </w:tcPr>
          <w:p w14:paraId="2E4877F3" w14:textId="77777777" w:rsidR="00000000" w:rsidRDefault="00000000">
            <w:pPr>
              <w:widowControl/>
              <w:snapToGrid w:val="0"/>
              <w:spacing w:line="360" w:lineRule="auto"/>
              <w:ind w:firstLine="0"/>
              <w:jc w:val="center"/>
              <w:textAlignment w:val="bottom"/>
              <w:rPr>
                <w:rFonts w:ascii="宋体" w:hAnsi="宋体" w:cs="宋体"/>
                <w:sz w:val="21"/>
                <w:szCs w:val="21"/>
              </w:rPr>
            </w:pPr>
            <w:r>
              <w:rPr>
                <w:rFonts w:ascii="宋体" w:hAnsi="宋体" w:cs="宋体" w:hint="eastAsia"/>
                <w:kern w:val="0"/>
                <w:sz w:val="21"/>
                <w:szCs w:val="21"/>
                <w:lang w:bidi="ar"/>
              </w:rPr>
              <w:t>0.2439</w:t>
            </w:r>
          </w:p>
        </w:tc>
      </w:tr>
    </w:tbl>
    <w:p w14:paraId="67ADA329" w14:textId="77777777" w:rsidR="00000000" w:rsidRDefault="00000000">
      <w:pPr>
        <w:autoSpaceDE w:val="0"/>
        <w:autoSpaceDN w:val="0"/>
        <w:adjustRightInd w:val="0"/>
        <w:ind w:firstLineChars="200" w:firstLine="426"/>
        <w:jc w:val="left"/>
        <w:rPr>
          <w:rFonts w:ascii="宋体" w:hAnsi="宋体" w:cs="宋体"/>
          <w:sz w:val="21"/>
          <w:szCs w:val="21"/>
        </w:rPr>
      </w:pPr>
      <w:r>
        <w:rPr>
          <w:rFonts w:ascii="宋体" w:hAnsi="宋体" w:cs="宋体" w:hint="eastAsia"/>
          <w:sz w:val="21"/>
          <w:szCs w:val="21"/>
        </w:rPr>
        <w:t>数据来源：根据M公司2020-2024年度报告整理</w:t>
      </w:r>
    </w:p>
    <w:p w14:paraId="0B5949AB" w14:textId="77777777" w:rsidR="00000000" w:rsidRDefault="00000000">
      <w:pPr>
        <w:pStyle w:val="afd"/>
        <w:ind w:firstLine="486"/>
        <w:rPr>
          <w:rFonts w:hint="eastAsia"/>
          <w:color w:val="auto"/>
        </w:rPr>
      </w:pPr>
      <w:r>
        <w:rPr>
          <w:rFonts w:hint="eastAsia"/>
          <w:color w:val="auto"/>
        </w:rPr>
        <w:t>表4-4数据显示，M公司净利润现金含量呈现逐渐下降波动特征，揭示其销售回款能力由强转弱的演变趋势。该指标作为衡量收益质量的核心参数，其波动直接反映企业经营环节现金生成能力的变化。近五年来，企业营业收入现金净含量呈现高低起伏的波动，除2021年末和2023年末略高于1外，其余年份均低于1，表明企业销售回款能力薄弱，导致核心经营活动未能产生足够的现金净流入，资金链紧绷风险陡增。</w:t>
      </w:r>
    </w:p>
    <w:p w14:paraId="7B6BDC91" w14:textId="77777777" w:rsidR="00000000" w:rsidRDefault="00000000">
      <w:pPr>
        <w:pStyle w:val="afd"/>
        <w:ind w:firstLine="486"/>
        <w:rPr>
          <w:rFonts w:hint="eastAsia"/>
          <w:color w:val="auto"/>
        </w:rPr>
      </w:pPr>
      <w:r>
        <w:rPr>
          <w:rFonts w:hint="eastAsia"/>
          <w:color w:val="auto"/>
        </w:rPr>
        <w:t>进一步探究现金回收效率，全部现金回收率自2020年起基本呈现下降趋势。结合企业战略扩张背景，可推断该现象与门店规模扩张过程中，新增门店处于建设期或市场培育期，尚未形成有效现金产出能力密切相关。这些尚在成长周期的门店虽贡献了账面收入，但未能同步产生相应现金流入，导致整体现金回收效率下降。</w:t>
      </w:r>
    </w:p>
    <w:p w14:paraId="73F99066" w14:textId="77777777" w:rsidR="00000000" w:rsidRDefault="00000000">
      <w:pPr>
        <w:pStyle w:val="afd"/>
        <w:ind w:firstLine="486"/>
        <w:rPr>
          <w:rFonts w:hint="eastAsia"/>
          <w:color w:val="auto"/>
        </w:rPr>
      </w:pPr>
      <w:r>
        <w:rPr>
          <w:rFonts w:hint="eastAsia"/>
          <w:color w:val="auto"/>
        </w:rPr>
        <w:t>综上分析，M公司在2020-2024年间的收益分配决策面临严峻的可持续性挑战：一方面，现金生成能力的弱化增加了未来股利分配压力；另一方面，资产运营效率不足导致利用资产获取现金的能力受限。这种收益分配与现金生成能力的失衡，不仅加剧财务脆弱性，更可能形成风险传导链条，影响企业可持续发展能力。因此，优化收益结构、提升现金转化效率应成为轻资产运营模式企业风险管理的重要方向。</w:t>
      </w:r>
    </w:p>
    <w:p w14:paraId="48257E48" w14:textId="77777777" w:rsidR="00000000" w:rsidRDefault="00000000">
      <w:pPr>
        <w:autoSpaceDE w:val="0"/>
        <w:autoSpaceDN w:val="0"/>
        <w:adjustRightInd w:val="0"/>
        <w:spacing w:beforeLines="50" w:before="207" w:afterLines="50" w:after="207"/>
        <w:ind w:firstLine="0"/>
        <w:jc w:val="center"/>
        <w:rPr>
          <w:rFonts w:ascii="宋体" w:hAnsi="宋体" w:cs="宋体"/>
          <w:sz w:val="21"/>
          <w:szCs w:val="21"/>
        </w:rPr>
      </w:pPr>
      <w:r>
        <w:rPr>
          <w:rFonts w:ascii="宋体" w:hAnsi="宋体" w:cs="宋体" w:hint="eastAsia"/>
          <w:sz w:val="21"/>
          <w:szCs w:val="21"/>
        </w:rPr>
        <w:t>表4-4 M公司2020-2024年现金流相关指标统计表</w:t>
      </w:r>
    </w:p>
    <w:tbl>
      <w:tblPr>
        <w:tblW w:w="8695" w:type="dxa"/>
        <w:jc w:val="center"/>
        <w:tblInd w:w="0" w:type="dxa"/>
        <w:tblCellMar>
          <w:top w:w="56" w:type="dxa"/>
          <w:left w:w="96" w:type="dxa"/>
          <w:bottom w:w="56" w:type="dxa"/>
          <w:right w:w="96" w:type="dxa"/>
        </w:tblCellMar>
        <w:tblLook w:val="0000" w:firstRow="0" w:lastRow="0" w:firstColumn="0" w:lastColumn="0" w:noHBand="0" w:noVBand="0"/>
      </w:tblPr>
      <w:tblGrid>
        <w:gridCol w:w="2015"/>
        <w:gridCol w:w="1336"/>
        <w:gridCol w:w="1336"/>
        <w:gridCol w:w="1336"/>
        <w:gridCol w:w="1336"/>
        <w:gridCol w:w="1336"/>
      </w:tblGrid>
      <w:tr w:rsidR="00000000" w14:paraId="7F5AB1A7" w14:textId="77777777">
        <w:trPr>
          <w:jc w:val="center"/>
        </w:trPr>
        <w:tc>
          <w:tcPr>
            <w:tcW w:w="2015" w:type="dxa"/>
            <w:tcBorders>
              <w:top w:val="single" w:sz="12" w:space="0" w:color="000000"/>
              <w:left w:val="nil"/>
              <w:bottom w:val="single" w:sz="4" w:space="0" w:color="000000"/>
              <w:right w:val="nil"/>
            </w:tcBorders>
            <w:noWrap/>
            <w:vAlign w:val="center"/>
          </w:tcPr>
          <w:p w14:paraId="616A7947" w14:textId="77777777" w:rsidR="00000000" w:rsidRDefault="00000000">
            <w:pPr>
              <w:widowControl/>
              <w:snapToGrid w:val="0"/>
              <w:ind w:firstLine="0"/>
              <w:jc w:val="center"/>
              <w:textAlignment w:val="bottom"/>
              <w:rPr>
                <w:rFonts w:ascii="宋体" w:hAnsi="宋体" w:cs="宋体"/>
                <w:sz w:val="21"/>
                <w:szCs w:val="21"/>
              </w:rPr>
            </w:pPr>
            <w:r>
              <w:rPr>
                <w:rFonts w:ascii="宋体" w:hAnsi="宋体" w:cs="宋体" w:hint="eastAsia"/>
                <w:kern w:val="0"/>
                <w:sz w:val="21"/>
                <w:szCs w:val="21"/>
                <w:lang w:bidi="ar"/>
              </w:rPr>
              <w:t>项目</w:t>
            </w:r>
          </w:p>
        </w:tc>
        <w:tc>
          <w:tcPr>
            <w:tcW w:w="1336" w:type="dxa"/>
            <w:tcBorders>
              <w:top w:val="single" w:sz="12" w:space="0" w:color="000000"/>
              <w:left w:val="nil"/>
              <w:bottom w:val="single" w:sz="4" w:space="0" w:color="000000"/>
              <w:right w:val="nil"/>
            </w:tcBorders>
            <w:noWrap/>
            <w:vAlign w:val="center"/>
          </w:tcPr>
          <w:p w14:paraId="4CBB92ED" w14:textId="77777777" w:rsidR="00000000" w:rsidRDefault="00000000">
            <w:pPr>
              <w:widowControl/>
              <w:snapToGrid w:val="0"/>
              <w:ind w:firstLine="0"/>
              <w:jc w:val="center"/>
              <w:textAlignment w:val="bottom"/>
              <w:rPr>
                <w:rFonts w:ascii="宋体" w:hAnsi="宋体" w:cs="宋体"/>
                <w:sz w:val="21"/>
                <w:szCs w:val="21"/>
              </w:rPr>
            </w:pPr>
            <w:r>
              <w:rPr>
                <w:rFonts w:ascii="宋体" w:hAnsi="宋体" w:cs="宋体" w:hint="eastAsia"/>
                <w:kern w:val="0"/>
                <w:sz w:val="21"/>
                <w:szCs w:val="21"/>
                <w:lang w:bidi="ar"/>
              </w:rPr>
              <w:t>2020/12/31</w:t>
            </w:r>
          </w:p>
        </w:tc>
        <w:tc>
          <w:tcPr>
            <w:tcW w:w="1336" w:type="dxa"/>
            <w:tcBorders>
              <w:top w:val="single" w:sz="12" w:space="0" w:color="000000"/>
              <w:left w:val="nil"/>
              <w:bottom w:val="single" w:sz="4" w:space="0" w:color="000000"/>
              <w:right w:val="nil"/>
            </w:tcBorders>
            <w:noWrap/>
            <w:vAlign w:val="center"/>
          </w:tcPr>
          <w:p w14:paraId="53006AC8" w14:textId="77777777" w:rsidR="00000000" w:rsidRDefault="00000000">
            <w:pPr>
              <w:widowControl/>
              <w:snapToGrid w:val="0"/>
              <w:ind w:firstLine="0"/>
              <w:jc w:val="center"/>
              <w:textAlignment w:val="bottom"/>
              <w:rPr>
                <w:rFonts w:ascii="宋体" w:hAnsi="宋体" w:cs="宋体"/>
                <w:sz w:val="21"/>
                <w:szCs w:val="21"/>
              </w:rPr>
            </w:pPr>
            <w:r>
              <w:rPr>
                <w:rFonts w:ascii="宋体" w:hAnsi="宋体" w:cs="宋体" w:hint="eastAsia"/>
                <w:kern w:val="0"/>
                <w:sz w:val="21"/>
                <w:szCs w:val="21"/>
                <w:lang w:bidi="ar"/>
              </w:rPr>
              <w:t>2021/12/31</w:t>
            </w:r>
          </w:p>
        </w:tc>
        <w:tc>
          <w:tcPr>
            <w:tcW w:w="1336" w:type="dxa"/>
            <w:tcBorders>
              <w:top w:val="single" w:sz="12" w:space="0" w:color="000000"/>
              <w:left w:val="nil"/>
              <w:bottom w:val="single" w:sz="4" w:space="0" w:color="000000"/>
              <w:right w:val="nil"/>
            </w:tcBorders>
            <w:noWrap/>
            <w:vAlign w:val="center"/>
          </w:tcPr>
          <w:p w14:paraId="520D6EF2" w14:textId="77777777" w:rsidR="00000000" w:rsidRDefault="00000000">
            <w:pPr>
              <w:widowControl/>
              <w:snapToGrid w:val="0"/>
              <w:ind w:firstLine="0"/>
              <w:jc w:val="center"/>
              <w:textAlignment w:val="bottom"/>
              <w:rPr>
                <w:rFonts w:ascii="宋体" w:hAnsi="宋体" w:cs="宋体"/>
                <w:sz w:val="21"/>
                <w:szCs w:val="21"/>
              </w:rPr>
            </w:pPr>
            <w:r>
              <w:rPr>
                <w:rFonts w:ascii="宋体" w:hAnsi="宋体" w:cs="宋体" w:hint="eastAsia"/>
                <w:kern w:val="0"/>
                <w:sz w:val="21"/>
                <w:szCs w:val="21"/>
                <w:lang w:bidi="ar"/>
              </w:rPr>
              <w:t>2022/12/31</w:t>
            </w:r>
          </w:p>
        </w:tc>
        <w:tc>
          <w:tcPr>
            <w:tcW w:w="1336" w:type="dxa"/>
            <w:tcBorders>
              <w:top w:val="single" w:sz="12" w:space="0" w:color="000000"/>
              <w:left w:val="nil"/>
              <w:bottom w:val="single" w:sz="4" w:space="0" w:color="000000"/>
              <w:right w:val="nil"/>
            </w:tcBorders>
            <w:noWrap/>
            <w:vAlign w:val="center"/>
          </w:tcPr>
          <w:p w14:paraId="68661028" w14:textId="77777777" w:rsidR="00000000" w:rsidRDefault="00000000">
            <w:pPr>
              <w:widowControl/>
              <w:snapToGrid w:val="0"/>
              <w:ind w:firstLine="0"/>
              <w:jc w:val="center"/>
              <w:textAlignment w:val="bottom"/>
              <w:rPr>
                <w:rFonts w:ascii="宋体" w:hAnsi="宋体" w:cs="宋体"/>
                <w:sz w:val="21"/>
                <w:szCs w:val="21"/>
              </w:rPr>
            </w:pPr>
            <w:r>
              <w:rPr>
                <w:rFonts w:ascii="宋体" w:hAnsi="宋体" w:cs="宋体" w:hint="eastAsia"/>
                <w:kern w:val="0"/>
                <w:sz w:val="21"/>
                <w:szCs w:val="21"/>
                <w:lang w:bidi="ar"/>
              </w:rPr>
              <w:t>2023/12/31</w:t>
            </w:r>
          </w:p>
        </w:tc>
        <w:tc>
          <w:tcPr>
            <w:tcW w:w="1336" w:type="dxa"/>
            <w:tcBorders>
              <w:top w:val="single" w:sz="12" w:space="0" w:color="000000"/>
              <w:left w:val="nil"/>
              <w:bottom w:val="single" w:sz="4" w:space="0" w:color="000000"/>
              <w:right w:val="nil"/>
            </w:tcBorders>
            <w:noWrap/>
            <w:vAlign w:val="center"/>
          </w:tcPr>
          <w:p w14:paraId="2E86AAFF" w14:textId="77777777" w:rsidR="00000000" w:rsidRDefault="00000000">
            <w:pPr>
              <w:widowControl/>
              <w:snapToGrid w:val="0"/>
              <w:ind w:firstLine="0"/>
              <w:jc w:val="center"/>
              <w:textAlignment w:val="bottom"/>
              <w:rPr>
                <w:rFonts w:ascii="宋体" w:hAnsi="宋体" w:cs="宋体"/>
                <w:sz w:val="21"/>
                <w:szCs w:val="21"/>
              </w:rPr>
            </w:pPr>
            <w:r>
              <w:rPr>
                <w:rFonts w:ascii="宋体" w:hAnsi="宋体" w:cs="宋体" w:hint="eastAsia"/>
                <w:kern w:val="0"/>
                <w:sz w:val="21"/>
                <w:szCs w:val="21"/>
                <w:lang w:bidi="ar"/>
              </w:rPr>
              <w:t>2024/12/31</w:t>
            </w:r>
          </w:p>
        </w:tc>
      </w:tr>
      <w:tr w:rsidR="00000000" w14:paraId="2D853B19" w14:textId="77777777">
        <w:trPr>
          <w:jc w:val="center"/>
        </w:trPr>
        <w:tc>
          <w:tcPr>
            <w:tcW w:w="2015" w:type="dxa"/>
            <w:tcBorders>
              <w:top w:val="single" w:sz="4" w:space="0" w:color="000000"/>
              <w:left w:val="nil"/>
              <w:bottom w:val="nil"/>
              <w:right w:val="nil"/>
            </w:tcBorders>
            <w:noWrap/>
            <w:vAlign w:val="center"/>
          </w:tcPr>
          <w:p w14:paraId="555E5CA3" w14:textId="77777777" w:rsidR="00000000" w:rsidRDefault="00000000">
            <w:pPr>
              <w:widowControl/>
              <w:snapToGrid w:val="0"/>
              <w:ind w:firstLine="0"/>
              <w:jc w:val="center"/>
              <w:textAlignment w:val="bottom"/>
              <w:rPr>
                <w:rFonts w:ascii="宋体" w:hAnsi="宋体" w:cs="宋体"/>
                <w:sz w:val="21"/>
                <w:szCs w:val="21"/>
              </w:rPr>
            </w:pPr>
            <w:r>
              <w:rPr>
                <w:rFonts w:ascii="宋体" w:hAnsi="宋体" w:cs="宋体" w:hint="eastAsia"/>
                <w:kern w:val="0"/>
                <w:sz w:val="21"/>
                <w:szCs w:val="21"/>
                <w:lang w:bidi="ar"/>
              </w:rPr>
              <w:t>净利润现金含量</w:t>
            </w:r>
          </w:p>
        </w:tc>
        <w:tc>
          <w:tcPr>
            <w:tcW w:w="1336" w:type="dxa"/>
            <w:tcBorders>
              <w:top w:val="single" w:sz="4" w:space="0" w:color="000000"/>
              <w:left w:val="nil"/>
              <w:bottom w:val="nil"/>
              <w:right w:val="nil"/>
            </w:tcBorders>
            <w:noWrap/>
            <w:vAlign w:val="center"/>
          </w:tcPr>
          <w:p w14:paraId="2014B48E" w14:textId="77777777" w:rsidR="00000000" w:rsidRDefault="00000000">
            <w:pPr>
              <w:widowControl/>
              <w:snapToGrid w:val="0"/>
              <w:ind w:firstLine="0"/>
              <w:jc w:val="center"/>
              <w:textAlignment w:val="bottom"/>
              <w:rPr>
                <w:rFonts w:ascii="宋体" w:hAnsi="宋体" w:cs="宋体"/>
                <w:sz w:val="21"/>
                <w:szCs w:val="21"/>
              </w:rPr>
            </w:pPr>
            <w:r>
              <w:rPr>
                <w:rFonts w:ascii="宋体" w:hAnsi="宋体" w:cs="宋体" w:hint="eastAsia"/>
                <w:kern w:val="0"/>
                <w:sz w:val="21"/>
                <w:szCs w:val="21"/>
                <w:lang w:bidi="ar"/>
              </w:rPr>
              <w:t>3.30</w:t>
            </w:r>
          </w:p>
        </w:tc>
        <w:tc>
          <w:tcPr>
            <w:tcW w:w="1336" w:type="dxa"/>
            <w:tcBorders>
              <w:top w:val="single" w:sz="4" w:space="0" w:color="000000"/>
              <w:left w:val="nil"/>
              <w:bottom w:val="nil"/>
              <w:right w:val="nil"/>
            </w:tcBorders>
            <w:noWrap/>
            <w:vAlign w:val="center"/>
          </w:tcPr>
          <w:p w14:paraId="555F6F2C" w14:textId="77777777" w:rsidR="00000000" w:rsidRDefault="00000000">
            <w:pPr>
              <w:widowControl/>
              <w:snapToGrid w:val="0"/>
              <w:ind w:firstLine="0"/>
              <w:jc w:val="center"/>
              <w:textAlignment w:val="bottom"/>
              <w:rPr>
                <w:rFonts w:ascii="宋体" w:hAnsi="宋体" w:cs="宋体"/>
                <w:sz w:val="21"/>
                <w:szCs w:val="21"/>
              </w:rPr>
            </w:pPr>
            <w:r>
              <w:rPr>
                <w:rFonts w:ascii="宋体" w:hAnsi="宋体" w:cs="宋体" w:hint="eastAsia"/>
                <w:kern w:val="0"/>
                <w:sz w:val="21"/>
                <w:szCs w:val="21"/>
                <w:lang w:bidi="ar"/>
              </w:rPr>
              <w:t>2.36</w:t>
            </w:r>
          </w:p>
        </w:tc>
        <w:tc>
          <w:tcPr>
            <w:tcW w:w="1336" w:type="dxa"/>
            <w:tcBorders>
              <w:top w:val="single" w:sz="4" w:space="0" w:color="000000"/>
              <w:left w:val="nil"/>
              <w:bottom w:val="nil"/>
              <w:right w:val="nil"/>
            </w:tcBorders>
            <w:noWrap/>
            <w:vAlign w:val="center"/>
          </w:tcPr>
          <w:p w14:paraId="4938BEAE" w14:textId="77777777" w:rsidR="00000000" w:rsidRDefault="00000000">
            <w:pPr>
              <w:widowControl/>
              <w:snapToGrid w:val="0"/>
              <w:ind w:firstLine="0"/>
              <w:jc w:val="center"/>
              <w:textAlignment w:val="bottom"/>
              <w:rPr>
                <w:rFonts w:ascii="宋体" w:hAnsi="宋体" w:cs="宋体"/>
                <w:sz w:val="21"/>
                <w:szCs w:val="21"/>
              </w:rPr>
            </w:pPr>
            <w:r>
              <w:rPr>
                <w:rFonts w:ascii="宋体" w:hAnsi="宋体" w:cs="宋体" w:hint="eastAsia"/>
                <w:kern w:val="0"/>
                <w:sz w:val="21"/>
                <w:szCs w:val="21"/>
                <w:lang w:bidi="ar"/>
              </w:rPr>
              <w:t>1.60</w:t>
            </w:r>
          </w:p>
        </w:tc>
        <w:tc>
          <w:tcPr>
            <w:tcW w:w="1336" w:type="dxa"/>
            <w:tcBorders>
              <w:top w:val="single" w:sz="4" w:space="0" w:color="000000"/>
              <w:left w:val="nil"/>
              <w:bottom w:val="nil"/>
              <w:right w:val="nil"/>
            </w:tcBorders>
            <w:noWrap/>
            <w:vAlign w:val="center"/>
          </w:tcPr>
          <w:p w14:paraId="20F7EEEE" w14:textId="77777777" w:rsidR="00000000" w:rsidRDefault="00000000">
            <w:pPr>
              <w:widowControl/>
              <w:snapToGrid w:val="0"/>
              <w:ind w:firstLine="0"/>
              <w:jc w:val="center"/>
              <w:textAlignment w:val="bottom"/>
              <w:rPr>
                <w:rFonts w:ascii="宋体" w:hAnsi="宋体" w:cs="宋体"/>
                <w:sz w:val="21"/>
                <w:szCs w:val="21"/>
              </w:rPr>
            </w:pPr>
            <w:r>
              <w:rPr>
                <w:rFonts w:ascii="宋体" w:hAnsi="宋体" w:cs="宋体" w:hint="eastAsia"/>
                <w:kern w:val="0"/>
                <w:sz w:val="21"/>
                <w:szCs w:val="21"/>
                <w:lang w:bidi="ar"/>
              </w:rPr>
              <w:t>1.43</w:t>
            </w:r>
          </w:p>
        </w:tc>
        <w:tc>
          <w:tcPr>
            <w:tcW w:w="1336" w:type="dxa"/>
            <w:tcBorders>
              <w:top w:val="single" w:sz="4" w:space="0" w:color="000000"/>
              <w:left w:val="nil"/>
              <w:bottom w:val="nil"/>
              <w:right w:val="nil"/>
            </w:tcBorders>
            <w:noWrap/>
            <w:vAlign w:val="center"/>
          </w:tcPr>
          <w:p w14:paraId="6295F281" w14:textId="77777777" w:rsidR="00000000" w:rsidRDefault="00000000">
            <w:pPr>
              <w:widowControl/>
              <w:snapToGrid w:val="0"/>
              <w:ind w:firstLine="0"/>
              <w:jc w:val="center"/>
              <w:textAlignment w:val="bottom"/>
              <w:rPr>
                <w:rFonts w:ascii="宋体" w:hAnsi="宋体" w:cs="宋体"/>
                <w:sz w:val="21"/>
                <w:szCs w:val="21"/>
              </w:rPr>
            </w:pPr>
            <w:r>
              <w:rPr>
                <w:rFonts w:ascii="宋体" w:hAnsi="宋体" w:cs="宋体" w:hint="eastAsia"/>
                <w:kern w:val="0"/>
                <w:sz w:val="21"/>
                <w:szCs w:val="21"/>
                <w:lang w:bidi="ar"/>
              </w:rPr>
              <w:t>0.86</w:t>
            </w:r>
          </w:p>
        </w:tc>
      </w:tr>
      <w:tr w:rsidR="00000000" w14:paraId="41F17F0A" w14:textId="77777777">
        <w:trPr>
          <w:jc w:val="center"/>
        </w:trPr>
        <w:tc>
          <w:tcPr>
            <w:tcW w:w="2015" w:type="dxa"/>
            <w:tcBorders>
              <w:top w:val="nil"/>
              <w:left w:val="nil"/>
              <w:bottom w:val="nil"/>
              <w:right w:val="nil"/>
            </w:tcBorders>
            <w:noWrap/>
            <w:vAlign w:val="center"/>
          </w:tcPr>
          <w:p w14:paraId="6B38E7B3" w14:textId="77777777" w:rsidR="00000000" w:rsidRDefault="00000000">
            <w:pPr>
              <w:widowControl/>
              <w:snapToGrid w:val="0"/>
              <w:ind w:firstLine="0"/>
              <w:jc w:val="center"/>
              <w:textAlignment w:val="bottom"/>
              <w:rPr>
                <w:rFonts w:ascii="宋体" w:hAnsi="宋体" w:cs="宋体"/>
                <w:sz w:val="21"/>
                <w:szCs w:val="21"/>
              </w:rPr>
            </w:pPr>
            <w:r>
              <w:rPr>
                <w:rFonts w:ascii="宋体" w:hAnsi="宋体" w:cs="宋体" w:hint="eastAsia"/>
                <w:kern w:val="0"/>
                <w:sz w:val="21"/>
                <w:szCs w:val="21"/>
                <w:lang w:bidi="ar"/>
              </w:rPr>
              <w:t>营业收入现金含量</w:t>
            </w:r>
          </w:p>
        </w:tc>
        <w:tc>
          <w:tcPr>
            <w:tcW w:w="1336" w:type="dxa"/>
            <w:tcBorders>
              <w:top w:val="nil"/>
              <w:left w:val="nil"/>
              <w:bottom w:val="nil"/>
              <w:right w:val="nil"/>
            </w:tcBorders>
            <w:noWrap/>
            <w:vAlign w:val="center"/>
          </w:tcPr>
          <w:p w14:paraId="011DB205" w14:textId="77777777" w:rsidR="00000000" w:rsidRDefault="00000000">
            <w:pPr>
              <w:widowControl/>
              <w:snapToGrid w:val="0"/>
              <w:ind w:firstLine="0"/>
              <w:jc w:val="center"/>
              <w:textAlignment w:val="bottom"/>
              <w:rPr>
                <w:rFonts w:ascii="宋体" w:hAnsi="宋体" w:cs="宋体"/>
                <w:sz w:val="21"/>
                <w:szCs w:val="21"/>
              </w:rPr>
            </w:pPr>
            <w:r>
              <w:rPr>
                <w:rFonts w:ascii="宋体" w:hAnsi="宋体" w:cs="宋体" w:hint="eastAsia"/>
                <w:kern w:val="0"/>
                <w:sz w:val="21"/>
                <w:szCs w:val="21"/>
                <w:lang w:bidi="ar"/>
              </w:rPr>
              <w:t>0.21</w:t>
            </w:r>
          </w:p>
        </w:tc>
        <w:tc>
          <w:tcPr>
            <w:tcW w:w="1336" w:type="dxa"/>
            <w:tcBorders>
              <w:top w:val="nil"/>
              <w:left w:val="nil"/>
              <w:bottom w:val="nil"/>
              <w:right w:val="nil"/>
            </w:tcBorders>
            <w:noWrap/>
            <w:vAlign w:val="center"/>
          </w:tcPr>
          <w:p w14:paraId="6B43242F" w14:textId="77777777" w:rsidR="00000000" w:rsidRDefault="00000000">
            <w:pPr>
              <w:widowControl/>
              <w:snapToGrid w:val="0"/>
              <w:ind w:firstLine="0"/>
              <w:jc w:val="center"/>
              <w:textAlignment w:val="bottom"/>
              <w:rPr>
                <w:rFonts w:ascii="宋体" w:hAnsi="宋体" w:cs="宋体"/>
                <w:sz w:val="21"/>
                <w:szCs w:val="21"/>
              </w:rPr>
            </w:pPr>
            <w:r>
              <w:rPr>
                <w:rFonts w:ascii="宋体" w:hAnsi="宋体" w:cs="宋体" w:hint="eastAsia"/>
                <w:kern w:val="0"/>
                <w:sz w:val="21"/>
                <w:szCs w:val="21"/>
                <w:lang w:bidi="ar"/>
              </w:rPr>
              <w:t>1.55</w:t>
            </w:r>
          </w:p>
        </w:tc>
        <w:tc>
          <w:tcPr>
            <w:tcW w:w="1336" w:type="dxa"/>
            <w:tcBorders>
              <w:top w:val="nil"/>
              <w:left w:val="nil"/>
              <w:bottom w:val="nil"/>
              <w:right w:val="nil"/>
            </w:tcBorders>
            <w:noWrap/>
            <w:vAlign w:val="center"/>
          </w:tcPr>
          <w:p w14:paraId="09D00C06" w14:textId="77777777" w:rsidR="00000000" w:rsidRDefault="00000000">
            <w:pPr>
              <w:widowControl/>
              <w:snapToGrid w:val="0"/>
              <w:ind w:firstLine="0"/>
              <w:jc w:val="center"/>
              <w:textAlignment w:val="bottom"/>
              <w:rPr>
                <w:rFonts w:ascii="宋体" w:hAnsi="宋体" w:cs="宋体"/>
                <w:sz w:val="21"/>
                <w:szCs w:val="21"/>
              </w:rPr>
            </w:pPr>
            <w:r>
              <w:rPr>
                <w:rFonts w:ascii="宋体" w:hAnsi="宋体" w:cs="宋体" w:hint="eastAsia"/>
                <w:kern w:val="0"/>
                <w:sz w:val="21"/>
                <w:szCs w:val="21"/>
                <w:lang w:bidi="ar"/>
              </w:rPr>
              <w:t>0.08</w:t>
            </w:r>
          </w:p>
        </w:tc>
        <w:tc>
          <w:tcPr>
            <w:tcW w:w="1336" w:type="dxa"/>
            <w:tcBorders>
              <w:top w:val="nil"/>
              <w:left w:val="nil"/>
              <w:bottom w:val="nil"/>
              <w:right w:val="nil"/>
            </w:tcBorders>
            <w:noWrap/>
            <w:vAlign w:val="center"/>
          </w:tcPr>
          <w:p w14:paraId="0D6A053E" w14:textId="77777777" w:rsidR="00000000" w:rsidRDefault="00000000">
            <w:pPr>
              <w:widowControl/>
              <w:snapToGrid w:val="0"/>
              <w:ind w:firstLine="0"/>
              <w:jc w:val="center"/>
              <w:textAlignment w:val="bottom"/>
              <w:rPr>
                <w:rFonts w:ascii="宋体" w:hAnsi="宋体" w:cs="宋体"/>
                <w:sz w:val="21"/>
                <w:szCs w:val="21"/>
              </w:rPr>
            </w:pPr>
            <w:r>
              <w:rPr>
                <w:rFonts w:ascii="宋体" w:hAnsi="宋体" w:cs="宋体" w:hint="eastAsia"/>
                <w:kern w:val="0"/>
                <w:sz w:val="21"/>
                <w:szCs w:val="21"/>
                <w:lang w:bidi="ar"/>
              </w:rPr>
              <w:t>1.12</w:t>
            </w:r>
          </w:p>
        </w:tc>
        <w:tc>
          <w:tcPr>
            <w:tcW w:w="1336" w:type="dxa"/>
            <w:tcBorders>
              <w:top w:val="nil"/>
              <w:left w:val="nil"/>
              <w:bottom w:val="nil"/>
              <w:right w:val="nil"/>
            </w:tcBorders>
            <w:noWrap/>
            <w:vAlign w:val="center"/>
          </w:tcPr>
          <w:p w14:paraId="3757E4CE" w14:textId="77777777" w:rsidR="00000000" w:rsidRDefault="00000000">
            <w:pPr>
              <w:widowControl/>
              <w:snapToGrid w:val="0"/>
              <w:ind w:firstLine="0"/>
              <w:jc w:val="center"/>
              <w:textAlignment w:val="bottom"/>
              <w:rPr>
                <w:rFonts w:ascii="宋体" w:hAnsi="宋体" w:cs="宋体"/>
                <w:sz w:val="21"/>
                <w:szCs w:val="21"/>
              </w:rPr>
            </w:pPr>
            <w:r>
              <w:rPr>
                <w:rFonts w:ascii="宋体" w:hAnsi="宋体" w:cs="宋体" w:hint="eastAsia"/>
                <w:kern w:val="0"/>
                <w:sz w:val="21"/>
                <w:szCs w:val="21"/>
                <w:lang w:bidi="ar"/>
              </w:rPr>
              <w:t>0.08</w:t>
            </w:r>
          </w:p>
        </w:tc>
      </w:tr>
      <w:tr w:rsidR="00000000" w14:paraId="7B852A97" w14:textId="77777777">
        <w:trPr>
          <w:jc w:val="center"/>
        </w:trPr>
        <w:tc>
          <w:tcPr>
            <w:tcW w:w="2015" w:type="dxa"/>
            <w:tcBorders>
              <w:top w:val="nil"/>
              <w:left w:val="nil"/>
              <w:bottom w:val="single" w:sz="12" w:space="0" w:color="000000"/>
              <w:right w:val="nil"/>
            </w:tcBorders>
            <w:noWrap/>
            <w:vAlign w:val="center"/>
          </w:tcPr>
          <w:p w14:paraId="68A3720E" w14:textId="77777777" w:rsidR="00000000" w:rsidRDefault="00000000">
            <w:pPr>
              <w:widowControl/>
              <w:snapToGrid w:val="0"/>
              <w:ind w:firstLine="0"/>
              <w:jc w:val="center"/>
              <w:textAlignment w:val="bottom"/>
              <w:rPr>
                <w:rFonts w:ascii="宋体" w:hAnsi="宋体" w:cs="宋体"/>
                <w:sz w:val="21"/>
                <w:szCs w:val="21"/>
              </w:rPr>
            </w:pPr>
            <w:r>
              <w:rPr>
                <w:rFonts w:ascii="宋体" w:hAnsi="宋体" w:cs="宋体" w:hint="eastAsia"/>
                <w:kern w:val="0"/>
                <w:sz w:val="21"/>
                <w:szCs w:val="21"/>
                <w:lang w:bidi="ar"/>
              </w:rPr>
              <w:lastRenderedPageBreak/>
              <w:t>全部现金回收率</w:t>
            </w:r>
          </w:p>
        </w:tc>
        <w:tc>
          <w:tcPr>
            <w:tcW w:w="1336" w:type="dxa"/>
            <w:tcBorders>
              <w:top w:val="nil"/>
              <w:left w:val="nil"/>
              <w:bottom w:val="single" w:sz="12" w:space="0" w:color="000000"/>
              <w:right w:val="nil"/>
            </w:tcBorders>
            <w:noWrap/>
            <w:vAlign w:val="center"/>
          </w:tcPr>
          <w:p w14:paraId="615B719A" w14:textId="77777777" w:rsidR="00000000" w:rsidRDefault="00000000">
            <w:pPr>
              <w:widowControl/>
              <w:snapToGrid w:val="0"/>
              <w:ind w:firstLine="0"/>
              <w:jc w:val="center"/>
              <w:textAlignment w:val="bottom"/>
              <w:rPr>
                <w:rFonts w:ascii="宋体" w:hAnsi="宋体" w:cs="宋体"/>
                <w:sz w:val="21"/>
                <w:szCs w:val="21"/>
              </w:rPr>
            </w:pPr>
            <w:r>
              <w:rPr>
                <w:rFonts w:ascii="宋体" w:hAnsi="宋体" w:cs="宋体" w:hint="eastAsia"/>
                <w:kern w:val="0"/>
                <w:sz w:val="21"/>
                <w:szCs w:val="21"/>
                <w:lang w:bidi="ar"/>
              </w:rPr>
              <w:t>0.07</w:t>
            </w:r>
          </w:p>
        </w:tc>
        <w:tc>
          <w:tcPr>
            <w:tcW w:w="1336" w:type="dxa"/>
            <w:tcBorders>
              <w:top w:val="nil"/>
              <w:left w:val="nil"/>
              <w:bottom w:val="single" w:sz="12" w:space="0" w:color="000000"/>
              <w:right w:val="nil"/>
            </w:tcBorders>
            <w:noWrap/>
            <w:vAlign w:val="center"/>
          </w:tcPr>
          <w:p w14:paraId="0C221E14" w14:textId="77777777" w:rsidR="00000000" w:rsidRDefault="00000000">
            <w:pPr>
              <w:widowControl/>
              <w:snapToGrid w:val="0"/>
              <w:ind w:firstLine="0"/>
              <w:jc w:val="center"/>
              <w:textAlignment w:val="bottom"/>
              <w:rPr>
                <w:rFonts w:ascii="宋体" w:hAnsi="宋体" w:cs="宋体"/>
                <w:sz w:val="21"/>
                <w:szCs w:val="21"/>
              </w:rPr>
            </w:pPr>
            <w:r>
              <w:rPr>
                <w:rFonts w:ascii="宋体" w:hAnsi="宋体" w:cs="宋体" w:hint="eastAsia"/>
                <w:kern w:val="0"/>
                <w:sz w:val="21"/>
                <w:szCs w:val="21"/>
                <w:lang w:bidi="ar"/>
              </w:rPr>
              <w:t>0.05</w:t>
            </w:r>
          </w:p>
        </w:tc>
        <w:tc>
          <w:tcPr>
            <w:tcW w:w="1336" w:type="dxa"/>
            <w:tcBorders>
              <w:top w:val="nil"/>
              <w:left w:val="nil"/>
              <w:bottom w:val="single" w:sz="12" w:space="0" w:color="000000"/>
              <w:right w:val="nil"/>
            </w:tcBorders>
            <w:noWrap/>
            <w:vAlign w:val="center"/>
          </w:tcPr>
          <w:p w14:paraId="13E8A5C8" w14:textId="77777777" w:rsidR="00000000" w:rsidRDefault="00000000">
            <w:pPr>
              <w:widowControl/>
              <w:snapToGrid w:val="0"/>
              <w:ind w:firstLine="0"/>
              <w:jc w:val="center"/>
              <w:textAlignment w:val="bottom"/>
              <w:rPr>
                <w:rFonts w:ascii="宋体" w:hAnsi="宋体" w:cs="宋体"/>
                <w:sz w:val="21"/>
                <w:szCs w:val="21"/>
              </w:rPr>
            </w:pPr>
            <w:r>
              <w:rPr>
                <w:rFonts w:ascii="宋体" w:hAnsi="宋体" w:cs="宋体" w:hint="eastAsia"/>
                <w:kern w:val="0"/>
                <w:sz w:val="21"/>
                <w:szCs w:val="21"/>
                <w:lang w:bidi="ar"/>
              </w:rPr>
              <w:t>0.02</w:t>
            </w:r>
          </w:p>
        </w:tc>
        <w:tc>
          <w:tcPr>
            <w:tcW w:w="1336" w:type="dxa"/>
            <w:tcBorders>
              <w:top w:val="nil"/>
              <w:left w:val="nil"/>
              <w:bottom w:val="single" w:sz="12" w:space="0" w:color="000000"/>
              <w:right w:val="nil"/>
            </w:tcBorders>
            <w:noWrap/>
            <w:vAlign w:val="center"/>
          </w:tcPr>
          <w:p w14:paraId="5F2CAC31" w14:textId="77777777" w:rsidR="00000000" w:rsidRDefault="00000000">
            <w:pPr>
              <w:widowControl/>
              <w:snapToGrid w:val="0"/>
              <w:ind w:firstLine="0"/>
              <w:jc w:val="center"/>
              <w:textAlignment w:val="bottom"/>
              <w:rPr>
                <w:rFonts w:ascii="宋体" w:hAnsi="宋体" w:cs="宋体"/>
                <w:sz w:val="21"/>
                <w:szCs w:val="21"/>
              </w:rPr>
            </w:pPr>
            <w:r>
              <w:rPr>
                <w:rFonts w:ascii="宋体" w:hAnsi="宋体" w:cs="宋体" w:hint="eastAsia"/>
                <w:kern w:val="0"/>
                <w:sz w:val="21"/>
                <w:szCs w:val="21"/>
                <w:lang w:bidi="ar"/>
              </w:rPr>
              <w:t>0.04</w:t>
            </w:r>
          </w:p>
        </w:tc>
        <w:tc>
          <w:tcPr>
            <w:tcW w:w="1336" w:type="dxa"/>
            <w:tcBorders>
              <w:top w:val="nil"/>
              <w:left w:val="nil"/>
              <w:bottom w:val="single" w:sz="12" w:space="0" w:color="000000"/>
              <w:right w:val="nil"/>
            </w:tcBorders>
            <w:noWrap/>
            <w:vAlign w:val="center"/>
          </w:tcPr>
          <w:p w14:paraId="4FD6B907" w14:textId="77777777" w:rsidR="00000000" w:rsidRDefault="00000000">
            <w:pPr>
              <w:widowControl/>
              <w:snapToGrid w:val="0"/>
              <w:ind w:firstLine="0"/>
              <w:jc w:val="center"/>
              <w:textAlignment w:val="bottom"/>
              <w:rPr>
                <w:rFonts w:ascii="宋体" w:hAnsi="宋体" w:cs="宋体"/>
                <w:sz w:val="21"/>
                <w:szCs w:val="21"/>
              </w:rPr>
            </w:pPr>
            <w:r>
              <w:rPr>
                <w:rFonts w:ascii="宋体" w:hAnsi="宋体" w:cs="宋体" w:hint="eastAsia"/>
                <w:kern w:val="0"/>
                <w:sz w:val="21"/>
                <w:szCs w:val="21"/>
                <w:lang w:bidi="ar"/>
              </w:rPr>
              <w:t>0.02</w:t>
            </w:r>
          </w:p>
        </w:tc>
      </w:tr>
    </w:tbl>
    <w:p w14:paraId="3EBFD605" w14:textId="77777777" w:rsidR="00000000" w:rsidRDefault="00000000">
      <w:pPr>
        <w:autoSpaceDE w:val="0"/>
        <w:autoSpaceDN w:val="0"/>
        <w:adjustRightInd w:val="0"/>
        <w:ind w:firstLineChars="200" w:firstLine="426"/>
        <w:jc w:val="left"/>
        <w:rPr>
          <w:rFonts w:ascii="宋体" w:hAnsi="宋体" w:cs="宋体"/>
          <w:sz w:val="21"/>
          <w:szCs w:val="21"/>
        </w:rPr>
      </w:pPr>
      <w:r>
        <w:rPr>
          <w:rFonts w:ascii="宋体" w:hAnsi="宋体" w:cs="宋体" w:hint="eastAsia"/>
          <w:sz w:val="21"/>
          <w:szCs w:val="21"/>
        </w:rPr>
        <w:t>数据来源：根据M公司2020-2024年度报告整理</w:t>
      </w:r>
    </w:p>
    <w:p w14:paraId="60825EB2" w14:textId="77777777" w:rsidR="00000000" w:rsidRDefault="00000000">
      <w:pPr>
        <w:pStyle w:val="afb"/>
        <w:numPr>
          <w:ilvl w:val="0"/>
          <w:numId w:val="29"/>
        </w:numPr>
        <w:tabs>
          <w:tab w:val="left" w:pos="0"/>
        </w:tabs>
        <w:spacing w:before="207" w:after="207"/>
        <w:rPr>
          <w:rFonts w:hint="default"/>
        </w:rPr>
      </w:pPr>
      <w:bookmarkStart w:id="81" w:name="_Toc7652"/>
      <w:bookmarkStart w:id="82" w:name="_Toc13478"/>
      <w:r>
        <w:t>轻资产运营模式下</w:t>
      </w:r>
      <w:r>
        <w:t>M</w:t>
      </w:r>
      <w:r>
        <w:t>公司财务风险成因分析</w:t>
      </w:r>
      <w:bookmarkEnd w:id="81"/>
      <w:bookmarkEnd w:id="82"/>
    </w:p>
    <w:p w14:paraId="0477CD8D" w14:textId="77777777" w:rsidR="00000000" w:rsidRDefault="00000000">
      <w:pPr>
        <w:pStyle w:val="afd"/>
        <w:ind w:firstLine="486"/>
        <w:rPr>
          <w:rFonts w:hint="eastAsia"/>
          <w:color w:val="auto"/>
        </w:rPr>
      </w:pPr>
      <w:r>
        <w:rPr>
          <w:rFonts w:hint="eastAsia"/>
          <w:color w:val="auto"/>
        </w:rPr>
        <w:t>基于轻资产运营模式的特征，本研究对M公司的财务风险管理架构进行系统性分析，识别了在轻资产运营模式下M公司在筹资、投资、营运及收益分配四大关键环节中的潜在风险因素。具体而言，在轻资产运营模式下，M公司筹资风险主要表现为资本结构失衡与偿债能力弱化，反映出企业杠杆运用的效率问题；投资风险则体现在资本配置效益未达预期，资产收益率水平偏低；营运风险集中体现在存货周转效率不足，供应链风险管理难度大，不确定因素多，揭示出供应链管理效能与成本控制的双重挑战；收益分配风险则通过固定股利政策与经营现金流入的错配现象得以显现，表现为营业收入现金含量与总资产现金回收率的持续低位，折射出收益质量对分配政策的支撑不足。</w:t>
      </w:r>
    </w:p>
    <w:p w14:paraId="03154982" w14:textId="77777777" w:rsidR="00000000" w:rsidRDefault="00000000">
      <w:pPr>
        <w:pStyle w:val="afd"/>
        <w:ind w:firstLine="486"/>
        <w:rPr>
          <w:rFonts w:hint="eastAsia"/>
          <w:color w:val="auto"/>
        </w:rPr>
      </w:pPr>
      <w:r>
        <w:rPr>
          <w:rFonts w:hint="eastAsia"/>
          <w:color w:val="auto"/>
        </w:rPr>
        <w:t>为深入探究轻资产运营模式下财务风险的形成机理与传导路径，为后续更准确地评价M公司财务风险发生的可能性和潜在影响程度，本研究拟构建“外部环境驱动-内部机制约束”的双重视角分析框架。其中，外部因素层面聚焦行业竞争格局演变、消费结构转型及市场环境动态变化三大维度；内部因素层面则从资源配置策略、投融资模式及供应链管理能力三个核心维度展开深度剖析。通过系统识别多维度致险因素的作用机制与关联效应，为后续针对性开展M公司财务风险评价、构建财务风险防范体系提供理论依据，进而为企业优化财务决策、提升风险抵御韧性及实现可持续发展提供实证借鉴与决策参考。</w:t>
      </w:r>
    </w:p>
    <w:p w14:paraId="62B1A4F1" w14:textId="77777777" w:rsidR="00000000" w:rsidRDefault="00000000">
      <w:pPr>
        <w:pStyle w:val="afc"/>
        <w:numPr>
          <w:ilvl w:val="0"/>
          <w:numId w:val="33"/>
        </w:numPr>
        <w:tabs>
          <w:tab w:val="left" w:pos="0"/>
        </w:tabs>
        <w:autoSpaceDE/>
        <w:autoSpaceDN/>
        <w:spacing w:before="207"/>
        <w:ind w:firstLine="567"/>
      </w:pPr>
      <w:bookmarkStart w:id="83" w:name="_Toc572"/>
      <w:bookmarkStart w:id="84" w:name="_Toc2823"/>
      <w:r>
        <w:rPr>
          <w:rFonts w:hint="eastAsia"/>
        </w:rPr>
        <w:t>外部环境驱动因素</w:t>
      </w:r>
      <w:bookmarkEnd w:id="83"/>
      <w:bookmarkEnd w:id="84"/>
    </w:p>
    <w:p w14:paraId="54118B8B" w14:textId="77777777" w:rsidR="00000000" w:rsidRDefault="00000000">
      <w:pPr>
        <w:pStyle w:val="afd"/>
        <w:numPr>
          <w:ilvl w:val="0"/>
          <w:numId w:val="34"/>
        </w:numPr>
        <w:ind w:firstLine="486"/>
        <w:rPr>
          <w:color w:val="auto"/>
        </w:rPr>
      </w:pPr>
      <w:r>
        <w:rPr>
          <w:rFonts w:hint="eastAsia"/>
          <w:color w:val="auto"/>
        </w:rPr>
        <w:t>行业竞争格局重塑，市场竞争愈演愈烈</w:t>
      </w:r>
    </w:p>
    <w:p w14:paraId="402323BF" w14:textId="77777777" w:rsidR="00000000" w:rsidRDefault="00000000">
      <w:pPr>
        <w:pStyle w:val="afd"/>
        <w:ind w:firstLine="486"/>
        <w:rPr>
          <w:rFonts w:hint="eastAsia"/>
          <w:color w:val="auto"/>
        </w:rPr>
      </w:pPr>
      <w:r>
        <w:rPr>
          <w:rFonts w:hint="eastAsia"/>
          <w:color w:val="auto"/>
        </w:rPr>
        <w:t>在全球产业链重构加速与国际品牌本土化渗透的双重冲击下，国内服装市场竞争强度持续攀升。一方面，行业进入壁垒较低导致市场参与者数量众多，其中作坊式生产主体占比高达90%，同质化产品供给过剩进一步加剧市场竞争；另一方面，国际品牌凭借技术研发优势、产品创新能力及品牌溢价效应持续挤压本土市场空间，致使M公司等传统龙头企业面临市场份额萎缩与盈利能力下滑的双重压力。​</w:t>
      </w:r>
    </w:p>
    <w:p w14:paraId="1F1F1E78" w14:textId="77777777" w:rsidR="00000000" w:rsidRDefault="00000000">
      <w:pPr>
        <w:pStyle w:val="afd"/>
        <w:numPr>
          <w:ilvl w:val="0"/>
          <w:numId w:val="34"/>
        </w:numPr>
        <w:ind w:firstLine="486"/>
        <w:rPr>
          <w:color w:val="auto"/>
        </w:rPr>
      </w:pPr>
      <w:r>
        <w:rPr>
          <w:rFonts w:hint="eastAsia"/>
          <w:color w:val="auto"/>
        </w:rPr>
        <w:t>终端消费深度调整，理性消费主义抬头​</w:t>
      </w:r>
    </w:p>
    <w:p w14:paraId="07E0B165" w14:textId="77777777" w:rsidR="00000000" w:rsidRDefault="00000000">
      <w:pPr>
        <w:pStyle w:val="afd"/>
        <w:ind w:firstLine="486"/>
        <w:rPr>
          <w:rFonts w:hint="eastAsia"/>
          <w:color w:val="auto"/>
        </w:rPr>
      </w:pPr>
      <w:r>
        <w:rPr>
          <w:rFonts w:hint="eastAsia"/>
          <w:color w:val="auto"/>
        </w:rPr>
        <w:t>新冠疫情的爆发与持续对消费市场产生深远影响，服装消费呈现“理性化、性价比导向”的转型特征。2020年以来，全球服装行业格局加速分化，约20%的</w:t>
      </w:r>
      <w:r>
        <w:rPr>
          <w:rFonts w:hint="eastAsia"/>
          <w:color w:val="auto"/>
        </w:rPr>
        <w:lastRenderedPageBreak/>
        <w:t>企业因经营不善陷入破产清算困境。市场需求总量萎缩与原材料、劳动力等成本刚性上涨形成“双重挤压”，迫使部分企业陷入“促销引流-利润压缩-成本削减”的恶性循环。加之居民可支配收入增长乏力与消费预期转弱，显著抑制了终端消费意愿，加剧了零售市场的下行压力。</w:t>
      </w:r>
    </w:p>
    <w:p w14:paraId="52023453" w14:textId="77777777" w:rsidR="00000000" w:rsidRDefault="00000000">
      <w:pPr>
        <w:pStyle w:val="afd"/>
        <w:numPr>
          <w:ilvl w:val="0"/>
          <w:numId w:val="34"/>
        </w:numPr>
        <w:ind w:firstLine="486"/>
        <w:rPr>
          <w:color w:val="auto"/>
        </w:rPr>
      </w:pPr>
      <w:r>
        <w:rPr>
          <w:rFonts w:hint="eastAsia"/>
          <w:color w:val="auto"/>
        </w:rPr>
        <w:t>数字化渠道变革重塑业态，传统渠道优势弱化​</w:t>
      </w:r>
    </w:p>
    <w:p w14:paraId="399E3CAE" w14:textId="77777777" w:rsidR="00000000" w:rsidRDefault="00000000">
      <w:pPr>
        <w:pStyle w:val="afd"/>
        <w:ind w:firstLine="486"/>
        <w:rPr>
          <w:color w:val="auto"/>
        </w:rPr>
      </w:pPr>
      <w:r>
        <w:rPr>
          <w:rFonts w:hint="eastAsia"/>
          <w:color w:val="auto"/>
        </w:rPr>
        <w:t>电子商务的迅猛发展推动消费渠道发生结构性迁移，线下实体零售渠道面临生存挑战。尽管M公司已启动数字化转型战略，但在存量竞争主导的市场环境下，线上渠道流量红利逐渐消退，直播电商等新型营销模式未能实现预期的营收增长目标，而传统线下门店的体验优势难以有效转化为销售业绩，渠道结构失衡问题凸显。​</w:t>
      </w:r>
    </w:p>
    <w:p w14:paraId="068AA19A" w14:textId="77777777" w:rsidR="00000000" w:rsidRDefault="00000000">
      <w:pPr>
        <w:pStyle w:val="afc"/>
        <w:numPr>
          <w:ilvl w:val="0"/>
          <w:numId w:val="33"/>
        </w:numPr>
        <w:tabs>
          <w:tab w:val="left" w:pos="0"/>
        </w:tabs>
        <w:autoSpaceDE/>
        <w:autoSpaceDN/>
        <w:spacing w:before="207"/>
        <w:ind w:firstLine="567"/>
      </w:pPr>
      <w:bookmarkStart w:id="85" w:name="_Toc15225"/>
      <w:bookmarkStart w:id="86" w:name="_Toc21965"/>
      <w:r>
        <w:rPr>
          <w:rFonts w:hint="eastAsia"/>
        </w:rPr>
        <w:t>内部运营机制缺陷</w:t>
      </w:r>
      <w:bookmarkEnd w:id="85"/>
      <w:bookmarkEnd w:id="86"/>
    </w:p>
    <w:p w14:paraId="0F6641E0" w14:textId="77777777" w:rsidR="00000000" w:rsidRDefault="00000000">
      <w:pPr>
        <w:pStyle w:val="afd"/>
        <w:numPr>
          <w:ilvl w:val="0"/>
          <w:numId w:val="35"/>
        </w:numPr>
        <w:ind w:firstLine="486"/>
        <w:rPr>
          <w:color w:val="auto"/>
        </w:rPr>
      </w:pPr>
      <w:r>
        <w:rPr>
          <w:rFonts w:hint="eastAsia"/>
          <w:color w:val="auto"/>
        </w:rPr>
        <w:t>资产配置结构失衡，融资能力受限​​</w:t>
      </w:r>
    </w:p>
    <w:p w14:paraId="60F9F94D" w14:textId="77777777" w:rsidR="00000000" w:rsidRDefault="00000000">
      <w:pPr>
        <w:pStyle w:val="afd"/>
        <w:ind w:firstLine="486"/>
        <w:rPr>
          <w:color w:val="auto"/>
        </w:rPr>
      </w:pPr>
      <w:r>
        <w:rPr>
          <w:rFonts w:hint="eastAsia"/>
          <w:color w:val="auto"/>
        </w:rPr>
        <w:t>M公司采用的轻资产运营模式虽将固定资产占比控制在3%-4%的较低水平，有效降低了初始资本投入与折旧成本，但也导致企业可抵押资产规模不足，直接削弱其信用评级水平与传统信贷融资能力。固定资产的匮乏使得企业融资渠道受限，被迫依赖短期债务维持现金流周转，显著加剧了流动性风险。​</w:t>
      </w:r>
    </w:p>
    <w:p w14:paraId="70DDF163" w14:textId="77777777" w:rsidR="00000000" w:rsidRDefault="00000000">
      <w:pPr>
        <w:pStyle w:val="afd"/>
        <w:numPr>
          <w:ilvl w:val="0"/>
          <w:numId w:val="35"/>
        </w:numPr>
        <w:ind w:firstLine="486"/>
        <w:rPr>
          <w:color w:val="auto"/>
        </w:rPr>
      </w:pPr>
      <w:r>
        <w:rPr>
          <w:rFonts w:hint="eastAsia"/>
          <w:color w:val="auto"/>
        </w:rPr>
        <w:t>融资结构单一，企业财务弹性不足​</w:t>
      </w:r>
    </w:p>
    <w:p w14:paraId="0D824AD2" w14:textId="77777777" w:rsidR="00000000" w:rsidRDefault="00000000">
      <w:pPr>
        <w:pStyle w:val="afd"/>
        <w:ind w:firstLine="486"/>
        <w:rPr>
          <w:rFonts w:hint="eastAsia"/>
          <w:color w:val="auto"/>
        </w:rPr>
      </w:pPr>
      <w:r>
        <w:rPr>
          <w:rFonts w:hint="eastAsia"/>
          <w:color w:val="auto"/>
        </w:rPr>
        <w:t>轻资产运营模式企业融资策略呈现“短期化、单一化”特征，过度依赖短期银行借款与商业信用等债务融资方式，长期权益资本补充机制缺失，导致财务结构弹性不足。数据显示，其流动负债占总负债比重超过95%，短期偿债压力集中，在宏观经济波动或融资环境收紧时，极易引发资金链断裂风险。​</w:t>
      </w:r>
    </w:p>
    <w:p w14:paraId="5A7D0479" w14:textId="77777777" w:rsidR="00000000" w:rsidRDefault="00000000">
      <w:pPr>
        <w:pStyle w:val="afd"/>
        <w:numPr>
          <w:ilvl w:val="0"/>
          <w:numId w:val="35"/>
        </w:numPr>
        <w:ind w:firstLine="486"/>
        <w:rPr>
          <w:rFonts w:hint="eastAsia"/>
          <w:color w:val="auto"/>
        </w:rPr>
      </w:pPr>
      <w:bookmarkStart w:id="87" w:name="OLE_LINK11"/>
      <w:r>
        <w:rPr>
          <w:rFonts w:hint="eastAsia"/>
          <w:color w:val="auto"/>
        </w:rPr>
        <w:t>投资决策缺乏科学性，资本使用效率较低​</w:t>
      </w:r>
    </w:p>
    <w:bookmarkEnd w:id="87"/>
    <w:p w14:paraId="092179EA" w14:textId="77777777" w:rsidR="00000000" w:rsidRDefault="00000000">
      <w:pPr>
        <w:pStyle w:val="afd"/>
        <w:ind w:firstLine="486"/>
        <w:rPr>
          <w:color w:val="auto"/>
        </w:rPr>
      </w:pPr>
      <w:r>
        <w:rPr>
          <w:rFonts w:hint="eastAsia"/>
          <w:color w:val="auto"/>
        </w:rPr>
        <w:t>在对外投资层面，M公司战略布局存在明显失误，如对“16N”品牌的收购未达预期协同效应，“Karl Lagerfeld”品牌长期处于亏损状态，直至多年后才实现扭亏为盈；财务资产投资受市场波动影响显著，收益不确定性加剧了盈利波动风险。在对内投资层面，门店扩张、设备更新等决策缺乏科学的事前评价与事后管控，投资规模与经营绩效匹配度不足，导致资本利用效率低下。​</w:t>
      </w:r>
    </w:p>
    <w:p w14:paraId="644EC552" w14:textId="77777777" w:rsidR="00000000" w:rsidRDefault="00000000">
      <w:pPr>
        <w:pStyle w:val="afd"/>
        <w:numPr>
          <w:ilvl w:val="0"/>
          <w:numId w:val="35"/>
        </w:numPr>
        <w:ind w:firstLine="486"/>
        <w:rPr>
          <w:rFonts w:hint="eastAsia"/>
          <w:color w:val="auto"/>
        </w:rPr>
      </w:pPr>
      <w:r>
        <w:rPr>
          <w:rFonts w:hint="eastAsia"/>
          <w:color w:val="auto"/>
        </w:rPr>
        <w:t>供应链协同机制缺失，营运风险积聚​</w:t>
      </w:r>
    </w:p>
    <w:p w14:paraId="3CF4C749" w14:textId="77777777" w:rsidR="00000000" w:rsidRDefault="00000000">
      <w:pPr>
        <w:pStyle w:val="afd"/>
        <w:ind w:firstLine="486"/>
        <w:rPr>
          <w:rFonts w:hint="eastAsia"/>
          <w:color w:val="auto"/>
        </w:rPr>
      </w:pPr>
      <w:r>
        <w:rPr>
          <w:rFonts w:cs="宋体" w:hint="eastAsia"/>
          <w:color w:val="auto"/>
        </w:rPr>
        <w:t>在轻资产运营模式下，M公司</w:t>
      </w:r>
      <w:r>
        <w:rPr>
          <w:rFonts w:hint="eastAsia"/>
          <w:color w:val="auto"/>
        </w:rPr>
        <w:t>采用“订货会+加盟商”的产销模式，加盟商的市场预测能力局限易引发需求放大效应；外包生产模式虽降低了生产环节的资本投入，但也增加了产品质量管控难度；同时，供应链信息系统碎片化严重，上</w:t>
      </w:r>
    </w:p>
    <w:p w14:paraId="158E15F6" w14:textId="77777777" w:rsidR="00000000" w:rsidRDefault="00000000">
      <w:pPr>
        <w:ind w:firstLine="0"/>
        <w:jc w:val="left"/>
        <w:rPr>
          <w:rFonts w:hint="eastAsia"/>
        </w:rPr>
      </w:pPr>
      <w:r>
        <w:rPr>
          <w:rFonts w:hint="eastAsia"/>
        </w:rPr>
        <w:t>下游企业数据协同能力不足，进一步削弱了供应链响应速度。上述问题叠加长周</w:t>
      </w:r>
      <w:r>
        <w:rPr>
          <w:rFonts w:hint="eastAsia"/>
        </w:rPr>
        <w:lastRenderedPageBreak/>
        <w:t>期生产模式的制约，“牛鞭效应”凸显，导致库存积压风险持续累积。</w:t>
      </w:r>
      <w:bookmarkStart w:id="88" w:name="_Toc16060"/>
    </w:p>
    <w:p w14:paraId="06ED3B10" w14:textId="77777777" w:rsidR="00000000" w:rsidRDefault="00000000">
      <w:pPr>
        <w:pStyle w:val="afc"/>
        <w:numPr>
          <w:ilvl w:val="0"/>
          <w:numId w:val="33"/>
        </w:numPr>
        <w:tabs>
          <w:tab w:val="left" w:pos="0"/>
        </w:tabs>
        <w:autoSpaceDE/>
        <w:autoSpaceDN/>
        <w:spacing w:before="207"/>
        <w:ind w:firstLine="567"/>
        <w:rPr>
          <w:rFonts w:hint="eastAsia"/>
        </w:rPr>
      </w:pPr>
      <w:bookmarkStart w:id="89" w:name="_Toc22478"/>
      <w:r>
        <w:rPr>
          <w:rFonts w:hint="eastAsia"/>
        </w:rPr>
        <w:t>内外部因素的交互作用与风险传导​</w:t>
      </w:r>
      <w:bookmarkEnd w:id="88"/>
      <w:bookmarkEnd w:id="89"/>
    </w:p>
    <w:p w14:paraId="55FF8D3C" w14:textId="77777777" w:rsidR="00000000" w:rsidRDefault="00000000">
      <w:pPr>
        <w:pStyle w:val="afd"/>
        <w:ind w:firstLine="486"/>
        <w:rPr>
          <w:color w:val="auto"/>
        </w:rPr>
      </w:pPr>
      <w:r>
        <w:rPr>
          <w:rFonts w:cs="宋体" w:hint="eastAsia"/>
          <w:color w:val="auto"/>
        </w:rPr>
        <w:t>在轻资产运营模式下，</w:t>
      </w:r>
      <w:r>
        <w:rPr>
          <w:rFonts w:hint="eastAsia"/>
          <w:color w:val="auto"/>
        </w:rPr>
        <w:t>M公司面临的外部环境驱动因素与内部运营机制缺陷并非处于相互割裂的独立状态，二者实则通过“市场-运营-财务”这一具有递进性的传导链条，形成了动态且复杂的交互作用关系。​</w:t>
      </w:r>
    </w:p>
    <w:p w14:paraId="47DA0805" w14:textId="77777777" w:rsidR="00000000" w:rsidRDefault="00000000">
      <w:pPr>
        <w:pStyle w:val="afd"/>
        <w:ind w:firstLine="486"/>
        <w:rPr>
          <w:rFonts w:cs="宋体" w:hint="eastAsia"/>
          <w:color w:val="auto"/>
        </w:rPr>
      </w:pPr>
      <w:r>
        <w:rPr>
          <w:rFonts w:cs="宋体" w:hint="eastAsia"/>
          <w:color w:val="auto"/>
        </w:rPr>
        <w:t>从传导链条的起点来看，外部环境中的核心驱动因素主要涵盖三方面内容：一是市场竞争压力的持续升级，随着行业内企业数量的增加与产品同质化程度的提升，企业面临的市场份额争夺愈发激烈；二是消费需求的结构性转型，消费者对产品品质、功能及服务体验的要求不断提高，传统产品与服务模式难以适配新的消费需求；三是渠道格局的深度变革，线上渠道的快速崛起与线下渠道的数字化转型，打破了传统渠道的运营逻辑。这些外部因素并非直接作用于企业财务层面，而是首先通过终端市场产生影响----市场竞争加剧导致产品销量波动，消费转型引发库存积压或订单结构失衡，渠道变革则增加了渠道维护成本与库存管理难度，这些终端市场的变化直接传导至企业的运营环节，使得生产计划调整、供应链协调、库存管控等运营活动的难度与不确定性显著上升。​</w:t>
      </w:r>
    </w:p>
    <w:p w14:paraId="12727DC3" w14:textId="77777777" w:rsidR="00000000" w:rsidRDefault="00000000">
      <w:pPr>
        <w:pStyle w:val="afd"/>
        <w:ind w:firstLine="486"/>
        <w:rPr>
          <w:rFonts w:hint="eastAsia"/>
          <w:color w:val="auto"/>
        </w:rPr>
      </w:pPr>
      <w:r>
        <w:rPr>
          <w:rFonts w:hint="eastAsia"/>
          <w:color w:val="auto"/>
        </w:rPr>
        <w:t>而在轻资产运营模式下，企业内部运营机制存在的固有缺陷，进一步放大了上述外部冲击的影响效应。其中，资产配置失衡表现为固定资产与流动资产比例失调、核心业务与非核心业务资产投入错配等问题，导致企业在应对市场变化时难以快速调整资源投向，运营灵活性不足；融资结构单一体现为企业过度依赖银行贷款等债务融资，或股权融资占比过低，导致资本结构抗风险能力薄弱。当外部市场冲击传导至运营环节时，内部机制缺陷无法对冲击进行有效缓冲与化解，反而使得运营层面的问题进一步扩散，如资产配置失衡导致运营效率下降，融资结构单一首先会通过资金供给的刚性约束引发企业资金周转压力，这种压力会沿着“流动性紧张-偿债能力恶化-现金流风险爆发”的路径持续传导，最终导致企业财务风险敞口不断扩大。</w:t>
      </w:r>
    </w:p>
    <w:p w14:paraId="4D4F626D" w14:textId="77777777" w:rsidR="00000000" w:rsidRDefault="00000000">
      <w:pPr>
        <w:pStyle w:val="afd"/>
        <w:ind w:firstLine="486"/>
        <w:rPr>
          <w:rFonts w:cs="宋体" w:hint="eastAsia"/>
          <w:color w:val="auto"/>
        </w:rPr>
      </w:pPr>
      <w:r>
        <w:rPr>
          <w:rFonts w:cs="宋体" w:hint="eastAsia"/>
          <w:color w:val="auto"/>
        </w:rPr>
        <w:t>本文构建的“外部驱动-内部放大-链条传导”分析框架，系统揭示了轻资产运营模式下M公司财务风险从产生到扩散的完整作用逻辑及关键传导路径。该框架的理论价值主要体现在为后续财务风险防控措施的精准设计提供核心理论支撑：依托此框架，M公司应针对“市场-运营-财务”传导链条中各环节的关键风险节点，制定靶向性干预方案。具体而言，在市场环节，需建立市场需求预警机制与行业竞争动态监测机制，实现对外部风险源的提前识别；在运营环节，应优化资产配置结构并完善供应链管理体系，降低内部运营过程中的风险放大效应；</w:t>
      </w:r>
      <w:r>
        <w:rPr>
          <w:rFonts w:cs="宋体" w:hint="eastAsia"/>
          <w:color w:val="auto"/>
        </w:rPr>
        <w:lastRenderedPageBreak/>
        <w:t>在财务环节，要合理调整融资结构且强化现金流管控能力，提升财务系统对风险的抵御能力。通过对各环节风险节点的有效拦截，可阻断风险在传导链条中的扩散路径，最终增强企业财务系统的韧性与整体抗风险能力。</w:t>
      </w:r>
    </w:p>
    <w:p w14:paraId="797FDF76" w14:textId="77777777" w:rsidR="00000000" w:rsidRDefault="00000000">
      <w:pPr>
        <w:pStyle w:val="afd"/>
        <w:ind w:firstLine="486"/>
        <w:rPr>
          <w:color w:val="auto"/>
        </w:rPr>
      </w:pPr>
    </w:p>
    <w:p w14:paraId="39ACB957" w14:textId="77777777" w:rsidR="00000000" w:rsidRDefault="00000000">
      <w:pPr>
        <w:pStyle w:val="afd"/>
        <w:ind w:firstLine="486"/>
        <w:rPr>
          <w:color w:val="auto"/>
        </w:rPr>
      </w:pPr>
    </w:p>
    <w:p w14:paraId="324F01AB" w14:textId="77777777" w:rsidR="00000000" w:rsidRDefault="00000000">
      <w:pPr>
        <w:pStyle w:val="afd"/>
        <w:ind w:firstLine="486"/>
        <w:rPr>
          <w:color w:val="auto"/>
        </w:rPr>
      </w:pPr>
    </w:p>
    <w:p w14:paraId="1BFFC667" w14:textId="77777777" w:rsidR="00000000" w:rsidRDefault="00000000">
      <w:pPr>
        <w:pStyle w:val="afd"/>
        <w:ind w:firstLine="486"/>
        <w:rPr>
          <w:color w:val="auto"/>
        </w:rPr>
      </w:pPr>
    </w:p>
    <w:p w14:paraId="3E6B299F" w14:textId="77777777" w:rsidR="00000000" w:rsidRDefault="00000000">
      <w:pPr>
        <w:pStyle w:val="afd"/>
        <w:ind w:firstLine="486"/>
        <w:rPr>
          <w:color w:val="auto"/>
        </w:rPr>
      </w:pPr>
    </w:p>
    <w:p w14:paraId="30288830" w14:textId="77777777" w:rsidR="00000000" w:rsidRDefault="00000000">
      <w:pPr>
        <w:pStyle w:val="afd"/>
        <w:ind w:firstLine="486"/>
        <w:rPr>
          <w:color w:val="auto"/>
        </w:rPr>
        <w:sectPr w:rsidR="00000000">
          <w:footnotePr>
            <w:numRestart w:val="eachPage"/>
          </w:footnotePr>
          <w:pgSz w:w="11909" w:h="16834"/>
          <w:pgMar w:top="1701" w:right="1701" w:bottom="1418" w:left="1701" w:header="1304" w:footer="1021" w:gutter="0"/>
          <w:cols w:space="720"/>
          <w:docGrid w:type="linesAndChars" w:linePitch="415" w:charSpace="614"/>
        </w:sectPr>
      </w:pPr>
    </w:p>
    <w:p w14:paraId="1DFD6199" w14:textId="77777777" w:rsidR="00000000" w:rsidRDefault="00000000">
      <w:pPr>
        <w:pStyle w:val="afa"/>
        <w:numPr>
          <w:ilvl w:val="0"/>
          <w:numId w:val="0"/>
        </w:numPr>
        <w:spacing w:before="415" w:after="207"/>
        <w:ind w:left="402"/>
        <w:rPr>
          <w:rFonts w:hint="default"/>
        </w:rPr>
      </w:pPr>
      <w:bookmarkStart w:id="90" w:name="_Toc24705"/>
      <w:bookmarkStart w:id="91" w:name="_Toc26813"/>
      <w:r>
        <w:lastRenderedPageBreak/>
        <w:t>第五章</w:t>
      </w:r>
      <w:r>
        <w:t xml:space="preserve"> </w:t>
      </w:r>
      <w:r>
        <w:t>基于熵权</w:t>
      </w:r>
      <w:r>
        <w:t>-TOPSIS</w:t>
      </w:r>
      <w:r>
        <w:t>方法的</w:t>
      </w:r>
      <w:r>
        <w:t>M</w:t>
      </w:r>
      <w:r>
        <w:t>公司财务风险评价</w:t>
      </w:r>
      <w:bookmarkEnd w:id="90"/>
      <w:bookmarkEnd w:id="91"/>
    </w:p>
    <w:p w14:paraId="1C95DAFD" w14:textId="77777777" w:rsidR="00000000" w:rsidRDefault="00000000">
      <w:pPr>
        <w:pStyle w:val="afb"/>
        <w:numPr>
          <w:ilvl w:val="0"/>
          <w:numId w:val="36"/>
        </w:numPr>
        <w:tabs>
          <w:tab w:val="left" w:pos="0"/>
        </w:tabs>
        <w:spacing w:before="207" w:after="207"/>
        <w:rPr>
          <w:rFonts w:hint="default"/>
        </w:rPr>
      </w:pPr>
      <w:bookmarkStart w:id="92" w:name="_Toc19772"/>
      <w:bookmarkStart w:id="93" w:name="_Toc14656"/>
      <w:r>
        <w:t>熵权</w:t>
      </w:r>
      <w:r>
        <w:t>-TOPSIS</w:t>
      </w:r>
      <w:r>
        <w:t>方法应用的适用性分析</w:t>
      </w:r>
      <w:bookmarkEnd w:id="92"/>
      <w:bookmarkEnd w:id="93"/>
      <w:r>
        <w:t xml:space="preserve"> </w:t>
      </w:r>
    </w:p>
    <w:p w14:paraId="3BFEDC6D" w14:textId="77777777" w:rsidR="00000000" w:rsidRDefault="00000000">
      <w:pPr>
        <w:pStyle w:val="afd"/>
        <w:ind w:firstLine="486"/>
        <w:rPr>
          <w:rFonts w:cs="宋体" w:hint="eastAsia"/>
          <w:color w:val="auto"/>
        </w:rPr>
      </w:pPr>
      <w:r>
        <w:rPr>
          <w:rFonts w:cs="宋体" w:hint="eastAsia"/>
          <w:color w:val="auto"/>
        </w:rPr>
        <w:t>科学合理的财务风险评价体系有助于企业前瞻性地识别潜在财务危机并构建动态响应机制。本研究拟采用熵权-TOPSIS多准则决策模型，针对轻资产运营模式下的M公司开展系统性财务风险管理研究。基于指标可获取性、行业适配性及风险覆盖全面性三维度原则，构建了涵盖资本筹资、投资、营运及收益分配的多层次评价指标体系。通过集成客观赋权与逼近理想解排序法，该模型可量化企业财务风险敞口并识别关键驱动因素，这不仅为管理层实施精准风险干预提供了决策支撑，更有助于推动企业全面风险管理体系的效能跃升。</w:t>
      </w:r>
    </w:p>
    <w:p w14:paraId="3B5B0422" w14:textId="77777777" w:rsidR="00000000" w:rsidRDefault="00000000">
      <w:pPr>
        <w:pStyle w:val="afd"/>
        <w:ind w:firstLine="486"/>
        <w:rPr>
          <w:rFonts w:cs="宋体" w:hint="eastAsia"/>
          <w:color w:val="auto"/>
        </w:rPr>
      </w:pPr>
      <w:r>
        <w:rPr>
          <w:rFonts w:cs="宋体" w:hint="eastAsia"/>
          <w:color w:val="auto"/>
        </w:rPr>
        <w:t>当前财务风险评价领域的主流方法体系包含多元统计模型、机器学习算法及多准则决策技术三大分支。其中，Z-score模型与F分数模型作为经典预测工具，通过财务报告数据构建线性判别函数，虽具备数据可获取性与计算简便性优势，但其输出结果为单一综合得分，缺乏多维风险诊断能力，难以解构风险因子的作用路径与交互效应。</w:t>
      </w:r>
    </w:p>
    <w:p w14:paraId="2DBA7195" w14:textId="77777777" w:rsidR="00000000" w:rsidRDefault="00000000">
      <w:pPr>
        <w:pStyle w:val="afd"/>
        <w:ind w:firstLine="486"/>
        <w:rPr>
          <w:rFonts w:cs="宋体" w:hint="eastAsia"/>
          <w:color w:val="auto"/>
        </w:rPr>
      </w:pPr>
      <w:r>
        <w:rPr>
          <w:rFonts w:cs="宋体" w:hint="eastAsia"/>
          <w:color w:val="auto"/>
        </w:rPr>
        <w:t>因子分析法依托SMSS统计工具实施降维处理，通过提取公因子重构评价体系，虽能消除指标共线性问题，然而降维处理可能导致原始信息损耗，从而降低评价精度。Logistic回归模型通过概率预测实现风险量化，对变量分布假设要求宽松，但其固有缺陷在于难以处理多重共线性问题，且模型泛化能力存在局限，致使预测稳定性欠佳。</w:t>
      </w:r>
    </w:p>
    <w:p w14:paraId="64A423D0" w14:textId="77777777" w:rsidR="00000000" w:rsidRDefault="00000000">
      <w:pPr>
        <w:pStyle w:val="afd"/>
        <w:ind w:firstLine="486"/>
        <w:rPr>
          <w:rFonts w:cs="宋体" w:hint="eastAsia"/>
          <w:color w:val="auto"/>
        </w:rPr>
      </w:pPr>
      <w:r>
        <w:rPr>
          <w:rFonts w:cs="宋体" w:hint="eastAsia"/>
          <w:color w:val="auto"/>
        </w:rPr>
        <w:t>层次分析法（AHM）通过构建判断矩阵实现主观权重分配，但其决策过程依赖领域专家主观判断，易导致结论偏误。BM神经网络凭借深度学习架构实现非线性映射，具有客观性与自适应优势，但其“黑箱”特性导致决策过程不可解释，削弱了结论的可信度与实用性。</w:t>
      </w:r>
    </w:p>
    <w:p w14:paraId="07FED5BB" w14:textId="77777777" w:rsidR="00000000" w:rsidRDefault="00000000">
      <w:pPr>
        <w:pStyle w:val="afd"/>
        <w:ind w:firstLine="486"/>
        <w:rPr>
          <w:rFonts w:cs="宋体" w:hint="eastAsia"/>
          <w:color w:val="auto"/>
        </w:rPr>
      </w:pPr>
      <w:r>
        <w:rPr>
          <w:rFonts w:cs="宋体" w:hint="eastAsia"/>
          <w:color w:val="auto"/>
        </w:rPr>
        <w:t>相较于上述研究方法，熵权-TOPSIS集成模型具备显著的方法论优势：一方面，熵权法依托信息熵实现客观赋权，能够有效规避人为主观判断带来的赋权偏差；另一方面，TOPSIS法搭建多准则决策分析框架，可支撑多维度指标的综合评价与排序；其三，该方法实现评价流程标准化，通过构建加权规范化矩阵与相对贴近度排序，确保评价维度完整性与结果可比性。本研究拟采用该复合模型，首先运用熵权法确定指标客观权重，继而构建TOPSIS决策矩阵，通过双维度排序机制实现财务风险的多层次诊断，</w:t>
      </w:r>
      <w:bookmarkStart w:id="94" w:name="OLE_LINK12"/>
      <w:r>
        <w:rPr>
          <w:rFonts w:cs="宋体" w:hint="eastAsia"/>
          <w:color w:val="auto"/>
        </w:rPr>
        <w:t>为处于轻资产运营模式的服装企业开展风险治理工作提供相应的理论依据与支撑。</w:t>
      </w:r>
    </w:p>
    <w:p w14:paraId="565A2160" w14:textId="77777777" w:rsidR="00000000" w:rsidRDefault="00000000">
      <w:pPr>
        <w:pStyle w:val="afd"/>
        <w:ind w:firstLine="486"/>
        <w:rPr>
          <w:rFonts w:cs="宋体" w:hint="eastAsia"/>
          <w:color w:val="auto"/>
        </w:rPr>
      </w:pPr>
    </w:p>
    <w:p w14:paraId="5ABF53CA" w14:textId="77777777" w:rsidR="00000000" w:rsidRDefault="00000000">
      <w:pPr>
        <w:pStyle w:val="afb"/>
        <w:numPr>
          <w:ilvl w:val="0"/>
          <w:numId w:val="36"/>
        </w:numPr>
        <w:tabs>
          <w:tab w:val="left" w:pos="0"/>
        </w:tabs>
        <w:spacing w:before="207" w:after="207"/>
        <w:rPr>
          <w:rFonts w:hint="default"/>
        </w:rPr>
      </w:pPr>
      <w:bookmarkStart w:id="95" w:name="_Toc1386"/>
      <w:bookmarkStart w:id="96" w:name="_Toc29352"/>
      <w:bookmarkEnd w:id="94"/>
      <w:r>
        <w:t>基于熵权</w:t>
      </w:r>
      <w:r>
        <w:t>-TOPSIS</w:t>
      </w:r>
      <w:r>
        <w:t>方法的</w:t>
      </w:r>
      <w:r>
        <w:t>M</w:t>
      </w:r>
      <w:r>
        <w:t>公司财务风险评价过程及分析</w:t>
      </w:r>
      <w:bookmarkEnd w:id="95"/>
      <w:bookmarkEnd w:id="96"/>
    </w:p>
    <w:p w14:paraId="78FE4625" w14:textId="77777777" w:rsidR="00000000" w:rsidRDefault="00000000">
      <w:pPr>
        <w:pStyle w:val="afd"/>
        <w:ind w:firstLine="486"/>
        <w:rPr>
          <w:rFonts w:cs="宋体" w:hint="eastAsia"/>
          <w:color w:val="auto"/>
        </w:rPr>
      </w:pPr>
      <w:r>
        <w:rPr>
          <w:rFonts w:cs="宋体" w:hint="eastAsia"/>
          <w:color w:val="auto"/>
        </w:rPr>
        <w:t>本文以指标选取为切入点，严格遵循可得性、适用性及全面性原则，充分结合轻资产运营模式的财务特征与服装行业的运行规律，</w:t>
      </w:r>
      <w:bookmarkStart w:id="97" w:name="OLE_LINK13"/>
      <w:r>
        <w:rPr>
          <w:rFonts w:cs="宋体" w:hint="eastAsia"/>
          <w:color w:val="auto"/>
        </w:rPr>
        <w:t>立足募资、投资、营运、收益分配四大风险维度，精心筛选 15 项量化指标（具体指标详见表5-1），并结合国务院国资委《2023 年企业绩效评价标准值》中的服装行业通用指标，借鉴陈愉翔（2023）、谢佩帛（2024）等学者的既有研究成果，最终构建适配轻资产运营模式的财务风险评价体系。</w:t>
      </w:r>
    </w:p>
    <w:bookmarkEnd w:id="97"/>
    <w:p w14:paraId="4DD5EA82" w14:textId="77777777" w:rsidR="00000000" w:rsidRDefault="00000000">
      <w:pPr>
        <w:pStyle w:val="afd"/>
        <w:spacing w:beforeLines="50" w:before="207" w:afterLines="50" w:after="207"/>
        <w:ind w:firstLineChars="0" w:firstLine="0"/>
        <w:jc w:val="center"/>
        <w:rPr>
          <w:color w:val="auto"/>
          <w:sz w:val="21"/>
          <w:szCs w:val="21"/>
        </w:rPr>
      </w:pPr>
      <w:r>
        <w:rPr>
          <w:rFonts w:hint="eastAsia"/>
          <w:color w:val="auto"/>
          <w:sz w:val="21"/>
          <w:szCs w:val="21"/>
        </w:rPr>
        <w:t>表5-1 M公司财务风险评价指标体系</w:t>
      </w:r>
    </w:p>
    <w:tbl>
      <w:tblPr>
        <w:tblW w:w="8638" w:type="dxa"/>
        <w:jc w:val="center"/>
        <w:tblInd w:w="0" w:type="dxa"/>
        <w:tblCellMar>
          <w:top w:w="45" w:type="dxa"/>
          <w:left w:w="96" w:type="dxa"/>
          <w:bottom w:w="45" w:type="dxa"/>
          <w:right w:w="96" w:type="dxa"/>
        </w:tblCellMar>
        <w:tblLook w:val="0000" w:firstRow="0" w:lastRow="0" w:firstColumn="0" w:lastColumn="0" w:noHBand="0" w:noVBand="0"/>
      </w:tblPr>
      <w:tblGrid>
        <w:gridCol w:w="2800"/>
        <w:gridCol w:w="3640"/>
        <w:gridCol w:w="2198"/>
      </w:tblGrid>
      <w:tr w:rsidR="00000000" w14:paraId="0AF8E113" w14:textId="77777777">
        <w:trPr>
          <w:tblHeader/>
          <w:jc w:val="center"/>
        </w:trPr>
        <w:tc>
          <w:tcPr>
            <w:tcW w:w="2800" w:type="dxa"/>
            <w:tcBorders>
              <w:top w:val="single" w:sz="12" w:space="0" w:color="000000"/>
              <w:left w:val="nil"/>
              <w:bottom w:val="single" w:sz="4" w:space="0" w:color="000000"/>
              <w:right w:val="nil"/>
            </w:tcBorders>
            <w:noWrap/>
            <w:vAlign w:val="center"/>
          </w:tcPr>
          <w:p w14:paraId="22925AD0" w14:textId="77777777" w:rsidR="00000000" w:rsidRDefault="00000000">
            <w:pPr>
              <w:widowControl/>
              <w:snapToGrid w:val="0"/>
              <w:ind w:firstLine="0"/>
              <w:jc w:val="center"/>
              <w:textAlignment w:val="bottom"/>
              <w:rPr>
                <w:rFonts w:ascii="宋体" w:hAnsi="宋体" w:cs="宋体"/>
                <w:b/>
                <w:bCs/>
                <w:sz w:val="21"/>
                <w:szCs w:val="21"/>
              </w:rPr>
            </w:pPr>
            <w:r>
              <w:rPr>
                <w:rFonts w:ascii="宋体" w:hAnsi="宋体" w:cs="宋体" w:hint="eastAsia"/>
                <w:b/>
                <w:bCs/>
                <w:kern w:val="0"/>
                <w:sz w:val="21"/>
                <w:szCs w:val="21"/>
                <w:lang w:bidi="ar"/>
              </w:rPr>
              <w:t>一级指标</w:t>
            </w:r>
          </w:p>
        </w:tc>
        <w:tc>
          <w:tcPr>
            <w:tcW w:w="3640" w:type="dxa"/>
            <w:tcBorders>
              <w:top w:val="single" w:sz="12" w:space="0" w:color="000000"/>
              <w:left w:val="nil"/>
              <w:bottom w:val="single" w:sz="4" w:space="0" w:color="000000"/>
              <w:right w:val="nil"/>
            </w:tcBorders>
            <w:noWrap/>
            <w:vAlign w:val="center"/>
          </w:tcPr>
          <w:p w14:paraId="63B2B261" w14:textId="77777777" w:rsidR="00000000" w:rsidRDefault="00000000">
            <w:pPr>
              <w:widowControl/>
              <w:snapToGrid w:val="0"/>
              <w:ind w:firstLine="0"/>
              <w:jc w:val="center"/>
              <w:textAlignment w:val="bottom"/>
              <w:rPr>
                <w:rFonts w:ascii="宋体" w:hAnsi="宋体" w:cs="宋体"/>
                <w:b/>
                <w:bCs/>
                <w:sz w:val="21"/>
                <w:szCs w:val="21"/>
              </w:rPr>
            </w:pPr>
            <w:r>
              <w:rPr>
                <w:rFonts w:ascii="宋体" w:hAnsi="宋体" w:cs="宋体" w:hint="eastAsia"/>
                <w:b/>
                <w:bCs/>
                <w:kern w:val="0"/>
                <w:sz w:val="21"/>
                <w:szCs w:val="21"/>
                <w:lang w:bidi="ar"/>
              </w:rPr>
              <w:t>二级指标</w:t>
            </w:r>
          </w:p>
        </w:tc>
        <w:tc>
          <w:tcPr>
            <w:tcW w:w="2198" w:type="dxa"/>
            <w:tcBorders>
              <w:top w:val="single" w:sz="12" w:space="0" w:color="000000"/>
              <w:left w:val="nil"/>
              <w:bottom w:val="single" w:sz="4" w:space="0" w:color="000000"/>
              <w:right w:val="nil"/>
            </w:tcBorders>
            <w:noWrap/>
            <w:vAlign w:val="center"/>
          </w:tcPr>
          <w:p w14:paraId="597224C1" w14:textId="77777777" w:rsidR="00000000" w:rsidRDefault="00000000">
            <w:pPr>
              <w:widowControl/>
              <w:snapToGrid w:val="0"/>
              <w:ind w:firstLine="0"/>
              <w:jc w:val="center"/>
              <w:textAlignment w:val="bottom"/>
              <w:rPr>
                <w:rFonts w:ascii="宋体" w:hAnsi="宋体" w:cs="宋体"/>
                <w:b/>
                <w:bCs/>
                <w:sz w:val="21"/>
                <w:szCs w:val="21"/>
              </w:rPr>
            </w:pPr>
            <w:r>
              <w:rPr>
                <w:rFonts w:ascii="宋体" w:hAnsi="宋体" w:cs="宋体" w:hint="eastAsia"/>
                <w:b/>
                <w:bCs/>
                <w:kern w:val="0"/>
                <w:sz w:val="21"/>
                <w:szCs w:val="21"/>
                <w:lang w:bidi="ar"/>
              </w:rPr>
              <w:t>指标性质</w:t>
            </w:r>
          </w:p>
        </w:tc>
      </w:tr>
      <w:tr w:rsidR="00000000" w14:paraId="435F5708" w14:textId="77777777">
        <w:trPr>
          <w:jc w:val="center"/>
        </w:trPr>
        <w:tc>
          <w:tcPr>
            <w:tcW w:w="2800" w:type="dxa"/>
            <w:vMerge w:val="restart"/>
            <w:tcBorders>
              <w:top w:val="single" w:sz="4" w:space="0" w:color="000000"/>
              <w:left w:val="nil"/>
              <w:bottom w:val="nil"/>
              <w:right w:val="nil"/>
            </w:tcBorders>
            <w:noWrap/>
            <w:vAlign w:val="center"/>
          </w:tcPr>
          <w:p w14:paraId="08DF4B08" w14:textId="77777777" w:rsidR="00000000" w:rsidRDefault="00000000">
            <w:pPr>
              <w:widowControl/>
              <w:snapToGrid w:val="0"/>
              <w:ind w:firstLine="0"/>
              <w:jc w:val="center"/>
              <w:textAlignment w:val="center"/>
              <w:rPr>
                <w:rFonts w:ascii="宋体" w:hAnsi="宋体" w:cs="宋体"/>
                <w:sz w:val="21"/>
                <w:szCs w:val="21"/>
              </w:rPr>
            </w:pPr>
            <w:r>
              <w:rPr>
                <w:rFonts w:ascii="宋体" w:hAnsi="宋体" w:cs="宋体" w:hint="eastAsia"/>
                <w:kern w:val="0"/>
                <w:sz w:val="21"/>
                <w:szCs w:val="21"/>
                <w:lang w:bidi="ar"/>
              </w:rPr>
              <w:t>筹资风险</w:t>
            </w:r>
          </w:p>
        </w:tc>
        <w:tc>
          <w:tcPr>
            <w:tcW w:w="3640" w:type="dxa"/>
            <w:tcBorders>
              <w:top w:val="single" w:sz="4" w:space="0" w:color="000000"/>
              <w:left w:val="nil"/>
              <w:bottom w:val="nil"/>
              <w:right w:val="nil"/>
            </w:tcBorders>
            <w:noWrap/>
            <w:vAlign w:val="center"/>
          </w:tcPr>
          <w:p w14:paraId="794E1D10" w14:textId="77777777" w:rsidR="00000000" w:rsidRDefault="00000000">
            <w:pPr>
              <w:widowControl/>
              <w:snapToGrid w:val="0"/>
              <w:ind w:firstLine="0"/>
              <w:jc w:val="center"/>
              <w:textAlignment w:val="bottom"/>
              <w:rPr>
                <w:rFonts w:ascii="宋体" w:hAnsi="宋体" w:cs="宋体"/>
                <w:sz w:val="21"/>
                <w:szCs w:val="21"/>
              </w:rPr>
            </w:pPr>
            <w:r>
              <w:rPr>
                <w:rFonts w:ascii="宋体" w:hAnsi="宋体" w:cs="宋体" w:hint="eastAsia"/>
                <w:kern w:val="0"/>
                <w:sz w:val="21"/>
                <w:szCs w:val="21"/>
                <w:lang w:bidi="ar"/>
              </w:rPr>
              <w:t>流动比率A11</w:t>
            </w:r>
          </w:p>
        </w:tc>
        <w:tc>
          <w:tcPr>
            <w:tcW w:w="2198" w:type="dxa"/>
            <w:tcBorders>
              <w:top w:val="single" w:sz="4" w:space="0" w:color="000000"/>
              <w:left w:val="nil"/>
              <w:bottom w:val="nil"/>
              <w:right w:val="nil"/>
            </w:tcBorders>
            <w:noWrap/>
            <w:vAlign w:val="center"/>
          </w:tcPr>
          <w:p w14:paraId="44BDE0A1" w14:textId="77777777" w:rsidR="00000000" w:rsidRDefault="00000000">
            <w:pPr>
              <w:widowControl/>
              <w:snapToGrid w:val="0"/>
              <w:ind w:firstLine="0"/>
              <w:jc w:val="center"/>
              <w:textAlignment w:val="bottom"/>
              <w:rPr>
                <w:rFonts w:ascii="宋体" w:hAnsi="宋体" w:cs="宋体"/>
                <w:sz w:val="21"/>
                <w:szCs w:val="21"/>
              </w:rPr>
            </w:pPr>
            <w:r>
              <w:rPr>
                <w:rFonts w:ascii="宋体" w:hAnsi="宋体" w:cs="宋体" w:hint="eastAsia"/>
                <w:kern w:val="0"/>
                <w:sz w:val="21"/>
                <w:szCs w:val="21"/>
                <w:lang w:bidi="ar"/>
              </w:rPr>
              <w:t>适度型</w:t>
            </w:r>
          </w:p>
        </w:tc>
      </w:tr>
      <w:tr w:rsidR="00000000" w14:paraId="2F5FD50B" w14:textId="77777777">
        <w:trPr>
          <w:jc w:val="center"/>
        </w:trPr>
        <w:tc>
          <w:tcPr>
            <w:tcW w:w="2800" w:type="dxa"/>
            <w:vMerge/>
            <w:tcBorders>
              <w:top w:val="nil"/>
              <w:left w:val="nil"/>
              <w:bottom w:val="nil"/>
              <w:right w:val="nil"/>
            </w:tcBorders>
            <w:noWrap/>
            <w:vAlign w:val="center"/>
          </w:tcPr>
          <w:p w14:paraId="3B9A9FE1" w14:textId="77777777" w:rsidR="00000000" w:rsidRDefault="00000000">
            <w:pPr>
              <w:snapToGrid w:val="0"/>
              <w:ind w:firstLine="0"/>
              <w:jc w:val="center"/>
              <w:rPr>
                <w:rFonts w:ascii="宋体" w:hAnsi="宋体" w:cs="宋体"/>
                <w:sz w:val="21"/>
                <w:szCs w:val="21"/>
              </w:rPr>
            </w:pPr>
          </w:p>
        </w:tc>
        <w:tc>
          <w:tcPr>
            <w:tcW w:w="3640" w:type="dxa"/>
            <w:tcBorders>
              <w:top w:val="nil"/>
              <w:left w:val="nil"/>
              <w:bottom w:val="nil"/>
              <w:right w:val="nil"/>
            </w:tcBorders>
            <w:noWrap/>
            <w:vAlign w:val="center"/>
          </w:tcPr>
          <w:p w14:paraId="35F449A4" w14:textId="77777777" w:rsidR="00000000" w:rsidRDefault="00000000">
            <w:pPr>
              <w:widowControl/>
              <w:snapToGrid w:val="0"/>
              <w:ind w:firstLine="0"/>
              <w:jc w:val="center"/>
              <w:textAlignment w:val="bottom"/>
              <w:rPr>
                <w:rFonts w:ascii="宋体" w:hAnsi="宋体" w:cs="宋体"/>
                <w:sz w:val="21"/>
                <w:szCs w:val="21"/>
              </w:rPr>
            </w:pPr>
            <w:r>
              <w:rPr>
                <w:rFonts w:ascii="宋体" w:hAnsi="宋体" w:cs="宋体" w:hint="eastAsia"/>
                <w:kern w:val="0"/>
                <w:sz w:val="21"/>
                <w:szCs w:val="21"/>
                <w:lang w:bidi="ar"/>
              </w:rPr>
              <w:t>速动比率A12</w:t>
            </w:r>
          </w:p>
        </w:tc>
        <w:tc>
          <w:tcPr>
            <w:tcW w:w="2198" w:type="dxa"/>
            <w:tcBorders>
              <w:top w:val="nil"/>
              <w:left w:val="nil"/>
              <w:bottom w:val="nil"/>
              <w:right w:val="nil"/>
            </w:tcBorders>
            <w:noWrap/>
            <w:vAlign w:val="center"/>
          </w:tcPr>
          <w:p w14:paraId="77B9D651" w14:textId="77777777" w:rsidR="00000000" w:rsidRDefault="00000000">
            <w:pPr>
              <w:widowControl/>
              <w:snapToGrid w:val="0"/>
              <w:ind w:firstLine="0"/>
              <w:jc w:val="center"/>
              <w:textAlignment w:val="bottom"/>
              <w:rPr>
                <w:rFonts w:ascii="宋体" w:hAnsi="宋体" w:cs="宋体"/>
                <w:sz w:val="21"/>
                <w:szCs w:val="21"/>
              </w:rPr>
            </w:pPr>
            <w:r>
              <w:rPr>
                <w:rFonts w:ascii="宋体" w:hAnsi="宋体" w:cs="宋体" w:hint="eastAsia"/>
                <w:kern w:val="0"/>
                <w:sz w:val="21"/>
                <w:szCs w:val="21"/>
                <w:lang w:bidi="ar"/>
              </w:rPr>
              <w:t>适度型</w:t>
            </w:r>
          </w:p>
        </w:tc>
      </w:tr>
      <w:tr w:rsidR="00000000" w14:paraId="27C2446D" w14:textId="77777777">
        <w:trPr>
          <w:jc w:val="center"/>
        </w:trPr>
        <w:tc>
          <w:tcPr>
            <w:tcW w:w="2800" w:type="dxa"/>
            <w:vMerge/>
            <w:tcBorders>
              <w:top w:val="nil"/>
              <w:left w:val="nil"/>
              <w:bottom w:val="nil"/>
              <w:right w:val="nil"/>
            </w:tcBorders>
            <w:noWrap/>
            <w:vAlign w:val="center"/>
          </w:tcPr>
          <w:p w14:paraId="0A7CC4F7" w14:textId="77777777" w:rsidR="00000000" w:rsidRDefault="00000000">
            <w:pPr>
              <w:snapToGrid w:val="0"/>
              <w:ind w:firstLine="0"/>
              <w:jc w:val="center"/>
              <w:rPr>
                <w:rFonts w:ascii="宋体" w:hAnsi="宋体" w:cs="宋体"/>
                <w:sz w:val="21"/>
                <w:szCs w:val="21"/>
              </w:rPr>
            </w:pPr>
          </w:p>
        </w:tc>
        <w:tc>
          <w:tcPr>
            <w:tcW w:w="3640" w:type="dxa"/>
            <w:tcBorders>
              <w:top w:val="nil"/>
              <w:left w:val="nil"/>
              <w:bottom w:val="nil"/>
              <w:right w:val="nil"/>
            </w:tcBorders>
            <w:noWrap/>
            <w:vAlign w:val="center"/>
          </w:tcPr>
          <w:p w14:paraId="6F9CF385" w14:textId="77777777" w:rsidR="00000000" w:rsidRDefault="00000000">
            <w:pPr>
              <w:widowControl/>
              <w:snapToGrid w:val="0"/>
              <w:ind w:firstLine="0"/>
              <w:jc w:val="center"/>
              <w:textAlignment w:val="bottom"/>
              <w:rPr>
                <w:rFonts w:ascii="宋体" w:hAnsi="宋体" w:cs="宋体"/>
                <w:sz w:val="21"/>
                <w:szCs w:val="21"/>
              </w:rPr>
            </w:pPr>
            <w:r>
              <w:rPr>
                <w:rFonts w:ascii="宋体" w:hAnsi="宋体" w:cs="宋体" w:hint="eastAsia"/>
                <w:kern w:val="0"/>
                <w:sz w:val="21"/>
                <w:szCs w:val="21"/>
                <w:lang w:bidi="ar"/>
              </w:rPr>
              <w:t>产权比率A13</w:t>
            </w:r>
          </w:p>
        </w:tc>
        <w:tc>
          <w:tcPr>
            <w:tcW w:w="2198" w:type="dxa"/>
            <w:tcBorders>
              <w:top w:val="nil"/>
              <w:left w:val="nil"/>
              <w:bottom w:val="nil"/>
              <w:right w:val="nil"/>
            </w:tcBorders>
            <w:noWrap/>
            <w:vAlign w:val="center"/>
          </w:tcPr>
          <w:p w14:paraId="73373391" w14:textId="77777777" w:rsidR="00000000" w:rsidRDefault="00000000">
            <w:pPr>
              <w:widowControl/>
              <w:snapToGrid w:val="0"/>
              <w:ind w:firstLine="0"/>
              <w:jc w:val="center"/>
              <w:textAlignment w:val="bottom"/>
              <w:rPr>
                <w:rFonts w:ascii="宋体" w:hAnsi="宋体" w:cs="宋体"/>
                <w:sz w:val="21"/>
                <w:szCs w:val="21"/>
              </w:rPr>
            </w:pPr>
            <w:r>
              <w:rPr>
                <w:rFonts w:ascii="宋体" w:hAnsi="宋体" w:cs="宋体" w:hint="eastAsia"/>
                <w:kern w:val="0"/>
                <w:sz w:val="21"/>
                <w:szCs w:val="21"/>
                <w:lang w:bidi="ar"/>
              </w:rPr>
              <w:t>逆向型</w:t>
            </w:r>
          </w:p>
        </w:tc>
      </w:tr>
      <w:tr w:rsidR="00000000" w14:paraId="67B68923" w14:textId="77777777">
        <w:trPr>
          <w:jc w:val="center"/>
        </w:trPr>
        <w:tc>
          <w:tcPr>
            <w:tcW w:w="2800" w:type="dxa"/>
            <w:vMerge/>
            <w:tcBorders>
              <w:top w:val="nil"/>
              <w:left w:val="nil"/>
              <w:bottom w:val="nil"/>
              <w:right w:val="nil"/>
            </w:tcBorders>
            <w:noWrap/>
            <w:vAlign w:val="center"/>
          </w:tcPr>
          <w:p w14:paraId="62C7E216" w14:textId="77777777" w:rsidR="00000000" w:rsidRDefault="00000000">
            <w:pPr>
              <w:snapToGrid w:val="0"/>
              <w:ind w:firstLine="0"/>
              <w:jc w:val="center"/>
              <w:rPr>
                <w:rFonts w:ascii="宋体" w:hAnsi="宋体" w:cs="宋体"/>
                <w:sz w:val="21"/>
                <w:szCs w:val="21"/>
              </w:rPr>
            </w:pPr>
          </w:p>
        </w:tc>
        <w:tc>
          <w:tcPr>
            <w:tcW w:w="3640" w:type="dxa"/>
            <w:tcBorders>
              <w:top w:val="nil"/>
              <w:left w:val="nil"/>
              <w:bottom w:val="nil"/>
              <w:right w:val="nil"/>
            </w:tcBorders>
            <w:noWrap/>
            <w:vAlign w:val="center"/>
          </w:tcPr>
          <w:p w14:paraId="293953B0" w14:textId="77777777" w:rsidR="00000000" w:rsidRDefault="00000000">
            <w:pPr>
              <w:widowControl/>
              <w:snapToGrid w:val="0"/>
              <w:ind w:firstLine="0"/>
              <w:jc w:val="center"/>
              <w:textAlignment w:val="bottom"/>
              <w:rPr>
                <w:rFonts w:ascii="宋体" w:hAnsi="宋体" w:cs="宋体"/>
                <w:sz w:val="21"/>
                <w:szCs w:val="21"/>
              </w:rPr>
            </w:pPr>
            <w:r>
              <w:rPr>
                <w:rFonts w:ascii="宋体" w:hAnsi="宋体" w:cs="宋体" w:hint="eastAsia"/>
                <w:kern w:val="0"/>
                <w:sz w:val="21"/>
                <w:szCs w:val="21"/>
                <w:lang w:bidi="ar"/>
              </w:rPr>
              <w:t>资产负债率A14</w:t>
            </w:r>
          </w:p>
        </w:tc>
        <w:tc>
          <w:tcPr>
            <w:tcW w:w="2198" w:type="dxa"/>
            <w:tcBorders>
              <w:top w:val="nil"/>
              <w:left w:val="nil"/>
              <w:bottom w:val="nil"/>
              <w:right w:val="nil"/>
            </w:tcBorders>
            <w:noWrap/>
            <w:vAlign w:val="center"/>
          </w:tcPr>
          <w:p w14:paraId="174C5DC8" w14:textId="77777777" w:rsidR="00000000" w:rsidRDefault="00000000">
            <w:pPr>
              <w:widowControl/>
              <w:snapToGrid w:val="0"/>
              <w:ind w:firstLine="0"/>
              <w:jc w:val="center"/>
              <w:textAlignment w:val="bottom"/>
              <w:rPr>
                <w:rFonts w:ascii="宋体" w:hAnsi="宋体" w:cs="宋体"/>
                <w:sz w:val="21"/>
                <w:szCs w:val="21"/>
              </w:rPr>
            </w:pPr>
            <w:r>
              <w:rPr>
                <w:rFonts w:ascii="宋体" w:hAnsi="宋体" w:cs="宋体" w:hint="eastAsia"/>
                <w:kern w:val="0"/>
                <w:sz w:val="21"/>
                <w:szCs w:val="21"/>
                <w:lang w:bidi="ar"/>
              </w:rPr>
              <w:t>逆向型</w:t>
            </w:r>
          </w:p>
        </w:tc>
      </w:tr>
      <w:tr w:rsidR="00000000" w14:paraId="046B3CFB" w14:textId="77777777">
        <w:trPr>
          <w:jc w:val="center"/>
        </w:trPr>
        <w:tc>
          <w:tcPr>
            <w:tcW w:w="2800" w:type="dxa"/>
            <w:vMerge w:val="restart"/>
            <w:tcBorders>
              <w:top w:val="nil"/>
              <w:left w:val="nil"/>
              <w:bottom w:val="nil"/>
              <w:right w:val="nil"/>
            </w:tcBorders>
            <w:noWrap/>
            <w:vAlign w:val="center"/>
          </w:tcPr>
          <w:p w14:paraId="60B7E87E" w14:textId="77777777" w:rsidR="00000000" w:rsidRDefault="00000000">
            <w:pPr>
              <w:widowControl/>
              <w:snapToGrid w:val="0"/>
              <w:ind w:firstLine="0"/>
              <w:jc w:val="center"/>
              <w:textAlignment w:val="center"/>
              <w:rPr>
                <w:rFonts w:ascii="宋体" w:hAnsi="宋体" w:cs="宋体"/>
                <w:sz w:val="21"/>
                <w:szCs w:val="21"/>
              </w:rPr>
            </w:pPr>
            <w:r>
              <w:rPr>
                <w:rFonts w:ascii="宋体" w:hAnsi="宋体" w:cs="宋体" w:hint="eastAsia"/>
                <w:kern w:val="0"/>
                <w:sz w:val="21"/>
                <w:szCs w:val="21"/>
                <w:lang w:bidi="ar"/>
              </w:rPr>
              <w:t>投资风险</w:t>
            </w:r>
          </w:p>
        </w:tc>
        <w:tc>
          <w:tcPr>
            <w:tcW w:w="3640" w:type="dxa"/>
            <w:tcBorders>
              <w:top w:val="nil"/>
              <w:left w:val="nil"/>
              <w:bottom w:val="nil"/>
              <w:right w:val="nil"/>
            </w:tcBorders>
            <w:noWrap/>
            <w:vAlign w:val="center"/>
          </w:tcPr>
          <w:p w14:paraId="0A5F0F61" w14:textId="77777777" w:rsidR="00000000" w:rsidRDefault="00000000">
            <w:pPr>
              <w:widowControl/>
              <w:snapToGrid w:val="0"/>
              <w:ind w:firstLine="0"/>
              <w:jc w:val="center"/>
              <w:textAlignment w:val="bottom"/>
              <w:rPr>
                <w:rFonts w:ascii="宋体" w:hAnsi="宋体" w:cs="宋体"/>
                <w:sz w:val="21"/>
                <w:szCs w:val="21"/>
              </w:rPr>
            </w:pPr>
            <w:r>
              <w:rPr>
                <w:rFonts w:ascii="宋体" w:hAnsi="宋体" w:cs="宋体" w:hint="eastAsia"/>
                <w:kern w:val="0"/>
                <w:sz w:val="21"/>
                <w:szCs w:val="21"/>
                <w:lang w:bidi="ar"/>
              </w:rPr>
              <w:t>销售净利率A21</w:t>
            </w:r>
          </w:p>
        </w:tc>
        <w:tc>
          <w:tcPr>
            <w:tcW w:w="2198" w:type="dxa"/>
            <w:tcBorders>
              <w:top w:val="nil"/>
              <w:left w:val="nil"/>
              <w:bottom w:val="nil"/>
              <w:right w:val="nil"/>
            </w:tcBorders>
            <w:noWrap/>
            <w:vAlign w:val="center"/>
          </w:tcPr>
          <w:p w14:paraId="7BDDBB66" w14:textId="77777777" w:rsidR="00000000" w:rsidRDefault="00000000">
            <w:pPr>
              <w:widowControl/>
              <w:snapToGrid w:val="0"/>
              <w:ind w:firstLine="0"/>
              <w:jc w:val="center"/>
              <w:textAlignment w:val="bottom"/>
              <w:rPr>
                <w:rFonts w:ascii="宋体" w:hAnsi="宋体" w:cs="宋体"/>
                <w:sz w:val="21"/>
                <w:szCs w:val="21"/>
              </w:rPr>
            </w:pPr>
            <w:r>
              <w:rPr>
                <w:rFonts w:ascii="宋体" w:hAnsi="宋体" w:cs="宋体" w:hint="eastAsia"/>
                <w:kern w:val="0"/>
                <w:sz w:val="21"/>
                <w:szCs w:val="21"/>
                <w:lang w:bidi="ar"/>
              </w:rPr>
              <w:t>正向型</w:t>
            </w:r>
          </w:p>
        </w:tc>
      </w:tr>
      <w:tr w:rsidR="00000000" w14:paraId="60ED6B3B" w14:textId="77777777">
        <w:trPr>
          <w:jc w:val="center"/>
        </w:trPr>
        <w:tc>
          <w:tcPr>
            <w:tcW w:w="2800" w:type="dxa"/>
            <w:vMerge/>
            <w:tcBorders>
              <w:top w:val="nil"/>
              <w:left w:val="nil"/>
              <w:bottom w:val="nil"/>
              <w:right w:val="nil"/>
            </w:tcBorders>
            <w:noWrap/>
            <w:vAlign w:val="center"/>
          </w:tcPr>
          <w:p w14:paraId="210F25A7" w14:textId="77777777" w:rsidR="00000000" w:rsidRDefault="00000000">
            <w:pPr>
              <w:snapToGrid w:val="0"/>
              <w:ind w:firstLine="0"/>
              <w:jc w:val="center"/>
              <w:rPr>
                <w:rFonts w:ascii="宋体" w:hAnsi="宋体" w:cs="宋体"/>
                <w:sz w:val="21"/>
                <w:szCs w:val="21"/>
              </w:rPr>
            </w:pPr>
          </w:p>
        </w:tc>
        <w:tc>
          <w:tcPr>
            <w:tcW w:w="3640" w:type="dxa"/>
            <w:tcBorders>
              <w:top w:val="nil"/>
              <w:left w:val="nil"/>
              <w:bottom w:val="nil"/>
              <w:right w:val="nil"/>
            </w:tcBorders>
            <w:noWrap/>
            <w:vAlign w:val="center"/>
          </w:tcPr>
          <w:p w14:paraId="5D24418C" w14:textId="77777777" w:rsidR="00000000" w:rsidRDefault="00000000">
            <w:pPr>
              <w:widowControl/>
              <w:snapToGrid w:val="0"/>
              <w:ind w:firstLine="0"/>
              <w:jc w:val="center"/>
              <w:textAlignment w:val="bottom"/>
              <w:rPr>
                <w:rFonts w:ascii="宋体" w:hAnsi="宋体" w:cs="宋体"/>
                <w:sz w:val="21"/>
                <w:szCs w:val="21"/>
              </w:rPr>
            </w:pPr>
            <w:r>
              <w:rPr>
                <w:rFonts w:ascii="宋体" w:hAnsi="宋体" w:cs="宋体" w:hint="eastAsia"/>
                <w:kern w:val="0"/>
                <w:sz w:val="21"/>
                <w:szCs w:val="21"/>
                <w:lang w:bidi="ar"/>
              </w:rPr>
              <w:t>净资产收益率A22</w:t>
            </w:r>
          </w:p>
        </w:tc>
        <w:tc>
          <w:tcPr>
            <w:tcW w:w="2198" w:type="dxa"/>
            <w:tcBorders>
              <w:top w:val="nil"/>
              <w:left w:val="nil"/>
              <w:bottom w:val="nil"/>
              <w:right w:val="nil"/>
            </w:tcBorders>
            <w:noWrap/>
            <w:vAlign w:val="center"/>
          </w:tcPr>
          <w:p w14:paraId="52F37572" w14:textId="77777777" w:rsidR="00000000" w:rsidRDefault="00000000">
            <w:pPr>
              <w:widowControl/>
              <w:snapToGrid w:val="0"/>
              <w:ind w:firstLine="0"/>
              <w:jc w:val="center"/>
              <w:textAlignment w:val="bottom"/>
              <w:rPr>
                <w:rFonts w:ascii="宋体" w:hAnsi="宋体" w:cs="宋体"/>
                <w:sz w:val="21"/>
                <w:szCs w:val="21"/>
              </w:rPr>
            </w:pPr>
            <w:r>
              <w:rPr>
                <w:rFonts w:ascii="宋体" w:hAnsi="宋体" w:cs="宋体" w:hint="eastAsia"/>
                <w:kern w:val="0"/>
                <w:sz w:val="21"/>
                <w:szCs w:val="21"/>
                <w:lang w:bidi="ar"/>
              </w:rPr>
              <w:t>正向型</w:t>
            </w:r>
          </w:p>
        </w:tc>
      </w:tr>
      <w:tr w:rsidR="00000000" w14:paraId="4EDEBD0A" w14:textId="77777777">
        <w:trPr>
          <w:jc w:val="center"/>
        </w:trPr>
        <w:tc>
          <w:tcPr>
            <w:tcW w:w="2800" w:type="dxa"/>
            <w:vMerge/>
            <w:tcBorders>
              <w:top w:val="nil"/>
              <w:left w:val="nil"/>
              <w:bottom w:val="nil"/>
              <w:right w:val="nil"/>
            </w:tcBorders>
            <w:noWrap/>
            <w:vAlign w:val="center"/>
          </w:tcPr>
          <w:p w14:paraId="0F37A7F4" w14:textId="77777777" w:rsidR="00000000" w:rsidRDefault="00000000">
            <w:pPr>
              <w:snapToGrid w:val="0"/>
              <w:ind w:firstLine="0"/>
              <w:jc w:val="center"/>
              <w:rPr>
                <w:rFonts w:ascii="宋体" w:hAnsi="宋体" w:cs="宋体"/>
                <w:sz w:val="21"/>
                <w:szCs w:val="21"/>
              </w:rPr>
            </w:pPr>
          </w:p>
        </w:tc>
        <w:tc>
          <w:tcPr>
            <w:tcW w:w="3640" w:type="dxa"/>
            <w:tcBorders>
              <w:top w:val="nil"/>
              <w:left w:val="nil"/>
              <w:bottom w:val="nil"/>
              <w:right w:val="nil"/>
            </w:tcBorders>
            <w:noWrap/>
            <w:vAlign w:val="center"/>
          </w:tcPr>
          <w:p w14:paraId="6532F63C" w14:textId="77777777" w:rsidR="00000000" w:rsidRDefault="00000000">
            <w:pPr>
              <w:widowControl/>
              <w:snapToGrid w:val="0"/>
              <w:ind w:firstLine="0"/>
              <w:jc w:val="center"/>
              <w:textAlignment w:val="bottom"/>
              <w:rPr>
                <w:rFonts w:ascii="宋体" w:hAnsi="宋体" w:cs="宋体"/>
                <w:sz w:val="21"/>
                <w:szCs w:val="21"/>
              </w:rPr>
            </w:pPr>
            <w:r>
              <w:rPr>
                <w:rFonts w:ascii="宋体" w:hAnsi="宋体" w:cs="宋体" w:hint="eastAsia"/>
                <w:kern w:val="0"/>
                <w:sz w:val="21"/>
                <w:szCs w:val="21"/>
                <w:lang w:bidi="ar"/>
              </w:rPr>
              <w:t>成本费用利润率A23</w:t>
            </w:r>
          </w:p>
        </w:tc>
        <w:tc>
          <w:tcPr>
            <w:tcW w:w="2198" w:type="dxa"/>
            <w:tcBorders>
              <w:top w:val="nil"/>
              <w:left w:val="nil"/>
              <w:bottom w:val="nil"/>
              <w:right w:val="nil"/>
            </w:tcBorders>
            <w:noWrap/>
            <w:vAlign w:val="center"/>
          </w:tcPr>
          <w:p w14:paraId="6F1D3748" w14:textId="77777777" w:rsidR="00000000" w:rsidRDefault="00000000">
            <w:pPr>
              <w:widowControl/>
              <w:snapToGrid w:val="0"/>
              <w:ind w:firstLine="0"/>
              <w:jc w:val="center"/>
              <w:textAlignment w:val="bottom"/>
              <w:rPr>
                <w:rFonts w:ascii="宋体" w:hAnsi="宋体" w:cs="宋体"/>
                <w:sz w:val="21"/>
                <w:szCs w:val="21"/>
              </w:rPr>
            </w:pPr>
            <w:r>
              <w:rPr>
                <w:rFonts w:ascii="宋体" w:hAnsi="宋体" w:cs="宋体" w:hint="eastAsia"/>
                <w:kern w:val="0"/>
                <w:sz w:val="21"/>
                <w:szCs w:val="21"/>
                <w:lang w:bidi="ar"/>
              </w:rPr>
              <w:t>正向型</w:t>
            </w:r>
          </w:p>
        </w:tc>
      </w:tr>
      <w:tr w:rsidR="00000000" w14:paraId="3F5E10ED" w14:textId="77777777">
        <w:trPr>
          <w:jc w:val="center"/>
        </w:trPr>
        <w:tc>
          <w:tcPr>
            <w:tcW w:w="2800" w:type="dxa"/>
            <w:vMerge/>
            <w:tcBorders>
              <w:top w:val="nil"/>
              <w:left w:val="nil"/>
              <w:bottom w:val="nil"/>
              <w:right w:val="nil"/>
            </w:tcBorders>
            <w:noWrap/>
            <w:vAlign w:val="center"/>
          </w:tcPr>
          <w:p w14:paraId="52071A73" w14:textId="77777777" w:rsidR="00000000" w:rsidRDefault="00000000">
            <w:pPr>
              <w:snapToGrid w:val="0"/>
              <w:ind w:firstLine="0"/>
              <w:jc w:val="center"/>
              <w:rPr>
                <w:rFonts w:ascii="宋体" w:hAnsi="宋体" w:cs="宋体"/>
                <w:sz w:val="21"/>
                <w:szCs w:val="21"/>
              </w:rPr>
            </w:pPr>
          </w:p>
        </w:tc>
        <w:tc>
          <w:tcPr>
            <w:tcW w:w="3640" w:type="dxa"/>
            <w:tcBorders>
              <w:top w:val="nil"/>
              <w:left w:val="nil"/>
              <w:bottom w:val="nil"/>
              <w:right w:val="nil"/>
            </w:tcBorders>
            <w:noWrap/>
            <w:vAlign w:val="center"/>
          </w:tcPr>
          <w:p w14:paraId="758E843E" w14:textId="77777777" w:rsidR="00000000" w:rsidRDefault="00000000">
            <w:pPr>
              <w:widowControl/>
              <w:snapToGrid w:val="0"/>
              <w:ind w:firstLine="0"/>
              <w:jc w:val="center"/>
              <w:textAlignment w:val="bottom"/>
              <w:rPr>
                <w:rFonts w:ascii="宋体" w:hAnsi="宋体" w:cs="宋体"/>
                <w:sz w:val="21"/>
                <w:szCs w:val="21"/>
              </w:rPr>
            </w:pPr>
            <w:r>
              <w:rPr>
                <w:rFonts w:ascii="宋体" w:hAnsi="宋体" w:cs="宋体" w:hint="eastAsia"/>
                <w:kern w:val="0"/>
                <w:sz w:val="21"/>
                <w:szCs w:val="21"/>
                <w:lang w:bidi="ar"/>
              </w:rPr>
              <w:t>投入资本回报率A24</w:t>
            </w:r>
          </w:p>
        </w:tc>
        <w:tc>
          <w:tcPr>
            <w:tcW w:w="2198" w:type="dxa"/>
            <w:tcBorders>
              <w:top w:val="nil"/>
              <w:left w:val="nil"/>
              <w:bottom w:val="nil"/>
              <w:right w:val="nil"/>
            </w:tcBorders>
            <w:noWrap/>
            <w:vAlign w:val="center"/>
          </w:tcPr>
          <w:p w14:paraId="77742FE3" w14:textId="77777777" w:rsidR="00000000" w:rsidRDefault="00000000">
            <w:pPr>
              <w:widowControl/>
              <w:snapToGrid w:val="0"/>
              <w:ind w:firstLine="0"/>
              <w:jc w:val="center"/>
              <w:textAlignment w:val="bottom"/>
              <w:rPr>
                <w:rFonts w:ascii="宋体" w:hAnsi="宋体" w:cs="宋体"/>
                <w:sz w:val="21"/>
                <w:szCs w:val="21"/>
              </w:rPr>
            </w:pPr>
            <w:r>
              <w:rPr>
                <w:rFonts w:ascii="宋体" w:hAnsi="宋体" w:cs="宋体" w:hint="eastAsia"/>
                <w:kern w:val="0"/>
                <w:sz w:val="21"/>
                <w:szCs w:val="21"/>
                <w:lang w:bidi="ar"/>
              </w:rPr>
              <w:t>正向型</w:t>
            </w:r>
          </w:p>
        </w:tc>
      </w:tr>
      <w:tr w:rsidR="00000000" w14:paraId="394C074C" w14:textId="77777777">
        <w:trPr>
          <w:jc w:val="center"/>
        </w:trPr>
        <w:tc>
          <w:tcPr>
            <w:tcW w:w="2800" w:type="dxa"/>
            <w:vMerge w:val="restart"/>
            <w:tcBorders>
              <w:top w:val="nil"/>
              <w:left w:val="nil"/>
              <w:bottom w:val="nil"/>
              <w:right w:val="nil"/>
            </w:tcBorders>
            <w:noWrap/>
            <w:vAlign w:val="center"/>
          </w:tcPr>
          <w:p w14:paraId="16BC1883" w14:textId="77777777" w:rsidR="00000000" w:rsidRDefault="00000000">
            <w:pPr>
              <w:widowControl/>
              <w:snapToGrid w:val="0"/>
              <w:ind w:firstLine="0"/>
              <w:jc w:val="center"/>
              <w:textAlignment w:val="center"/>
              <w:rPr>
                <w:rFonts w:ascii="宋体" w:hAnsi="宋体" w:cs="宋体"/>
                <w:sz w:val="21"/>
                <w:szCs w:val="21"/>
              </w:rPr>
            </w:pPr>
            <w:r>
              <w:rPr>
                <w:rFonts w:ascii="宋体" w:hAnsi="宋体" w:cs="宋体" w:hint="eastAsia"/>
                <w:kern w:val="0"/>
                <w:sz w:val="21"/>
                <w:szCs w:val="21"/>
                <w:lang w:bidi="ar"/>
              </w:rPr>
              <w:t>营业风险</w:t>
            </w:r>
          </w:p>
        </w:tc>
        <w:tc>
          <w:tcPr>
            <w:tcW w:w="3640" w:type="dxa"/>
            <w:tcBorders>
              <w:top w:val="nil"/>
              <w:left w:val="nil"/>
              <w:bottom w:val="nil"/>
              <w:right w:val="nil"/>
            </w:tcBorders>
            <w:noWrap/>
            <w:vAlign w:val="center"/>
          </w:tcPr>
          <w:p w14:paraId="490506D9" w14:textId="77777777" w:rsidR="00000000" w:rsidRDefault="00000000">
            <w:pPr>
              <w:widowControl/>
              <w:snapToGrid w:val="0"/>
              <w:ind w:firstLine="0"/>
              <w:jc w:val="center"/>
              <w:textAlignment w:val="bottom"/>
              <w:rPr>
                <w:rFonts w:ascii="宋体" w:hAnsi="宋体" w:cs="宋体"/>
                <w:sz w:val="21"/>
                <w:szCs w:val="21"/>
              </w:rPr>
            </w:pPr>
            <w:r>
              <w:rPr>
                <w:rFonts w:ascii="宋体" w:hAnsi="宋体" w:cs="宋体" w:hint="eastAsia"/>
                <w:kern w:val="0"/>
                <w:sz w:val="21"/>
                <w:szCs w:val="21"/>
                <w:lang w:bidi="ar"/>
              </w:rPr>
              <w:t>存货周转率A31</w:t>
            </w:r>
          </w:p>
        </w:tc>
        <w:tc>
          <w:tcPr>
            <w:tcW w:w="2198" w:type="dxa"/>
            <w:tcBorders>
              <w:top w:val="nil"/>
              <w:left w:val="nil"/>
              <w:bottom w:val="nil"/>
              <w:right w:val="nil"/>
            </w:tcBorders>
            <w:noWrap/>
            <w:vAlign w:val="center"/>
          </w:tcPr>
          <w:p w14:paraId="60E48194" w14:textId="77777777" w:rsidR="00000000" w:rsidRDefault="00000000">
            <w:pPr>
              <w:widowControl/>
              <w:snapToGrid w:val="0"/>
              <w:ind w:firstLine="0"/>
              <w:jc w:val="center"/>
              <w:textAlignment w:val="bottom"/>
              <w:rPr>
                <w:rFonts w:ascii="宋体" w:hAnsi="宋体" w:cs="宋体"/>
                <w:sz w:val="21"/>
                <w:szCs w:val="21"/>
              </w:rPr>
            </w:pPr>
            <w:r>
              <w:rPr>
                <w:rFonts w:ascii="宋体" w:hAnsi="宋体" w:cs="宋体" w:hint="eastAsia"/>
                <w:kern w:val="0"/>
                <w:sz w:val="21"/>
                <w:szCs w:val="21"/>
                <w:lang w:bidi="ar"/>
              </w:rPr>
              <w:t>正向型</w:t>
            </w:r>
          </w:p>
        </w:tc>
      </w:tr>
      <w:tr w:rsidR="00000000" w14:paraId="5609D216" w14:textId="77777777">
        <w:trPr>
          <w:jc w:val="center"/>
        </w:trPr>
        <w:tc>
          <w:tcPr>
            <w:tcW w:w="2800" w:type="dxa"/>
            <w:vMerge/>
            <w:tcBorders>
              <w:top w:val="nil"/>
              <w:left w:val="nil"/>
              <w:bottom w:val="nil"/>
              <w:right w:val="nil"/>
            </w:tcBorders>
            <w:noWrap/>
            <w:vAlign w:val="center"/>
          </w:tcPr>
          <w:p w14:paraId="34C0C41B" w14:textId="77777777" w:rsidR="00000000" w:rsidRDefault="00000000">
            <w:pPr>
              <w:snapToGrid w:val="0"/>
              <w:ind w:firstLine="0"/>
              <w:jc w:val="center"/>
              <w:rPr>
                <w:rFonts w:ascii="宋体" w:hAnsi="宋体" w:cs="宋体"/>
                <w:sz w:val="21"/>
                <w:szCs w:val="21"/>
              </w:rPr>
            </w:pPr>
          </w:p>
        </w:tc>
        <w:tc>
          <w:tcPr>
            <w:tcW w:w="3640" w:type="dxa"/>
            <w:tcBorders>
              <w:top w:val="nil"/>
              <w:left w:val="nil"/>
              <w:bottom w:val="nil"/>
              <w:right w:val="nil"/>
            </w:tcBorders>
            <w:noWrap/>
            <w:vAlign w:val="center"/>
          </w:tcPr>
          <w:p w14:paraId="622FFCF3" w14:textId="77777777" w:rsidR="00000000" w:rsidRDefault="00000000">
            <w:pPr>
              <w:widowControl/>
              <w:snapToGrid w:val="0"/>
              <w:ind w:firstLine="0"/>
              <w:jc w:val="center"/>
              <w:textAlignment w:val="bottom"/>
              <w:rPr>
                <w:rFonts w:ascii="宋体" w:hAnsi="宋体" w:cs="宋体"/>
                <w:sz w:val="21"/>
                <w:szCs w:val="21"/>
              </w:rPr>
            </w:pPr>
            <w:r>
              <w:rPr>
                <w:rFonts w:ascii="宋体" w:hAnsi="宋体" w:cs="宋体" w:hint="eastAsia"/>
                <w:kern w:val="0"/>
                <w:sz w:val="21"/>
                <w:szCs w:val="21"/>
                <w:lang w:bidi="ar"/>
              </w:rPr>
              <w:t>应收账款周转率A32</w:t>
            </w:r>
          </w:p>
        </w:tc>
        <w:tc>
          <w:tcPr>
            <w:tcW w:w="2198" w:type="dxa"/>
            <w:tcBorders>
              <w:top w:val="nil"/>
              <w:left w:val="nil"/>
              <w:bottom w:val="nil"/>
              <w:right w:val="nil"/>
            </w:tcBorders>
            <w:noWrap/>
            <w:vAlign w:val="center"/>
          </w:tcPr>
          <w:p w14:paraId="6607D882" w14:textId="77777777" w:rsidR="00000000" w:rsidRDefault="00000000">
            <w:pPr>
              <w:widowControl/>
              <w:snapToGrid w:val="0"/>
              <w:ind w:firstLine="0"/>
              <w:jc w:val="center"/>
              <w:textAlignment w:val="bottom"/>
              <w:rPr>
                <w:rFonts w:ascii="宋体" w:hAnsi="宋体" w:cs="宋体"/>
                <w:sz w:val="21"/>
                <w:szCs w:val="21"/>
              </w:rPr>
            </w:pPr>
            <w:r>
              <w:rPr>
                <w:rFonts w:ascii="宋体" w:hAnsi="宋体" w:cs="宋体" w:hint="eastAsia"/>
                <w:kern w:val="0"/>
                <w:sz w:val="21"/>
                <w:szCs w:val="21"/>
                <w:lang w:bidi="ar"/>
              </w:rPr>
              <w:t>正向型</w:t>
            </w:r>
          </w:p>
        </w:tc>
      </w:tr>
      <w:tr w:rsidR="00000000" w14:paraId="4E8EEE4D" w14:textId="77777777">
        <w:trPr>
          <w:jc w:val="center"/>
        </w:trPr>
        <w:tc>
          <w:tcPr>
            <w:tcW w:w="2800" w:type="dxa"/>
            <w:vMerge/>
            <w:tcBorders>
              <w:top w:val="nil"/>
              <w:left w:val="nil"/>
              <w:bottom w:val="nil"/>
              <w:right w:val="nil"/>
            </w:tcBorders>
            <w:noWrap/>
            <w:vAlign w:val="center"/>
          </w:tcPr>
          <w:p w14:paraId="51CD6E2F" w14:textId="77777777" w:rsidR="00000000" w:rsidRDefault="00000000">
            <w:pPr>
              <w:snapToGrid w:val="0"/>
              <w:ind w:firstLine="0"/>
              <w:jc w:val="center"/>
              <w:rPr>
                <w:rFonts w:ascii="宋体" w:hAnsi="宋体" w:cs="宋体"/>
                <w:sz w:val="21"/>
                <w:szCs w:val="21"/>
              </w:rPr>
            </w:pPr>
          </w:p>
        </w:tc>
        <w:tc>
          <w:tcPr>
            <w:tcW w:w="3640" w:type="dxa"/>
            <w:tcBorders>
              <w:top w:val="nil"/>
              <w:left w:val="nil"/>
              <w:bottom w:val="nil"/>
              <w:right w:val="nil"/>
            </w:tcBorders>
            <w:noWrap/>
            <w:vAlign w:val="center"/>
          </w:tcPr>
          <w:p w14:paraId="5108D2E5" w14:textId="77777777" w:rsidR="00000000" w:rsidRDefault="00000000">
            <w:pPr>
              <w:widowControl/>
              <w:snapToGrid w:val="0"/>
              <w:ind w:firstLine="0"/>
              <w:jc w:val="center"/>
              <w:textAlignment w:val="bottom"/>
              <w:rPr>
                <w:rFonts w:ascii="宋体" w:hAnsi="宋体" w:cs="宋体"/>
                <w:sz w:val="21"/>
                <w:szCs w:val="21"/>
              </w:rPr>
            </w:pPr>
            <w:r>
              <w:rPr>
                <w:rFonts w:ascii="宋体" w:hAnsi="宋体" w:cs="宋体" w:hint="eastAsia"/>
                <w:kern w:val="0"/>
                <w:sz w:val="21"/>
                <w:szCs w:val="21"/>
                <w:lang w:bidi="ar"/>
              </w:rPr>
              <w:t>流动资产周转率A33</w:t>
            </w:r>
          </w:p>
        </w:tc>
        <w:tc>
          <w:tcPr>
            <w:tcW w:w="2198" w:type="dxa"/>
            <w:tcBorders>
              <w:top w:val="nil"/>
              <w:left w:val="nil"/>
              <w:bottom w:val="nil"/>
              <w:right w:val="nil"/>
            </w:tcBorders>
            <w:noWrap/>
            <w:vAlign w:val="center"/>
          </w:tcPr>
          <w:p w14:paraId="5A8F8284" w14:textId="77777777" w:rsidR="00000000" w:rsidRDefault="00000000">
            <w:pPr>
              <w:widowControl/>
              <w:snapToGrid w:val="0"/>
              <w:ind w:firstLine="0"/>
              <w:jc w:val="center"/>
              <w:textAlignment w:val="bottom"/>
              <w:rPr>
                <w:rFonts w:ascii="宋体" w:hAnsi="宋体" w:cs="宋体"/>
                <w:sz w:val="21"/>
                <w:szCs w:val="21"/>
              </w:rPr>
            </w:pPr>
            <w:r>
              <w:rPr>
                <w:rFonts w:ascii="宋体" w:hAnsi="宋体" w:cs="宋体" w:hint="eastAsia"/>
                <w:kern w:val="0"/>
                <w:sz w:val="21"/>
                <w:szCs w:val="21"/>
                <w:lang w:bidi="ar"/>
              </w:rPr>
              <w:t>正向型</w:t>
            </w:r>
          </w:p>
        </w:tc>
      </w:tr>
      <w:tr w:rsidR="00000000" w14:paraId="09743893" w14:textId="77777777">
        <w:trPr>
          <w:jc w:val="center"/>
        </w:trPr>
        <w:tc>
          <w:tcPr>
            <w:tcW w:w="2800" w:type="dxa"/>
            <w:vMerge/>
            <w:tcBorders>
              <w:top w:val="nil"/>
              <w:left w:val="nil"/>
              <w:bottom w:val="nil"/>
              <w:right w:val="nil"/>
            </w:tcBorders>
            <w:noWrap/>
            <w:vAlign w:val="center"/>
          </w:tcPr>
          <w:p w14:paraId="5C58CC79" w14:textId="77777777" w:rsidR="00000000" w:rsidRDefault="00000000">
            <w:pPr>
              <w:snapToGrid w:val="0"/>
              <w:ind w:firstLine="0"/>
              <w:jc w:val="center"/>
              <w:rPr>
                <w:rFonts w:ascii="宋体" w:hAnsi="宋体" w:cs="宋体"/>
                <w:sz w:val="21"/>
                <w:szCs w:val="21"/>
              </w:rPr>
            </w:pPr>
          </w:p>
        </w:tc>
        <w:tc>
          <w:tcPr>
            <w:tcW w:w="3640" w:type="dxa"/>
            <w:tcBorders>
              <w:top w:val="nil"/>
              <w:left w:val="nil"/>
              <w:bottom w:val="nil"/>
              <w:right w:val="nil"/>
            </w:tcBorders>
            <w:noWrap/>
            <w:vAlign w:val="center"/>
          </w:tcPr>
          <w:p w14:paraId="55A92941" w14:textId="77777777" w:rsidR="00000000" w:rsidRDefault="00000000">
            <w:pPr>
              <w:widowControl/>
              <w:snapToGrid w:val="0"/>
              <w:ind w:firstLine="0"/>
              <w:jc w:val="center"/>
              <w:textAlignment w:val="bottom"/>
              <w:rPr>
                <w:rFonts w:ascii="宋体" w:hAnsi="宋体" w:cs="宋体"/>
                <w:sz w:val="21"/>
                <w:szCs w:val="21"/>
              </w:rPr>
            </w:pPr>
            <w:r>
              <w:rPr>
                <w:rFonts w:ascii="宋体" w:hAnsi="宋体" w:cs="宋体" w:hint="eastAsia"/>
                <w:kern w:val="0"/>
                <w:sz w:val="21"/>
                <w:szCs w:val="21"/>
                <w:lang w:bidi="ar"/>
              </w:rPr>
              <w:t>总资产周转率A34</w:t>
            </w:r>
          </w:p>
        </w:tc>
        <w:tc>
          <w:tcPr>
            <w:tcW w:w="2198" w:type="dxa"/>
            <w:tcBorders>
              <w:top w:val="nil"/>
              <w:left w:val="nil"/>
              <w:bottom w:val="nil"/>
              <w:right w:val="nil"/>
            </w:tcBorders>
            <w:noWrap/>
            <w:vAlign w:val="center"/>
          </w:tcPr>
          <w:p w14:paraId="55A080A6" w14:textId="77777777" w:rsidR="00000000" w:rsidRDefault="00000000">
            <w:pPr>
              <w:widowControl/>
              <w:snapToGrid w:val="0"/>
              <w:ind w:firstLine="0"/>
              <w:jc w:val="center"/>
              <w:textAlignment w:val="bottom"/>
              <w:rPr>
                <w:rFonts w:ascii="宋体" w:hAnsi="宋体" w:cs="宋体"/>
                <w:sz w:val="21"/>
                <w:szCs w:val="21"/>
              </w:rPr>
            </w:pPr>
            <w:r>
              <w:rPr>
                <w:rFonts w:ascii="宋体" w:hAnsi="宋体" w:cs="宋体" w:hint="eastAsia"/>
                <w:kern w:val="0"/>
                <w:sz w:val="21"/>
                <w:szCs w:val="21"/>
                <w:lang w:bidi="ar"/>
              </w:rPr>
              <w:t>正向型</w:t>
            </w:r>
          </w:p>
        </w:tc>
      </w:tr>
      <w:tr w:rsidR="00000000" w14:paraId="5F8AFF28" w14:textId="77777777">
        <w:trPr>
          <w:jc w:val="center"/>
        </w:trPr>
        <w:tc>
          <w:tcPr>
            <w:tcW w:w="2800" w:type="dxa"/>
            <w:vMerge w:val="restart"/>
            <w:tcBorders>
              <w:top w:val="nil"/>
              <w:left w:val="nil"/>
              <w:bottom w:val="nil"/>
              <w:right w:val="nil"/>
            </w:tcBorders>
            <w:noWrap/>
            <w:vAlign w:val="center"/>
          </w:tcPr>
          <w:p w14:paraId="4AAB11D4" w14:textId="77777777" w:rsidR="00000000" w:rsidRDefault="00000000">
            <w:pPr>
              <w:widowControl/>
              <w:snapToGrid w:val="0"/>
              <w:ind w:firstLine="0"/>
              <w:jc w:val="center"/>
              <w:textAlignment w:val="center"/>
              <w:rPr>
                <w:rFonts w:ascii="宋体" w:hAnsi="宋体" w:cs="宋体"/>
                <w:sz w:val="21"/>
                <w:szCs w:val="21"/>
              </w:rPr>
            </w:pPr>
            <w:r>
              <w:rPr>
                <w:rFonts w:ascii="宋体" w:hAnsi="宋体" w:cs="宋体" w:hint="eastAsia"/>
                <w:kern w:val="0"/>
                <w:sz w:val="21"/>
                <w:szCs w:val="21"/>
                <w:lang w:bidi="ar"/>
              </w:rPr>
              <w:t>收益分配风险</w:t>
            </w:r>
          </w:p>
        </w:tc>
        <w:tc>
          <w:tcPr>
            <w:tcW w:w="3640" w:type="dxa"/>
            <w:tcBorders>
              <w:top w:val="nil"/>
              <w:left w:val="nil"/>
              <w:bottom w:val="nil"/>
              <w:right w:val="nil"/>
            </w:tcBorders>
            <w:noWrap/>
            <w:vAlign w:val="center"/>
          </w:tcPr>
          <w:p w14:paraId="1FD7D539" w14:textId="77777777" w:rsidR="00000000" w:rsidRDefault="00000000">
            <w:pPr>
              <w:widowControl/>
              <w:snapToGrid w:val="0"/>
              <w:ind w:firstLine="0"/>
              <w:jc w:val="center"/>
              <w:textAlignment w:val="bottom"/>
              <w:rPr>
                <w:rFonts w:ascii="宋体" w:hAnsi="宋体" w:cs="宋体"/>
                <w:sz w:val="21"/>
                <w:szCs w:val="21"/>
              </w:rPr>
            </w:pPr>
            <w:r>
              <w:rPr>
                <w:rFonts w:ascii="宋体" w:hAnsi="宋体" w:cs="宋体" w:hint="eastAsia"/>
                <w:kern w:val="0"/>
                <w:sz w:val="21"/>
                <w:szCs w:val="21"/>
                <w:lang w:bidi="ar"/>
              </w:rPr>
              <w:t>股利分配率A41</w:t>
            </w:r>
          </w:p>
        </w:tc>
        <w:tc>
          <w:tcPr>
            <w:tcW w:w="2198" w:type="dxa"/>
            <w:tcBorders>
              <w:top w:val="nil"/>
              <w:left w:val="nil"/>
              <w:bottom w:val="nil"/>
              <w:right w:val="nil"/>
            </w:tcBorders>
            <w:noWrap/>
            <w:vAlign w:val="center"/>
          </w:tcPr>
          <w:p w14:paraId="361BB211" w14:textId="77777777" w:rsidR="00000000" w:rsidRDefault="00000000">
            <w:pPr>
              <w:widowControl/>
              <w:snapToGrid w:val="0"/>
              <w:ind w:firstLine="0"/>
              <w:jc w:val="center"/>
              <w:textAlignment w:val="bottom"/>
              <w:rPr>
                <w:rFonts w:ascii="宋体" w:hAnsi="宋体" w:cs="宋体"/>
                <w:sz w:val="21"/>
                <w:szCs w:val="21"/>
              </w:rPr>
            </w:pPr>
            <w:r>
              <w:rPr>
                <w:rFonts w:ascii="宋体" w:hAnsi="宋体" w:cs="宋体" w:hint="eastAsia"/>
                <w:kern w:val="0"/>
                <w:sz w:val="21"/>
                <w:szCs w:val="21"/>
                <w:lang w:bidi="ar"/>
              </w:rPr>
              <w:t>正向型</w:t>
            </w:r>
          </w:p>
        </w:tc>
      </w:tr>
      <w:tr w:rsidR="00000000" w14:paraId="2370B3F1" w14:textId="77777777">
        <w:trPr>
          <w:jc w:val="center"/>
        </w:trPr>
        <w:tc>
          <w:tcPr>
            <w:tcW w:w="2800" w:type="dxa"/>
            <w:vMerge/>
            <w:tcBorders>
              <w:top w:val="nil"/>
              <w:left w:val="nil"/>
              <w:bottom w:val="nil"/>
              <w:right w:val="nil"/>
            </w:tcBorders>
            <w:noWrap/>
            <w:vAlign w:val="center"/>
          </w:tcPr>
          <w:p w14:paraId="726B7838" w14:textId="77777777" w:rsidR="00000000" w:rsidRDefault="00000000">
            <w:pPr>
              <w:snapToGrid w:val="0"/>
              <w:ind w:firstLine="0"/>
              <w:jc w:val="center"/>
              <w:rPr>
                <w:rFonts w:ascii="宋体" w:hAnsi="宋体" w:cs="宋体"/>
                <w:sz w:val="21"/>
                <w:szCs w:val="21"/>
              </w:rPr>
            </w:pPr>
          </w:p>
        </w:tc>
        <w:tc>
          <w:tcPr>
            <w:tcW w:w="3640" w:type="dxa"/>
            <w:tcBorders>
              <w:top w:val="nil"/>
              <w:left w:val="nil"/>
              <w:bottom w:val="nil"/>
              <w:right w:val="nil"/>
            </w:tcBorders>
            <w:noWrap/>
            <w:vAlign w:val="center"/>
          </w:tcPr>
          <w:p w14:paraId="1FF0029E" w14:textId="77777777" w:rsidR="00000000" w:rsidRDefault="00000000">
            <w:pPr>
              <w:widowControl/>
              <w:snapToGrid w:val="0"/>
              <w:ind w:firstLine="0"/>
              <w:jc w:val="center"/>
              <w:textAlignment w:val="bottom"/>
              <w:rPr>
                <w:rFonts w:ascii="宋体" w:hAnsi="宋体" w:cs="宋体"/>
                <w:sz w:val="21"/>
                <w:szCs w:val="21"/>
              </w:rPr>
            </w:pPr>
            <w:r>
              <w:rPr>
                <w:rFonts w:ascii="宋体" w:hAnsi="宋体" w:cs="宋体" w:hint="eastAsia"/>
                <w:kern w:val="0"/>
                <w:sz w:val="21"/>
                <w:szCs w:val="21"/>
                <w:lang w:bidi="ar"/>
              </w:rPr>
              <w:t>净利润增长率A42</w:t>
            </w:r>
          </w:p>
        </w:tc>
        <w:tc>
          <w:tcPr>
            <w:tcW w:w="2198" w:type="dxa"/>
            <w:tcBorders>
              <w:top w:val="nil"/>
              <w:left w:val="nil"/>
              <w:bottom w:val="nil"/>
              <w:right w:val="nil"/>
            </w:tcBorders>
            <w:noWrap/>
            <w:vAlign w:val="center"/>
          </w:tcPr>
          <w:p w14:paraId="55A12E0E" w14:textId="77777777" w:rsidR="00000000" w:rsidRDefault="00000000">
            <w:pPr>
              <w:widowControl/>
              <w:snapToGrid w:val="0"/>
              <w:ind w:firstLine="0"/>
              <w:jc w:val="center"/>
              <w:textAlignment w:val="bottom"/>
              <w:rPr>
                <w:rFonts w:ascii="宋体" w:hAnsi="宋体" w:cs="宋体"/>
                <w:sz w:val="21"/>
                <w:szCs w:val="21"/>
              </w:rPr>
            </w:pPr>
            <w:r>
              <w:rPr>
                <w:rFonts w:ascii="宋体" w:hAnsi="宋体" w:cs="宋体" w:hint="eastAsia"/>
                <w:kern w:val="0"/>
                <w:sz w:val="21"/>
                <w:szCs w:val="21"/>
                <w:lang w:bidi="ar"/>
              </w:rPr>
              <w:t>正向型</w:t>
            </w:r>
          </w:p>
        </w:tc>
      </w:tr>
      <w:tr w:rsidR="00000000" w14:paraId="7DC13E6D" w14:textId="77777777">
        <w:trPr>
          <w:jc w:val="center"/>
        </w:trPr>
        <w:tc>
          <w:tcPr>
            <w:tcW w:w="2800" w:type="dxa"/>
            <w:vMerge/>
            <w:tcBorders>
              <w:top w:val="nil"/>
              <w:left w:val="nil"/>
              <w:bottom w:val="single" w:sz="12" w:space="0" w:color="000000"/>
              <w:right w:val="nil"/>
            </w:tcBorders>
            <w:noWrap/>
            <w:vAlign w:val="center"/>
          </w:tcPr>
          <w:p w14:paraId="35B3EAC2" w14:textId="77777777" w:rsidR="00000000" w:rsidRDefault="00000000">
            <w:pPr>
              <w:snapToGrid w:val="0"/>
              <w:ind w:firstLine="0"/>
              <w:jc w:val="center"/>
              <w:rPr>
                <w:rFonts w:ascii="宋体" w:hAnsi="宋体" w:cs="宋体"/>
                <w:sz w:val="21"/>
                <w:szCs w:val="21"/>
              </w:rPr>
            </w:pPr>
          </w:p>
        </w:tc>
        <w:tc>
          <w:tcPr>
            <w:tcW w:w="3640" w:type="dxa"/>
            <w:tcBorders>
              <w:top w:val="nil"/>
              <w:left w:val="nil"/>
              <w:bottom w:val="single" w:sz="12" w:space="0" w:color="000000"/>
              <w:right w:val="nil"/>
            </w:tcBorders>
            <w:noWrap/>
            <w:vAlign w:val="center"/>
          </w:tcPr>
          <w:p w14:paraId="5241F5E2" w14:textId="77777777" w:rsidR="00000000" w:rsidRDefault="00000000">
            <w:pPr>
              <w:widowControl/>
              <w:snapToGrid w:val="0"/>
              <w:ind w:firstLine="0"/>
              <w:jc w:val="center"/>
              <w:textAlignment w:val="bottom"/>
              <w:rPr>
                <w:rFonts w:ascii="宋体" w:hAnsi="宋体" w:cs="宋体"/>
                <w:sz w:val="21"/>
                <w:szCs w:val="21"/>
              </w:rPr>
            </w:pPr>
            <w:r>
              <w:rPr>
                <w:rFonts w:ascii="宋体" w:hAnsi="宋体" w:cs="宋体" w:hint="eastAsia"/>
                <w:kern w:val="0"/>
                <w:sz w:val="21"/>
                <w:szCs w:val="21"/>
                <w:lang w:bidi="ar"/>
              </w:rPr>
              <w:t>营业收入增长率A43</w:t>
            </w:r>
          </w:p>
        </w:tc>
        <w:tc>
          <w:tcPr>
            <w:tcW w:w="2198" w:type="dxa"/>
            <w:tcBorders>
              <w:top w:val="nil"/>
              <w:left w:val="nil"/>
              <w:bottom w:val="single" w:sz="12" w:space="0" w:color="000000"/>
              <w:right w:val="nil"/>
            </w:tcBorders>
            <w:noWrap/>
            <w:vAlign w:val="center"/>
          </w:tcPr>
          <w:p w14:paraId="4782BE09" w14:textId="77777777" w:rsidR="00000000" w:rsidRDefault="00000000">
            <w:pPr>
              <w:widowControl/>
              <w:snapToGrid w:val="0"/>
              <w:ind w:firstLine="0"/>
              <w:jc w:val="center"/>
              <w:textAlignment w:val="bottom"/>
              <w:rPr>
                <w:rFonts w:ascii="宋体" w:hAnsi="宋体" w:cs="宋体"/>
                <w:sz w:val="21"/>
                <w:szCs w:val="21"/>
              </w:rPr>
            </w:pPr>
            <w:r>
              <w:rPr>
                <w:rFonts w:ascii="宋体" w:hAnsi="宋体" w:cs="宋体" w:hint="eastAsia"/>
                <w:kern w:val="0"/>
                <w:sz w:val="21"/>
                <w:szCs w:val="21"/>
                <w:lang w:bidi="ar"/>
              </w:rPr>
              <w:t>正向型</w:t>
            </w:r>
          </w:p>
        </w:tc>
      </w:tr>
    </w:tbl>
    <w:p w14:paraId="7984CFA9" w14:textId="77777777" w:rsidR="00000000" w:rsidRDefault="00000000">
      <w:pPr>
        <w:pStyle w:val="afd"/>
        <w:ind w:firstLine="486"/>
        <w:rPr>
          <w:rFonts w:cs="宋体" w:hint="eastAsia"/>
          <w:color w:val="auto"/>
        </w:rPr>
      </w:pPr>
      <w:r>
        <w:rPr>
          <w:rFonts w:cs="宋体" w:hint="eastAsia"/>
          <w:color w:val="auto"/>
        </w:rPr>
        <w:t xml:space="preserve"> 本文将M公司2020-2024年五年作为评价对象，同时将A11-A43所代表的15项指标作为表5-1中的评价指标，原数据见表5-2。</w:t>
      </w:r>
    </w:p>
    <w:p w14:paraId="771F6E2B" w14:textId="77777777" w:rsidR="00000000" w:rsidRDefault="00000000">
      <w:pPr>
        <w:widowControl/>
        <w:spacing w:beforeLines="50" w:before="207" w:afterLines="50" w:after="207" w:line="400" w:lineRule="exact"/>
        <w:ind w:left="4" w:hanging="4"/>
        <w:jc w:val="center"/>
        <w:rPr>
          <w:rFonts w:ascii="宋体" w:hAnsi="宋体" w:cs="宋体"/>
          <w:sz w:val="21"/>
          <w:szCs w:val="21"/>
        </w:rPr>
      </w:pPr>
      <w:r>
        <w:rPr>
          <w:rFonts w:ascii="宋体" w:hAnsi="宋体" w:cs="宋体" w:hint="eastAsia"/>
          <w:sz w:val="21"/>
          <w:szCs w:val="21"/>
        </w:rPr>
        <w:t>表5-2 M公司2020-2024年财务风险评价指标原始数据</w:t>
      </w:r>
    </w:p>
    <w:tbl>
      <w:tblPr>
        <w:tblW w:w="8630" w:type="dxa"/>
        <w:jc w:val="center"/>
        <w:tblInd w:w="0" w:type="dxa"/>
        <w:tblLayout w:type="fixed"/>
        <w:tblCellMar>
          <w:top w:w="32" w:type="dxa"/>
          <w:left w:w="64" w:type="dxa"/>
          <w:bottom w:w="32" w:type="dxa"/>
          <w:right w:w="64" w:type="dxa"/>
        </w:tblCellMar>
        <w:tblLook w:val="0000" w:firstRow="0" w:lastRow="0" w:firstColumn="0" w:lastColumn="0" w:noHBand="0" w:noVBand="0"/>
      </w:tblPr>
      <w:tblGrid>
        <w:gridCol w:w="820"/>
        <w:gridCol w:w="1562"/>
        <w:gridCol w:w="1562"/>
        <w:gridCol w:w="1562"/>
        <w:gridCol w:w="1562"/>
        <w:gridCol w:w="1562"/>
      </w:tblGrid>
      <w:tr w:rsidR="00000000" w14:paraId="55143D29" w14:textId="77777777">
        <w:trPr>
          <w:jc w:val="center"/>
        </w:trPr>
        <w:tc>
          <w:tcPr>
            <w:tcW w:w="820" w:type="dxa"/>
            <w:tcBorders>
              <w:top w:val="single" w:sz="12" w:space="0" w:color="000000"/>
              <w:left w:val="nil"/>
              <w:bottom w:val="single" w:sz="4" w:space="0" w:color="000000"/>
              <w:right w:val="nil"/>
            </w:tcBorders>
            <w:noWrap/>
            <w:vAlign w:val="center"/>
          </w:tcPr>
          <w:p w14:paraId="0BD2577E" w14:textId="77777777" w:rsidR="00000000" w:rsidRDefault="00000000">
            <w:pPr>
              <w:widowControl/>
              <w:snapToGrid w:val="0"/>
              <w:ind w:firstLine="0"/>
              <w:jc w:val="center"/>
              <w:textAlignment w:val="bottom"/>
              <w:rPr>
                <w:rFonts w:ascii="宋体" w:hAnsi="宋体" w:cs="宋体"/>
                <w:b/>
                <w:bCs/>
                <w:kern w:val="0"/>
                <w:sz w:val="21"/>
                <w:szCs w:val="21"/>
                <w:lang w:bidi="ar"/>
              </w:rPr>
            </w:pPr>
            <w:r>
              <w:rPr>
                <w:rFonts w:ascii="宋体" w:hAnsi="宋体" w:cs="宋体" w:hint="eastAsia"/>
                <w:b/>
                <w:bCs/>
                <w:kern w:val="0"/>
                <w:sz w:val="21"/>
                <w:szCs w:val="21"/>
                <w:lang w:bidi="ar"/>
              </w:rPr>
              <w:t>指标</w:t>
            </w:r>
          </w:p>
        </w:tc>
        <w:tc>
          <w:tcPr>
            <w:tcW w:w="1562" w:type="dxa"/>
            <w:tcBorders>
              <w:top w:val="single" w:sz="12" w:space="0" w:color="000000"/>
              <w:left w:val="nil"/>
              <w:bottom w:val="single" w:sz="4" w:space="0" w:color="000000"/>
              <w:right w:val="nil"/>
            </w:tcBorders>
            <w:noWrap/>
            <w:vAlign w:val="center"/>
          </w:tcPr>
          <w:p w14:paraId="1F733798" w14:textId="77777777" w:rsidR="00000000" w:rsidRDefault="00000000">
            <w:pPr>
              <w:widowControl/>
              <w:snapToGrid w:val="0"/>
              <w:ind w:firstLine="0"/>
              <w:jc w:val="center"/>
              <w:textAlignment w:val="bottom"/>
              <w:rPr>
                <w:rFonts w:ascii="宋体" w:hAnsi="宋体" w:cs="宋体"/>
                <w:b/>
                <w:bCs/>
                <w:kern w:val="0"/>
                <w:sz w:val="21"/>
                <w:szCs w:val="21"/>
                <w:lang w:bidi="ar"/>
              </w:rPr>
            </w:pPr>
            <w:r>
              <w:rPr>
                <w:rFonts w:ascii="宋体" w:hAnsi="宋体" w:cs="宋体" w:hint="eastAsia"/>
                <w:b/>
                <w:bCs/>
                <w:kern w:val="0"/>
                <w:sz w:val="21"/>
                <w:szCs w:val="21"/>
                <w:lang w:bidi="ar"/>
              </w:rPr>
              <w:t>2020年</w:t>
            </w:r>
          </w:p>
        </w:tc>
        <w:tc>
          <w:tcPr>
            <w:tcW w:w="1562" w:type="dxa"/>
            <w:tcBorders>
              <w:top w:val="single" w:sz="12" w:space="0" w:color="000000"/>
              <w:left w:val="nil"/>
              <w:bottom w:val="single" w:sz="4" w:space="0" w:color="000000"/>
              <w:right w:val="nil"/>
            </w:tcBorders>
            <w:noWrap/>
            <w:vAlign w:val="center"/>
          </w:tcPr>
          <w:p w14:paraId="22288C40" w14:textId="77777777" w:rsidR="00000000" w:rsidRDefault="00000000">
            <w:pPr>
              <w:widowControl/>
              <w:snapToGrid w:val="0"/>
              <w:ind w:firstLine="0"/>
              <w:jc w:val="center"/>
              <w:textAlignment w:val="bottom"/>
              <w:rPr>
                <w:rFonts w:ascii="宋体" w:hAnsi="宋体" w:cs="宋体"/>
                <w:b/>
                <w:bCs/>
                <w:kern w:val="0"/>
                <w:sz w:val="21"/>
                <w:szCs w:val="21"/>
                <w:lang w:bidi="ar"/>
              </w:rPr>
            </w:pPr>
            <w:r>
              <w:rPr>
                <w:rFonts w:ascii="宋体" w:hAnsi="宋体" w:cs="宋体" w:hint="eastAsia"/>
                <w:b/>
                <w:bCs/>
                <w:kern w:val="0"/>
                <w:sz w:val="21"/>
                <w:szCs w:val="21"/>
                <w:lang w:bidi="ar"/>
              </w:rPr>
              <w:t>2021年</w:t>
            </w:r>
          </w:p>
        </w:tc>
        <w:tc>
          <w:tcPr>
            <w:tcW w:w="1562" w:type="dxa"/>
            <w:tcBorders>
              <w:top w:val="single" w:sz="12" w:space="0" w:color="000000"/>
              <w:left w:val="nil"/>
              <w:bottom w:val="single" w:sz="4" w:space="0" w:color="000000"/>
              <w:right w:val="nil"/>
            </w:tcBorders>
            <w:noWrap/>
            <w:vAlign w:val="center"/>
          </w:tcPr>
          <w:p w14:paraId="0899386A" w14:textId="77777777" w:rsidR="00000000" w:rsidRDefault="00000000">
            <w:pPr>
              <w:widowControl/>
              <w:snapToGrid w:val="0"/>
              <w:ind w:firstLine="0"/>
              <w:jc w:val="center"/>
              <w:textAlignment w:val="bottom"/>
              <w:rPr>
                <w:rFonts w:ascii="宋体" w:hAnsi="宋体" w:cs="宋体"/>
                <w:b/>
                <w:bCs/>
                <w:kern w:val="0"/>
                <w:sz w:val="21"/>
                <w:szCs w:val="21"/>
                <w:lang w:bidi="ar"/>
              </w:rPr>
            </w:pPr>
            <w:r>
              <w:rPr>
                <w:rFonts w:ascii="宋体" w:hAnsi="宋体" w:cs="宋体" w:hint="eastAsia"/>
                <w:b/>
                <w:bCs/>
                <w:kern w:val="0"/>
                <w:sz w:val="21"/>
                <w:szCs w:val="21"/>
                <w:lang w:bidi="ar"/>
              </w:rPr>
              <w:t>2022年</w:t>
            </w:r>
          </w:p>
        </w:tc>
        <w:tc>
          <w:tcPr>
            <w:tcW w:w="1562" w:type="dxa"/>
            <w:tcBorders>
              <w:top w:val="single" w:sz="12" w:space="0" w:color="000000"/>
              <w:left w:val="nil"/>
              <w:bottom w:val="single" w:sz="4" w:space="0" w:color="000000"/>
              <w:right w:val="nil"/>
            </w:tcBorders>
            <w:noWrap/>
            <w:vAlign w:val="center"/>
          </w:tcPr>
          <w:p w14:paraId="7915E0B8" w14:textId="77777777" w:rsidR="00000000" w:rsidRDefault="00000000">
            <w:pPr>
              <w:widowControl/>
              <w:snapToGrid w:val="0"/>
              <w:ind w:firstLine="0"/>
              <w:jc w:val="center"/>
              <w:textAlignment w:val="bottom"/>
              <w:rPr>
                <w:rFonts w:ascii="宋体" w:hAnsi="宋体" w:cs="宋体"/>
                <w:b/>
                <w:bCs/>
                <w:kern w:val="0"/>
                <w:sz w:val="21"/>
                <w:szCs w:val="21"/>
                <w:lang w:bidi="ar"/>
              </w:rPr>
            </w:pPr>
            <w:r>
              <w:rPr>
                <w:rFonts w:ascii="宋体" w:hAnsi="宋体" w:cs="宋体" w:hint="eastAsia"/>
                <w:b/>
                <w:bCs/>
                <w:kern w:val="0"/>
                <w:sz w:val="21"/>
                <w:szCs w:val="21"/>
                <w:lang w:bidi="ar"/>
              </w:rPr>
              <w:t>2023年</w:t>
            </w:r>
          </w:p>
        </w:tc>
        <w:tc>
          <w:tcPr>
            <w:tcW w:w="1562" w:type="dxa"/>
            <w:tcBorders>
              <w:top w:val="single" w:sz="12" w:space="0" w:color="000000"/>
              <w:left w:val="nil"/>
              <w:bottom w:val="single" w:sz="4" w:space="0" w:color="000000"/>
              <w:right w:val="nil"/>
            </w:tcBorders>
            <w:noWrap/>
            <w:vAlign w:val="center"/>
          </w:tcPr>
          <w:p w14:paraId="575AE51C" w14:textId="77777777" w:rsidR="00000000" w:rsidRDefault="00000000">
            <w:pPr>
              <w:widowControl/>
              <w:snapToGrid w:val="0"/>
              <w:ind w:firstLine="0"/>
              <w:jc w:val="center"/>
              <w:textAlignment w:val="bottom"/>
              <w:rPr>
                <w:rFonts w:ascii="宋体" w:hAnsi="宋体" w:cs="宋体"/>
                <w:b/>
                <w:bCs/>
                <w:kern w:val="0"/>
                <w:sz w:val="21"/>
                <w:szCs w:val="21"/>
                <w:lang w:bidi="ar"/>
              </w:rPr>
            </w:pPr>
            <w:r>
              <w:rPr>
                <w:rFonts w:ascii="宋体" w:hAnsi="宋体" w:cs="宋体" w:hint="eastAsia"/>
                <w:b/>
                <w:bCs/>
                <w:kern w:val="0"/>
                <w:sz w:val="21"/>
                <w:szCs w:val="21"/>
                <w:lang w:bidi="ar"/>
              </w:rPr>
              <w:t>2024年</w:t>
            </w:r>
          </w:p>
        </w:tc>
      </w:tr>
      <w:tr w:rsidR="00000000" w14:paraId="260C7580" w14:textId="77777777">
        <w:trPr>
          <w:jc w:val="center"/>
        </w:trPr>
        <w:tc>
          <w:tcPr>
            <w:tcW w:w="820" w:type="dxa"/>
            <w:tcBorders>
              <w:top w:val="single" w:sz="4" w:space="0" w:color="000000"/>
              <w:left w:val="nil"/>
              <w:bottom w:val="nil"/>
              <w:right w:val="nil"/>
            </w:tcBorders>
            <w:noWrap/>
            <w:vAlign w:val="center"/>
          </w:tcPr>
          <w:p w14:paraId="047B2D82" w14:textId="77777777" w:rsidR="00000000" w:rsidRDefault="00000000">
            <w:pPr>
              <w:widowControl/>
              <w:snapToGrid w:val="0"/>
              <w:ind w:firstLine="0"/>
              <w:jc w:val="center"/>
              <w:textAlignment w:val="center"/>
              <w:rPr>
                <w:rFonts w:ascii="宋体" w:hAnsi="宋体" w:cs="宋体"/>
                <w:sz w:val="21"/>
                <w:szCs w:val="21"/>
              </w:rPr>
            </w:pPr>
            <w:r>
              <w:rPr>
                <w:rFonts w:ascii="宋体" w:hAnsi="宋体" w:cs="宋体" w:hint="eastAsia"/>
                <w:kern w:val="0"/>
                <w:sz w:val="21"/>
                <w:szCs w:val="21"/>
                <w:lang w:bidi="ar"/>
              </w:rPr>
              <w:t>A11</w:t>
            </w:r>
          </w:p>
        </w:tc>
        <w:tc>
          <w:tcPr>
            <w:tcW w:w="1562" w:type="dxa"/>
            <w:tcBorders>
              <w:top w:val="single" w:sz="4" w:space="0" w:color="000000"/>
              <w:left w:val="nil"/>
              <w:bottom w:val="nil"/>
              <w:right w:val="nil"/>
            </w:tcBorders>
            <w:vAlign w:val="center"/>
          </w:tcPr>
          <w:p w14:paraId="048D7F04" w14:textId="77777777" w:rsidR="00000000" w:rsidRDefault="00000000">
            <w:pPr>
              <w:widowControl/>
              <w:snapToGrid w:val="0"/>
              <w:ind w:firstLine="0"/>
              <w:jc w:val="center"/>
              <w:textAlignment w:val="center"/>
              <w:rPr>
                <w:rFonts w:ascii="宋体" w:hAnsi="宋体" w:cs="宋体"/>
                <w:sz w:val="21"/>
                <w:szCs w:val="21"/>
              </w:rPr>
            </w:pPr>
            <w:r>
              <w:rPr>
                <w:rFonts w:ascii="宋体" w:hAnsi="宋体" w:cs="宋体" w:hint="eastAsia"/>
                <w:kern w:val="0"/>
                <w:sz w:val="21"/>
                <w:szCs w:val="21"/>
                <w:lang w:bidi="ar"/>
              </w:rPr>
              <w:t>1.3980</w:t>
            </w:r>
          </w:p>
        </w:tc>
        <w:tc>
          <w:tcPr>
            <w:tcW w:w="1562" w:type="dxa"/>
            <w:tcBorders>
              <w:top w:val="single" w:sz="4" w:space="0" w:color="000000"/>
              <w:left w:val="nil"/>
              <w:bottom w:val="nil"/>
              <w:right w:val="nil"/>
            </w:tcBorders>
            <w:vAlign w:val="center"/>
          </w:tcPr>
          <w:p w14:paraId="434E6510" w14:textId="77777777" w:rsidR="00000000" w:rsidRDefault="00000000">
            <w:pPr>
              <w:widowControl/>
              <w:snapToGrid w:val="0"/>
              <w:ind w:firstLine="0"/>
              <w:jc w:val="center"/>
              <w:textAlignment w:val="center"/>
              <w:rPr>
                <w:rFonts w:ascii="宋体" w:hAnsi="宋体" w:cs="宋体"/>
                <w:sz w:val="21"/>
                <w:szCs w:val="21"/>
              </w:rPr>
            </w:pPr>
            <w:r>
              <w:rPr>
                <w:rFonts w:ascii="宋体" w:hAnsi="宋体" w:cs="宋体" w:hint="eastAsia"/>
                <w:kern w:val="0"/>
                <w:sz w:val="21"/>
                <w:szCs w:val="21"/>
                <w:lang w:bidi="ar"/>
              </w:rPr>
              <w:t>1.2080</w:t>
            </w:r>
          </w:p>
        </w:tc>
        <w:tc>
          <w:tcPr>
            <w:tcW w:w="1562" w:type="dxa"/>
            <w:tcBorders>
              <w:top w:val="single" w:sz="4" w:space="0" w:color="000000"/>
              <w:left w:val="nil"/>
              <w:bottom w:val="nil"/>
              <w:right w:val="nil"/>
            </w:tcBorders>
            <w:vAlign w:val="center"/>
          </w:tcPr>
          <w:p w14:paraId="318801E3" w14:textId="77777777" w:rsidR="00000000" w:rsidRDefault="00000000">
            <w:pPr>
              <w:widowControl/>
              <w:snapToGrid w:val="0"/>
              <w:ind w:firstLine="0"/>
              <w:jc w:val="center"/>
              <w:textAlignment w:val="center"/>
              <w:rPr>
                <w:rFonts w:ascii="宋体" w:hAnsi="宋体" w:cs="宋体"/>
                <w:sz w:val="21"/>
                <w:szCs w:val="21"/>
              </w:rPr>
            </w:pPr>
            <w:r>
              <w:rPr>
                <w:rFonts w:ascii="宋体" w:hAnsi="宋体" w:cs="宋体" w:hint="eastAsia"/>
                <w:kern w:val="0"/>
                <w:sz w:val="21"/>
                <w:szCs w:val="21"/>
                <w:lang w:bidi="ar"/>
              </w:rPr>
              <w:t>1.0410</w:t>
            </w:r>
          </w:p>
        </w:tc>
        <w:tc>
          <w:tcPr>
            <w:tcW w:w="1562" w:type="dxa"/>
            <w:tcBorders>
              <w:top w:val="single" w:sz="4" w:space="0" w:color="000000"/>
              <w:left w:val="nil"/>
              <w:bottom w:val="nil"/>
              <w:right w:val="nil"/>
            </w:tcBorders>
            <w:vAlign w:val="center"/>
          </w:tcPr>
          <w:p w14:paraId="49BD2A98" w14:textId="77777777" w:rsidR="00000000" w:rsidRDefault="00000000">
            <w:pPr>
              <w:widowControl/>
              <w:snapToGrid w:val="0"/>
              <w:ind w:firstLine="0"/>
              <w:jc w:val="center"/>
              <w:textAlignment w:val="center"/>
              <w:rPr>
                <w:rFonts w:ascii="宋体" w:hAnsi="宋体" w:cs="宋体"/>
                <w:sz w:val="21"/>
                <w:szCs w:val="21"/>
              </w:rPr>
            </w:pPr>
            <w:r>
              <w:rPr>
                <w:rFonts w:ascii="宋体" w:hAnsi="宋体" w:cs="宋体" w:hint="eastAsia"/>
                <w:kern w:val="0"/>
                <w:sz w:val="21"/>
                <w:szCs w:val="21"/>
                <w:lang w:bidi="ar"/>
              </w:rPr>
              <w:t>1.3920</w:t>
            </w:r>
          </w:p>
        </w:tc>
        <w:tc>
          <w:tcPr>
            <w:tcW w:w="1562" w:type="dxa"/>
            <w:tcBorders>
              <w:top w:val="single" w:sz="4" w:space="0" w:color="000000"/>
              <w:left w:val="nil"/>
              <w:bottom w:val="nil"/>
              <w:right w:val="nil"/>
            </w:tcBorders>
            <w:vAlign w:val="center"/>
          </w:tcPr>
          <w:p w14:paraId="7917EDD8" w14:textId="77777777" w:rsidR="00000000" w:rsidRDefault="00000000">
            <w:pPr>
              <w:widowControl/>
              <w:snapToGrid w:val="0"/>
              <w:ind w:firstLine="0"/>
              <w:jc w:val="center"/>
              <w:textAlignment w:val="center"/>
              <w:rPr>
                <w:rFonts w:ascii="宋体" w:hAnsi="宋体" w:cs="宋体"/>
                <w:sz w:val="21"/>
                <w:szCs w:val="21"/>
              </w:rPr>
            </w:pPr>
            <w:r>
              <w:rPr>
                <w:rFonts w:ascii="宋体" w:hAnsi="宋体" w:cs="宋体" w:hint="eastAsia"/>
                <w:kern w:val="0"/>
                <w:sz w:val="21"/>
                <w:szCs w:val="21"/>
                <w:lang w:bidi="ar"/>
              </w:rPr>
              <w:t>1.5550</w:t>
            </w:r>
          </w:p>
        </w:tc>
      </w:tr>
      <w:tr w:rsidR="00000000" w14:paraId="2AFEC845" w14:textId="77777777">
        <w:trPr>
          <w:jc w:val="center"/>
        </w:trPr>
        <w:tc>
          <w:tcPr>
            <w:tcW w:w="820" w:type="dxa"/>
            <w:tcBorders>
              <w:top w:val="nil"/>
              <w:left w:val="nil"/>
              <w:bottom w:val="nil"/>
              <w:right w:val="nil"/>
            </w:tcBorders>
            <w:noWrap/>
            <w:vAlign w:val="center"/>
          </w:tcPr>
          <w:p w14:paraId="4704770E" w14:textId="77777777" w:rsidR="00000000" w:rsidRDefault="00000000">
            <w:pPr>
              <w:widowControl/>
              <w:snapToGrid w:val="0"/>
              <w:ind w:firstLine="0"/>
              <w:jc w:val="center"/>
              <w:textAlignment w:val="center"/>
              <w:rPr>
                <w:rFonts w:ascii="宋体" w:hAnsi="宋体" w:cs="宋体"/>
                <w:sz w:val="21"/>
                <w:szCs w:val="21"/>
              </w:rPr>
            </w:pPr>
            <w:r>
              <w:rPr>
                <w:rFonts w:ascii="宋体" w:hAnsi="宋体" w:cs="宋体" w:hint="eastAsia"/>
                <w:kern w:val="0"/>
                <w:sz w:val="21"/>
                <w:szCs w:val="21"/>
                <w:lang w:bidi="ar"/>
              </w:rPr>
              <w:t>A12</w:t>
            </w:r>
          </w:p>
        </w:tc>
        <w:tc>
          <w:tcPr>
            <w:tcW w:w="1562" w:type="dxa"/>
            <w:tcBorders>
              <w:top w:val="nil"/>
              <w:left w:val="nil"/>
              <w:bottom w:val="nil"/>
              <w:right w:val="nil"/>
            </w:tcBorders>
            <w:vAlign w:val="center"/>
          </w:tcPr>
          <w:p w14:paraId="11583FD6" w14:textId="77777777" w:rsidR="00000000" w:rsidRDefault="00000000">
            <w:pPr>
              <w:widowControl/>
              <w:snapToGrid w:val="0"/>
              <w:ind w:firstLine="0"/>
              <w:jc w:val="center"/>
              <w:textAlignment w:val="center"/>
              <w:rPr>
                <w:rFonts w:ascii="宋体" w:hAnsi="宋体" w:cs="宋体"/>
                <w:sz w:val="21"/>
                <w:szCs w:val="21"/>
              </w:rPr>
            </w:pPr>
            <w:r>
              <w:rPr>
                <w:rFonts w:ascii="宋体" w:hAnsi="宋体" w:cs="宋体" w:hint="eastAsia"/>
                <w:kern w:val="0"/>
                <w:sz w:val="21"/>
                <w:szCs w:val="21"/>
                <w:lang w:bidi="ar"/>
              </w:rPr>
              <w:t>1.0840</w:t>
            </w:r>
          </w:p>
        </w:tc>
        <w:tc>
          <w:tcPr>
            <w:tcW w:w="1562" w:type="dxa"/>
            <w:tcBorders>
              <w:top w:val="nil"/>
              <w:left w:val="nil"/>
              <w:bottom w:val="nil"/>
              <w:right w:val="nil"/>
            </w:tcBorders>
            <w:vAlign w:val="center"/>
          </w:tcPr>
          <w:p w14:paraId="0195AFDD" w14:textId="77777777" w:rsidR="00000000" w:rsidRDefault="00000000">
            <w:pPr>
              <w:widowControl/>
              <w:snapToGrid w:val="0"/>
              <w:ind w:firstLine="0"/>
              <w:jc w:val="center"/>
              <w:textAlignment w:val="center"/>
              <w:rPr>
                <w:rFonts w:ascii="宋体" w:hAnsi="宋体" w:cs="宋体"/>
                <w:sz w:val="21"/>
                <w:szCs w:val="21"/>
              </w:rPr>
            </w:pPr>
            <w:r>
              <w:rPr>
                <w:rFonts w:ascii="宋体" w:hAnsi="宋体" w:cs="宋体" w:hint="eastAsia"/>
                <w:kern w:val="0"/>
                <w:sz w:val="21"/>
                <w:szCs w:val="21"/>
                <w:lang w:bidi="ar"/>
              </w:rPr>
              <w:t>0.9630</w:t>
            </w:r>
          </w:p>
        </w:tc>
        <w:tc>
          <w:tcPr>
            <w:tcW w:w="1562" w:type="dxa"/>
            <w:tcBorders>
              <w:top w:val="nil"/>
              <w:left w:val="nil"/>
              <w:bottom w:val="nil"/>
              <w:right w:val="nil"/>
            </w:tcBorders>
            <w:vAlign w:val="center"/>
          </w:tcPr>
          <w:p w14:paraId="668870D3" w14:textId="77777777" w:rsidR="00000000" w:rsidRDefault="00000000">
            <w:pPr>
              <w:widowControl/>
              <w:snapToGrid w:val="0"/>
              <w:ind w:firstLine="0"/>
              <w:jc w:val="center"/>
              <w:textAlignment w:val="center"/>
              <w:rPr>
                <w:rFonts w:ascii="宋体" w:hAnsi="宋体" w:cs="宋体"/>
                <w:sz w:val="21"/>
                <w:szCs w:val="21"/>
              </w:rPr>
            </w:pPr>
            <w:r>
              <w:rPr>
                <w:rFonts w:ascii="宋体" w:hAnsi="宋体" w:cs="宋体" w:hint="eastAsia"/>
                <w:kern w:val="0"/>
                <w:sz w:val="21"/>
                <w:szCs w:val="21"/>
                <w:lang w:bidi="ar"/>
              </w:rPr>
              <w:t>0.8310</w:t>
            </w:r>
          </w:p>
        </w:tc>
        <w:tc>
          <w:tcPr>
            <w:tcW w:w="1562" w:type="dxa"/>
            <w:tcBorders>
              <w:top w:val="nil"/>
              <w:left w:val="nil"/>
              <w:bottom w:val="nil"/>
              <w:right w:val="nil"/>
            </w:tcBorders>
            <w:vAlign w:val="center"/>
          </w:tcPr>
          <w:p w14:paraId="1B5D29B2" w14:textId="77777777" w:rsidR="00000000" w:rsidRDefault="00000000">
            <w:pPr>
              <w:widowControl/>
              <w:snapToGrid w:val="0"/>
              <w:ind w:firstLine="0"/>
              <w:jc w:val="center"/>
              <w:textAlignment w:val="center"/>
              <w:rPr>
                <w:rFonts w:ascii="宋体" w:hAnsi="宋体" w:cs="宋体"/>
                <w:sz w:val="21"/>
                <w:szCs w:val="21"/>
              </w:rPr>
            </w:pPr>
            <w:r>
              <w:rPr>
                <w:rFonts w:ascii="宋体" w:hAnsi="宋体" w:cs="宋体" w:hint="eastAsia"/>
                <w:kern w:val="0"/>
                <w:sz w:val="21"/>
                <w:szCs w:val="21"/>
                <w:lang w:bidi="ar"/>
              </w:rPr>
              <w:t>1.1770</w:t>
            </w:r>
          </w:p>
        </w:tc>
        <w:tc>
          <w:tcPr>
            <w:tcW w:w="1562" w:type="dxa"/>
            <w:tcBorders>
              <w:top w:val="nil"/>
              <w:left w:val="nil"/>
              <w:bottom w:val="nil"/>
              <w:right w:val="nil"/>
            </w:tcBorders>
            <w:vAlign w:val="center"/>
          </w:tcPr>
          <w:p w14:paraId="601544D7" w14:textId="77777777" w:rsidR="00000000" w:rsidRDefault="00000000">
            <w:pPr>
              <w:widowControl/>
              <w:snapToGrid w:val="0"/>
              <w:ind w:firstLine="0"/>
              <w:jc w:val="center"/>
              <w:textAlignment w:val="center"/>
              <w:rPr>
                <w:rFonts w:ascii="宋体" w:hAnsi="宋体" w:cs="宋体"/>
                <w:sz w:val="21"/>
                <w:szCs w:val="21"/>
              </w:rPr>
            </w:pPr>
            <w:r>
              <w:rPr>
                <w:rFonts w:ascii="宋体" w:hAnsi="宋体" w:cs="宋体" w:hint="eastAsia"/>
                <w:kern w:val="0"/>
                <w:sz w:val="21"/>
                <w:szCs w:val="21"/>
                <w:lang w:bidi="ar"/>
              </w:rPr>
              <w:t>1.3410</w:t>
            </w:r>
          </w:p>
        </w:tc>
      </w:tr>
      <w:tr w:rsidR="00000000" w14:paraId="552418D1" w14:textId="77777777">
        <w:trPr>
          <w:jc w:val="center"/>
        </w:trPr>
        <w:tc>
          <w:tcPr>
            <w:tcW w:w="820" w:type="dxa"/>
            <w:tcBorders>
              <w:top w:val="nil"/>
              <w:left w:val="nil"/>
              <w:bottom w:val="nil"/>
              <w:right w:val="nil"/>
            </w:tcBorders>
            <w:noWrap/>
            <w:vAlign w:val="center"/>
          </w:tcPr>
          <w:p w14:paraId="0B55C295" w14:textId="77777777" w:rsidR="00000000" w:rsidRDefault="00000000">
            <w:pPr>
              <w:widowControl/>
              <w:snapToGrid w:val="0"/>
              <w:ind w:firstLine="0"/>
              <w:jc w:val="center"/>
              <w:textAlignment w:val="center"/>
              <w:rPr>
                <w:rFonts w:ascii="宋体" w:hAnsi="宋体" w:cs="宋体"/>
                <w:sz w:val="21"/>
                <w:szCs w:val="21"/>
              </w:rPr>
            </w:pPr>
            <w:r>
              <w:rPr>
                <w:rFonts w:ascii="宋体" w:hAnsi="宋体" w:cs="宋体" w:hint="eastAsia"/>
                <w:kern w:val="0"/>
                <w:sz w:val="21"/>
                <w:szCs w:val="21"/>
                <w:lang w:bidi="ar"/>
              </w:rPr>
              <w:t>A13</w:t>
            </w:r>
          </w:p>
        </w:tc>
        <w:tc>
          <w:tcPr>
            <w:tcW w:w="1562" w:type="dxa"/>
            <w:tcBorders>
              <w:top w:val="nil"/>
              <w:left w:val="nil"/>
              <w:bottom w:val="nil"/>
              <w:right w:val="nil"/>
            </w:tcBorders>
            <w:vAlign w:val="center"/>
          </w:tcPr>
          <w:p w14:paraId="7416747D" w14:textId="77777777" w:rsidR="00000000" w:rsidRDefault="00000000">
            <w:pPr>
              <w:widowControl/>
              <w:snapToGrid w:val="0"/>
              <w:ind w:firstLine="0"/>
              <w:jc w:val="center"/>
              <w:textAlignment w:val="center"/>
              <w:rPr>
                <w:rFonts w:ascii="宋体" w:hAnsi="宋体" w:cs="宋体"/>
                <w:sz w:val="21"/>
                <w:szCs w:val="21"/>
              </w:rPr>
            </w:pPr>
            <w:r>
              <w:rPr>
                <w:rFonts w:ascii="宋体" w:hAnsi="宋体" w:cs="宋体" w:hint="eastAsia"/>
                <w:kern w:val="0"/>
                <w:sz w:val="21"/>
                <w:szCs w:val="21"/>
                <w:lang w:bidi="ar"/>
              </w:rPr>
              <w:t>0.5360</w:t>
            </w:r>
          </w:p>
        </w:tc>
        <w:tc>
          <w:tcPr>
            <w:tcW w:w="1562" w:type="dxa"/>
            <w:tcBorders>
              <w:top w:val="nil"/>
              <w:left w:val="nil"/>
              <w:bottom w:val="nil"/>
              <w:right w:val="nil"/>
            </w:tcBorders>
            <w:vAlign w:val="center"/>
          </w:tcPr>
          <w:p w14:paraId="1C7FDF9D" w14:textId="77777777" w:rsidR="00000000" w:rsidRDefault="00000000">
            <w:pPr>
              <w:widowControl/>
              <w:snapToGrid w:val="0"/>
              <w:ind w:firstLine="0"/>
              <w:jc w:val="center"/>
              <w:textAlignment w:val="center"/>
              <w:rPr>
                <w:rFonts w:ascii="宋体" w:hAnsi="宋体" w:cs="宋体"/>
                <w:sz w:val="21"/>
                <w:szCs w:val="21"/>
              </w:rPr>
            </w:pPr>
            <w:r>
              <w:rPr>
                <w:rFonts w:ascii="宋体" w:hAnsi="宋体" w:cs="宋体" w:hint="eastAsia"/>
                <w:kern w:val="0"/>
                <w:sz w:val="21"/>
                <w:szCs w:val="21"/>
                <w:lang w:bidi="ar"/>
              </w:rPr>
              <w:t>0.6960</w:t>
            </w:r>
          </w:p>
        </w:tc>
        <w:tc>
          <w:tcPr>
            <w:tcW w:w="1562" w:type="dxa"/>
            <w:tcBorders>
              <w:top w:val="nil"/>
              <w:left w:val="nil"/>
              <w:bottom w:val="nil"/>
              <w:right w:val="nil"/>
            </w:tcBorders>
            <w:vAlign w:val="center"/>
          </w:tcPr>
          <w:p w14:paraId="70B25BC7" w14:textId="77777777" w:rsidR="00000000" w:rsidRDefault="00000000">
            <w:pPr>
              <w:widowControl/>
              <w:snapToGrid w:val="0"/>
              <w:ind w:firstLine="0"/>
              <w:jc w:val="center"/>
              <w:textAlignment w:val="center"/>
              <w:rPr>
                <w:rFonts w:ascii="宋体" w:hAnsi="宋体" w:cs="宋体"/>
                <w:sz w:val="21"/>
                <w:szCs w:val="21"/>
              </w:rPr>
            </w:pPr>
            <w:r>
              <w:rPr>
                <w:rFonts w:ascii="宋体" w:hAnsi="宋体" w:cs="宋体" w:hint="eastAsia"/>
                <w:kern w:val="0"/>
                <w:sz w:val="21"/>
                <w:szCs w:val="21"/>
                <w:lang w:bidi="ar"/>
              </w:rPr>
              <w:t>0.7590</w:t>
            </w:r>
          </w:p>
        </w:tc>
        <w:tc>
          <w:tcPr>
            <w:tcW w:w="1562" w:type="dxa"/>
            <w:tcBorders>
              <w:top w:val="nil"/>
              <w:left w:val="nil"/>
              <w:bottom w:val="nil"/>
              <w:right w:val="nil"/>
            </w:tcBorders>
            <w:vAlign w:val="center"/>
          </w:tcPr>
          <w:p w14:paraId="0577E805" w14:textId="77777777" w:rsidR="00000000" w:rsidRDefault="00000000">
            <w:pPr>
              <w:widowControl/>
              <w:snapToGrid w:val="0"/>
              <w:ind w:firstLine="0"/>
              <w:jc w:val="center"/>
              <w:textAlignment w:val="center"/>
              <w:rPr>
                <w:rFonts w:ascii="宋体" w:hAnsi="宋体" w:cs="宋体"/>
                <w:sz w:val="21"/>
                <w:szCs w:val="21"/>
              </w:rPr>
            </w:pPr>
            <w:r>
              <w:rPr>
                <w:rFonts w:ascii="宋体" w:hAnsi="宋体" w:cs="宋体" w:hint="eastAsia"/>
                <w:kern w:val="0"/>
                <w:sz w:val="21"/>
                <w:szCs w:val="21"/>
                <w:lang w:bidi="ar"/>
              </w:rPr>
              <w:t>0.6600</w:t>
            </w:r>
          </w:p>
        </w:tc>
        <w:tc>
          <w:tcPr>
            <w:tcW w:w="1562" w:type="dxa"/>
            <w:tcBorders>
              <w:top w:val="nil"/>
              <w:left w:val="nil"/>
              <w:bottom w:val="nil"/>
              <w:right w:val="nil"/>
            </w:tcBorders>
            <w:vAlign w:val="center"/>
          </w:tcPr>
          <w:p w14:paraId="640CABB5" w14:textId="77777777" w:rsidR="00000000" w:rsidRDefault="00000000">
            <w:pPr>
              <w:widowControl/>
              <w:snapToGrid w:val="0"/>
              <w:ind w:firstLine="0"/>
              <w:jc w:val="center"/>
              <w:textAlignment w:val="center"/>
              <w:rPr>
                <w:rFonts w:ascii="宋体" w:hAnsi="宋体" w:cs="宋体"/>
                <w:sz w:val="21"/>
                <w:szCs w:val="21"/>
              </w:rPr>
            </w:pPr>
            <w:r>
              <w:rPr>
                <w:rFonts w:ascii="宋体" w:hAnsi="宋体" w:cs="宋体" w:hint="eastAsia"/>
                <w:kern w:val="0"/>
                <w:sz w:val="21"/>
                <w:szCs w:val="21"/>
                <w:lang w:bidi="ar"/>
              </w:rPr>
              <w:t>0.6130</w:t>
            </w:r>
          </w:p>
        </w:tc>
      </w:tr>
      <w:tr w:rsidR="00000000" w14:paraId="01F870DA" w14:textId="77777777">
        <w:trPr>
          <w:jc w:val="center"/>
        </w:trPr>
        <w:tc>
          <w:tcPr>
            <w:tcW w:w="820" w:type="dxa"/>
            <w:tcBorders>
              <w:top w:val="nil"/>
              <w:left w:val="nil"/>
              <w:bottom w:val="nil"/>
              <w:right w:val="nil"/>
            </w:tcBorders>
            <w:noWrap/>
            <w:vAlign w:val="center"/>
          </w:tcPr>
          <w:p w14:paraId="64D8F080" w14:textId="77777777" w:rsidR="00000000" w:rsidRDefault="00000000">
            <w:pPr>
              <w:widowControl/>
              <w:snapToGrid w:val="0"/>
              <w:ind w:firstLine="0"/>
              <w:jc w:val="center"/>
              <w:textAlignment w:val="center"/>
              <w:rPr>
                <w:rFonts w:ascii="宋体" w:hAnsi="宋体" w:cs="宋体"/>
                <w:sz w:val="21"/>
                <w:szCs w:val="21"/>
              </w:rPr>
            </w:pPr>
            <w:r>
              <w:rPr>
                <w:rFonts w:ascii="宋体" w:hAnsi="宋体" w:cs="宋体" w:hint="eastAsia"/>
                <w:kern w:val="0"/>
                <w:sz w:val="21"/>
                <w:szCs w:val="21"/>
                <w:lang w:bidi="ar"/>
              </w:rPr>
              <w:lastRenderedPageBreak/>
              <w:t>A14</w:t>
            </w:r>
          </w:p>
        </w:tc>
        <w:tc>
          <w:tcPr>
            <w:tcW w:w="1562" w:type="dxa"/>
            <w:tcBorders>
              <w:top w:val="nil"/>
              <w:left w:val="nil"/>
              <w:bottom w:val="nil"/>
              <w:right w:val="nil"/>
            </w:tcBorders>
            <w:vAlign w:val="center"/>
          </w:tcPr>
          <w:p w14:paraId="718F51E3" w14:textId="77777777" w:rsidR="00000000" w:rsidRDefault="00000000">
            <w:pPr>
              <w:widowControl/>
              <w:snapToGrid w:val="0"/>
              <w:ind w:firstLine="0"/>
              <w:jc w:val="center"/>
              <w:textAlignment w:val="center"/>
              <w:rPr>
                <w:rFonts w:ascii="宋体" w:hAnsi="宋体" w:cs="宋体"/>
                <w:sz w:val="21"/>
                <w:szCs w:val="21"/>
              </w:rPr>
            </w:pPr>
            <w:r>
              <w:rPr>
                <w:rFonts w:ascii="宋体" w:hAnsi="宋体" w:cs="宋体" w:hint="eastAsia"/>
                <w:kern w:val="0"/>
                <w:sz w:val="21"/>
                <w:szCs w:val="21"/>
                <w:lang w:bidi="ar"/>
              </w:rPr>
              <w:t>34.8800</w:t>
            </w:r>
          </w:p>
        </w:tc>
        <w:tc>
          <w:tcPr>
            <w:tcW w:w="1562" w:type="dxa"/>
            <w:tcBorders>
              <w:top w:val="nil"/>
              <w:left w:val="nil"/>
              <w:bottom w:val="nil"/>
              <w:right w:val="nil"/>
            </w:tcBorders>
            <w:vAlign w:val="center"/>
          </w:tcPr>
          <w:p w14:paraId="2245672E" w14:textId="77777777" w:rsidR="00000000" w:rsidRDefault="00000000">
            <w:pPr>
              <w:widowControl/>
              <w:snapToGrid w:val="0"/>
              <w:ind w:firstLine="0"/>
              <w:jc w:val="center"/>
              <w:textAlignment w:val="center"/>
              <w:rPr>
                <w:rFonts w:ascii="宋体" w:hAnsi="宋体" w:cs="宋体"/>
                <w:sz w:val="21"/>
                <w:szCs w:val="21"/>
              </w:rPr>
            </w:pPr>
            <w:r>
              <w:rPr>
                <w:rFonts w:ascii="宋体" w:hAnsi="宋体" w:cs="宋体" w:hint="eastAsia"/>
                <w:kern w:val="0"/>
                <w:sz w:val="21"/>
                <w:szCs w:val="21"/>
                <w:lang w:bidi="ar"/>
              </w:rPr>
              <w:t>41.0400</w:t>
            </w:r>
          </w:p>
        </w:tc>
        <w:tc>
          <w:tcPr>
            <w:tcW w:w="1562" w:type="dxa"/>
            <w:tcBorders>
              <w:top w:val="nil"/>
              <w:left w:val="nil"/>
              <w:bottom w:val="nil"/>
              <w:right w:val="nil"/>
            </w:tcBorders>
            <w:vAlign w:val="center"/>
          </w:tcPr>
          <w:p w14:paraId="5B9410F9" w14:textId="77777777" w:rsidR="00000000" w:rsidRDefault="00000000">
            <w:pPr>
              <w:widowControl/>
              <w:snapToGrid w:val="0"/>
              <w:ind w:firstLine="0"/>
              <w:jc w:val="center"/>
              <w:textAlignment w:val="center"/>
              <w:rPr>
                <w:rFonts w:ascii="宋体" w:hAnsi="宋体" w:cs="宋体"/>
                <w:sz w:val="21"/>
                <w:szCs w:val="21"/>
              </w:rPr>
            </w:pPr>
            <w:r>
              <w:rPr>
                <w:rFonts w:ascii="宋体" w:hAnsi="宋体" w:cs="宋体" w:hint="eastAsia"/>
                <w:kern w:val="0"/>
                <w:sz w:val="21"/>
                <w:szCs w:val="21"/>
                <w:lang w:bidi="ar"/>
              </w:rPr>
              <w:t>43.1600</w:t>
            </w:r>
          </w:p>
        </w:tc>
        <w:tc>
          <w:tcPr>
            <w:tcW w:w="1562" w:type="dxa"/>
            <w:tcBorders>
              <w:top w:val="nil"/>
              <w:left w:val="nil"/>
              <w:bottom w:val="nil"/>
              <w:right w:val="nil"/>
            </w:tcBorders>
            <w:vAlign w:val="center"/>
          </w:tcPr>
          <w:p w14:paraId="5A5C0250" w14:textId="77777777" w:rsidR="00000000" w:rsidRDefault="00000000">
            <w:pPr>
              <w:widowControl/>
              <w:snapToGrid w:val="0"/>
              <w:ind w:firstLine="0"/>
              <w:jc w:val="center"/>
              <w:textAlignment w:val="center"/>
              <w:rPr>
                <w:rFonts w:ascii="宋体" w:hAnsi="宋体" w:cs="宋体"/>
                <w:sz w:val="21"/>
                <w:szCs w:val="21"/>
              </w:rPr>
            </w:pPr>
            <w:r>
              <w:rPr>
                <w:rFonts w:ascii="宋体" w:hAnsi="宋体" w:cs="宋体" w:hint="eastAsia"/>
                <w:kern w:val="0"/>
                <w:sz w:val="21"/>
                <w:szCs w:val="21"/>
                <w:lang w:bidi="ar"/>
              </w:rPr>
              <w:t>39.7600</w:t>
            </w:r>
          </w:p>
        </w:tc>
        <w:tc>
          <w:tcPr>
            <w:tcW w:w="1562" w:type="dxa"/>
            <w:tcBorders>
              <w:top w:val="nil"/>
              <w:left w:val="nil"/>
              <w:bottom w:val="nil"/>
              <w:right w:val="nil"/>
            </w:tcBorders>
            <w:vAlign w:val="center"/>
          </w:tcPr>
          <w:p w14:paraId="16D19972" w14:textId="77777777" w:rsidR="00000000" w:rsidRDefault="00000000">
            <w:pPr>
              <w:widowControl/>
              <w:snapToGrid w:val="0"/>
              <w:ind w:firstLine="0"/>
              <w:jc w:val="center"/>
              <w:textAlignment w:val="center"/>
              <w:rPr>
                <w:rFonts w:ascii="宋体" w:hAnsi="宋体" w:cs="宋体"/>
                <w:sz w:val="21"/>
                <w:szCs w:val="21"/>
              </w:rPr>
            </w:pPr>
            <w:r>
              <w:rPr>
                <w:rFonts w:ascii="宋体" w:hAnsi="宋体" w:cs="宋体" w:hint="eastAsia"/>
                <w:kern w:val="0"/>
                <w:sz w:val="21"/>
                <w:szCs w:val="21"/>
                <w:lang w:bidi="ar"/>
              </w:rPr>
              <w:t>38.0000</w:t>
            </w:r>
          </w:p>
        </w:tc>
      </w:tr>
      <w:tr w:rsidR="00000000" w14:paraId="3FA968F0" w14:textId="77777777">
        <w:trPr>
          <w:jc w:val="center"/>
        </w:trPr>
        <w:tc>
          <w:tcPr>
            <w:tcW w:w="820" w:type="dxa"/>
            <w:tcBorders>
              <w:top w:val="nil"/>
              <w:left w:val="nil"/>
              <w:bottom w:val="nil"/>
              <w:right w:val="nil"/>
            </w:tcBorders>
            <w:noWrap/>
            <w:vAlign w:val="center"/>
          </w:tcPr>
          <w:p w14:paraId="330E04C8" w14:textId="77777777" w:rsidR="00000000" w:rsidRDefault="00000000">
            <w:pPr>
              <w:widowControl/>
              <w:snapToGrid w:val="0"/>
              <w:ind w:firstLine="0"/>
              <w:jc w:val="center"/>
              <w:textAlignment w:val="center"/>
              <w:rPr>
                <w:rFonts w:ascii="宋体" w:hAnsi="宋体" w:cs="宋体"/>
                <w:sz w:val="21"/>
                <w:szCs w:val="21"/>
              </w:rPr>
            </w:pPr>
            <w:r>
              <w:rPr>
                <w:rFonts w:ascii="宋体" w:hAnsi="宋体" w:cs="宋体" w:hint="eastAsia"/>
                <w:kern w:val="0"/>
                <w:sz w:val="21"/>
                <w:szCs w:val="21"/>
                <w:lang w:bidi="ar"/>
              </w:rPr>
              <w:t>A21</w:t>
            </w:r>
          </w:p>
        </w:tc>
        <w:tc>
          <w:tcPr>
            <w:tcW w:w="1562" w:type="dxa"/>
            <w:tcBorders>
              <w:top w:val="nil"/>
              <w:left w:val="nil"/>
              <w:bottom w:val="nil"/>
              <w:right w:val="nil"/>
            </w:tcBorders>
            <w:vAlign w:val="center"/>
          </w:tcPr>
          <w:p w14:paraId="3BDA3F3B" w14:textId="77777777" w:rsidR="00000000" w:rsidRDefault="00000000">
            <w:pPr>
              <w:widowControl/>
              <w:snapToGrid w:val="0"/>
              <w:ind w:firstLine="0"/>
              <w:jc w:val="center"/>
              <w:textAlignment w:val="center"/>
              <w:rPr>
                <w:rFonts w:ascii="宋体" w:hAnsi="宋体" w:cs="宋体"/>
                <w:sz w:val="21"/>
                <w:szCs w:val="21"/>
              </w:rPr>
            </w:pPr>
            <w:r>
              <w:rPr>
                <w:rFonts w:ascii="宋体" w:hAnsi="宋体" w:cs="宋体" w:hint="eastAsia"/>
                <w:kern w:val="0"/>
                <w:sz w:val="21"/>
                <w:szCs w:val="21"/>
                <w:lang w:bidi="ar"/>
              </w:rPr>
              <w:t>7.0600</w:t>
            </w:r>
          </w:p>
        </w:tc>
        <w:tc>
          <w:tcPr>
            <w:tcW w:w="1562" w:type="dxa"/>
            <w:tcBorders>
              <w:top w:val="nil"/>
              <w:left w:val="nil"/>
              <w:bottom w:val="nil"/>
              <w:right w:val="nil"/>
            </w:tcBorders>
            <w:vAlign w:val="center"/>
          </w:tcPr>
          <w:p w14:paraId="3EB88B5B" w14:textId="77777777" w:rsidR="00000000" w:rsidRDefault="00000000">
            <w:pPr>
              <w:widowControl/>
              <w:snapToGrid w:val="0"/>
              <w:ind w:firstLine="0"/>
              <w:jc w:val="center"/>
              <w:textAlignment w:val="center"/>
              <w:rPr>
                <w:rFonts w:ascii="宋体" w:hAnsi="宋体" w:cs="宋体"/>
                <w:sz w:val="21"/>
                <w:szCs w:val="21"/>
              </w:rPr>
            </w:pPr>
            <w:r>
              <w:rPr>
                <w:rFonts w:ascii="宋体" w:hAnsi="宋体" w:cs="宋体" w:hint="eastAsia"/>
                <w:kern w:val="0"/>
                <w:sz w:val="21"/>
                <w:szCs w:val="21"/>
                <w:lang w:bidi="ar"/>
              </w:rPr>
              <w:t>7.7700</w:t>
            </w:r>
          </w:p>
        </w:tc>
        <w:tc>
          <w:tcPr>
            <w:tcW w:w="1562" w:type="dxa"/>
            <w:tcBorders>
              <w:top w:val="nil"/>
              <w:left w:val="nil"/>
              <w:bottom w:val="nil"/>
              <w:right w:val="nil"/>
            </w:tcBorders>
            <w:vAlign w:val="center"/>
          </w:tcPr>
          <w:p w14:paraId="48C7027E" w14:textId="77777777" w:rsidR="00000000" w:rsidRDefault="00000000">
            <w:pPr>
              <w:widowControl/>
              <w:snapToGrid w:val="0"/>
              <w:ind w:firstLine="0"/>
              <w:jc w:val="center"/>
              <w:textAlignment w:val="center"/>
              <w:rPr>
                <w:rFonts w:ascii="宋体" w:hAnsi="宋体" w:cs="宋体"/>
                <w:sz w:val="21"/>
                <w:szCs w:val="21"/>
              </w:rPr>
            </w:pPr>
            <w:r>
              <w:rPr>
                <w:rFonts w:ascii="宋体" w:hAnsi="宋体" w:cs="宋体" w:hint="eastAsia"/>
                <w:kern w:val="0"/>
                <w:sz w:val="21"/>
                <w:szCs w:val="21"/>
                <w:lang w:bidi="ar"/>
              </w:rPr>
              <w:t>5.9800</w:t>
            </w:r>
          </w:p>
        </w:tc>
        <w:tc>
          <w:tcPr>
            <w:tcW w:w="1562" w:type="dxa"/>
            <w:tcBorders>
              <w:top w:val="nil"/>
              <w:left w:val="nil"/>
              <w:bottom w:val="nil"/>
              <w:right w:val="nil"/>
            </w:tcBorders>
            <w:vAlign w:val="center"/>
          </w:tcPr>
          <w:p w14:paraId="15B76CD9" w14:textId="77777777" w:rsidR="00000000" w:rsidRDefault="00000000">
            <w:pPr>
              <w:widowControl/>
              <w:snapToGrid w:val="0"/>
              <w:ind w:firstLine="0"/>
              <w:jc w:val="center"/>
              <w:textAlignment w:val="center"/>
              <w:rPr>
                <w:rFonts w:ascii="宋体" w:hAnsi="宋体" w:cs="宋体"/>
                <w:sz w:val="21"/>
                <w:szCs w:val="21"/>
              </w:rPr>
            </w:pPr>
            <w:r>
              <w:rPr>
                <w:rFonts w:ascii="宋体" w:hAnsi="宋体" w:cs="宋体" w:hint="eastAsia"/>
                <w:kern w:val="0"/>
                <w:sz w:val="21"/>
                <w:szCs w:val="21"/>
                <w:lang w:bidi="ar"/>
              </w:rPr>
              <w:t>9.4200</w:t>
            </w:r>
          </w:p>
        </w:tc>
        <w:tc>
          <w:tcPr>
            <w:tcW w:w="1562" w:type="dxa"/>
            <w:tcBorders>
              <w:top w:val="nil"/>
              <w:left w:val="nil"/>
              <w:bottom w:val="nil"/>
              <w:right w:val="nil"/>
            </w:tcBorders>
            <w:vAlign w:val="center"/>
          </w:tcPr>
          <w:p w14:paraId="38D788D7" w14:textId="77777777" w:rsidR="00000000" w:rsidRDefault="00000000">
            <w:pPr>
              <w:widowControl/>
              <w:snapToGrid w:val="0"/>
              <w:ind w:firstLine="0"/>
              <w:jc w:val="center"/>
              <w:textAlignment w:val="center"/>
              <w:rPr>
                <w:rFonts w:ascii="宋体" w:hAnsi="宋体" w:cs="宋体"/>
                <w:sz w:val="21"/>
                <w:szCs w:val="21"/>
              </w:rPr>
            </w:pPr>
            <w:r>
              <w:rPr>
                <w:rFonts w:ascii="宋体" w:hAnsi="宋体" w:cs="宋体" w:hint="eastAsia"/>
                <w:kern w:val="0"/>
                <w:sz w:val="21"/>
                <w:szCs w:val="21"/>
                <w:lang w:bidi="ar"/>
              </w:rPr>
              <w:t>10.3300</w:t>
            </w:r>
          </w:p>
        </w:tc>
      </w:tr>
      <w:tr w:rsidR="00000000" w14:paraId="0B9286B7" w14:textId="77777777">
        <w:trPr>
          <w:jc w:val="center"/>
        </w:trPr>
        <w:tc>
          <w:tcPr>
            <w:tcW w:w="820" w:type="dxa"/>
            <w:tcBorders>
              <w:top w:val="nil"/>
              <w:left w:val="nil"/>
              <w:bottom w:val="nil"/>
              <w:right w:val="nil"/>
            </w:tcBorders>
            <w:noWrap/>
            <w:vAlign w:val="center"/>
          </w:tcPr>
          <w:p w14:paraId="612B87F1" w14:textId="77777777" w:rsidR="00000000" w:rsidRDefault="00000000">
            <w:pPr>
              <w:widowControl/>
              <w:snapToGrid w:val="0"/>
              <w:ind w:firstLine="0"/>
              <w:jc w:val="center"/>
              <w:textAlignment w:val="center"/>
              <w:rPr>
                <w:rFonts w:ascii="宋体" w:hAnsi="宋体" w:cs="宋体"/>
                <w:sz w:val="21"/>
                <w:szCs w:val="21"/>
              </w:rPr>
            </w:pPr>
            <w:r>
              <w:rPr>
                <w:rFonts w:ascii="宋体" w:hAnsi="宋体" w:cs="宋体" w:hint="eastAsia"/>
                <w:kern w:val="0"/>
                <w:sz w:val="21"/>
                <w:szCs w:val="21"/>
                <w:lang w:bidi="ar"/>
              </w:rPr>
              <w:t>A22</w:t>
            </w:r>
          </w:p>
        </w:tc>
        <w:tc>
          <w:tcPr>
            <w:tcW w:w="1562" w:type="dxa"/>
            <w:tcBorders>
              <w:top w:val="nil"/>
              <w:left w:val="nil"/>
              <w:bottom w:val="nil"/>
              <w:right w:val="nil"/>
            </w:tcBorders>
            <w:vAlign w:val="center"/>
          </w:tcPr>
          <w:p w14:paraId="5E0B10B3" w14:textId="77777777" w:rsidR="00000000" w:rsidRDefault="00000000">
            <w:pPr>
              <w:widowControl/>
              <w:snapToGrid w:val="0"/>
              <w:ind w:firstLine="0"/>
              <w:jc w:val="center"/>
              <w:textAlignment w:val="center"/>
              <w:rPr>
                <w:rFonts w:ascii="宋体" w:hAnsi="宋体" w:cs="宋体"/>
                <w:sz w:val="21"/>
                <w:szCs w:val="21"/>
              </w:rPr>
            </w:pPr>
            <w:r>
              <w:rPr>
                <w:rFonts w:ascii="宋体" w:hAnsi="宋体" w:cs="宋体" w:hint="eastAsia"/>
                <w:kern w:val="0"/>
                <w:sz w:val="21"/>
                <w:szCs w:val="21"/>
                <w:lang w:bidi="ar"/>
              </w:rPr>
              <w:t>3.4600</w:t>
            </w:r>
          </w:p>
        </w:tc>
        <w:tc>
          <w:tcPr>
            <w:tcW w:w="1562" w:type="dxa"/>
            <w:tcBorders>
              <w:top w:val="nil"/>
              <w:left w:val="nil"/>
              <w:bottom w:val="nil"/>
              <w:right w:val="nil"/>
            </w:tcBorders>
            <w:vAlign w:val="center"/>
          </w:tcPr>
          <w:p w14:paraId="698C8F4C" w14:textId="77777777" w:rsidR="00000000" w:rsidRDefault="00000000">
            <w:pPr>
              <w:widowControl/>
              <w:snapToGrid w:val="0"/>
              <w:ind w:firstLine="0"/>
              <w:jc w:val="center"/>
              <w:textAlignment w:val="center"/>
              <w:rPr>
                <w:rFonts w:ascii="宋体" w:hAnsi="宋体" w:cs="宋体"/>
                <w:sz w:val="21"/>
                <w:szCs w:val="21"/>
              </w:rPr>
            </w:pPr>
            <w:r>
              <w:rPr>
                <w:rFonts w:ascii="宋体" w:hAnsi="宋体" w:cs="宋体" w:hint="eastAsia"/>
                <w:kern w:val="0"/>
                <w:sz w:val="21"/>
                <w:szCs w:val="21"/>
                <w:lang w:bidi="ar"/>
              </w:rPr>
              <w:t>3.9700</w:t>
            </w:r>
          </w:p>
        </w:tc>
        <w:tc>
          <w:tcPr>
            <w:tcW w:w="1562" w:type="dxa"/>
            <w:tcBorders>
              <w:top w:val="nil"/>
              <w:left w:val="nil"/>
              <w:bottom w:val="nil"/>
              <w:right w:val="nil"/>
            </w:tcBorders>
            <w:vAlign w:val="center"/>
          </w:tcPr>
          <w:p w14:paraId="50624281" w14:textId="77777777" w:rsidR="00000000" w:rsidRDefault="00000000">
            <w:pPr>
              <w:widowControl/>
              <w:snapToGrid w:val="0"/>
              <w:ind w:firstLine="0"/>
              <w:jc w:val="center"/>
              <w:textAlignment w:val="center"/>
              <w:rPr>
                <w:rFonts w:ascii="宋体" w:hAnsi="宋体" w:cs="宋体"/>
                <w:sz w:val="21"/>
                <w:szCs w:val="21"/>
              </w:rPr>
            </w:pPr>
            <w:r>
              <w:rPr>
                <w:rFonts w:ascii="宋体" w:hAnsi="宋体" w:cs="宋体" w:hint="eastAsia"/>
                <w:kern w:val="0"/>
                <w:sz w:val="21"/>
                <w:szCs w:val="21"/>
                <w:lang w:bidi="ar"/>
              </w:rPr>
              <w:t>2.6000</w:t>
            </w:r>
          </w:p>
        </w:tc>
        <w:tc>
          <w:tcPr>
            <w:tcW w:w="1562" w:type="dxa"/>
            <w:tcBorders>
              <w:top w:val="nil"/>
              <w:left w:val="nil"/>
              <w:bottom w:val="nil"/>
              <w:right w:val="nil"/>
            </w:tcBorders>
            <w:vAlign w:val="center"/>
          </w:tcPr>
          <w:p w14:paraId="649E3E48" w14:textId="77777777" w:rsidR="00000000" w:rsidRDefault="00000000">
            <w:pPr>
              <w:widowControl/>
              <w:snapToGrid w:val="0"/>
              <w:ind w:firstLine="0"/>
              <w:jc w:val="center"/>
              <w:textAlignment w:val="center"/>
              <w:rPr>
                <w:rFonts w:ascii="宋体" w:hAnsi="宋体" w:cs="宋体"/>
                <w:sz w:val="21"/>
                <w:szCs w:val="21"/>
              </w:rPr>
            </w:pPr>
            <w:r>
              <w:rPr>
                <w:rFonts w:ascii="宋体" w:hAnsi="宋体" w:cs="宋体" w:hint="eastAsia"/>
                <w:kern w:val="0"/>
                <w:sz w:val="21"/>
                <w:szCs w:val="21"/>
                <w:lang w:bidi="ar"/>
              </w:rPr>
              <w:t>4.2800</w:t>
            </w:r>
          </w:p>
        </w:tc>
        <w:tc>
          <w:tcPr>
            <w:tcW w:w="1562" w:type="dxa"/>
            <w:tcBorders>
              <w:top w:val="nil"/>
              <w:left w:val="nil"/>
              <w:bottom w:val="nil"/>
              <w:right w:val="nil"/>
            </w:tcBorders>
            <w:vAlign w:val="center"/>
          </w:tcPr>
          <w:p w14:paraId="25C82DD2" w14:textId="77777777" w:rsidR="00000000" w:rsidRDefault="00000000">
            <w:pPr>
              <w:widowControl/>
              <w:snapToGrid w:val="0"/>
              <w:ind w:firstLine="0"/>
              <w:jc w:val="center"/>
              <w:textAlignment w:val="center"/>
              <w:rPr>
                <w:rFonts w:ascii="宋体" w:hAnsi="宋体" w:cs="宋体"/>
                <w:sz w:val="21"/>
                <w:szCs w:val="21"/>
              </w:rPr>
            </w:pPr>
            <w:r>
              <w:rPr>
                <w:rFonts w:ascii="宋体" w:hAnsi="宋体" w:cs="宋体" w:hint="eastAsia"/>
                <w:kern w:val="0"/>
                <w:sz w:val="21"/>
                <w:szCs w:val="21"/>
                <w:lang w:bidi="ar"/>
              </w:rPr>
              <w:t>4.3800</w:t>
            </w:r>
          </w:p>
        </w:tc>
      </w:tr>
      <w:tr w:rsidR="00000000" w14:paraId="57CB8760" w14:textId="77777777">
        <w:trPr>
          <w:jc w:val="center"/>
        </w:trPr>
        <w:tc>
          <w:tcPr>
            <w:tcW w:w="820" w:type="dxa"/>
            <w:tcBorders>
              <w:top w:val="nil"/>
              <w:left w:val="nil"/>
              <w:bottom w:val="nil"/>
              <w:right w:val="nil"/>
            </w:tcBorders>
            <w:noWrap/>
            <w:vAlign w:val="center"/>
          </w:tcPr>
          <w:p w14:paraId="0F46E184" w14:textId="77777777" w:rsidR="00000000" w:rsidRDefault="00000000">
            <w:pPr>
              <w:widowControl/>
              <w:snapToGrid w:val="0"/>
              <w:ind w:firstLine="0"/>
              <w:jc w:val="center"/>
              <w:textAlignment w:val="center"/>
              <w:rPr>
                <w:rFonts w:ascii="宋体" w:hAnsi="宋体" w:cs="宋体"/>
                <w:sz w:val="21"/>
                <w:szCs w:val="21"/>
              </w:rPr>
            </w:pPr>
            <w:r>
              <w:rPr>
                <w:rFonts w:ascii="宋体" w:hAnsi="宋体" w:cs="宋体" w:hint="eastAsia"/>
                <w:kern w:val="0"/>
                <w:sz w:val="21"/>
                <w:szCs w:val="21"/>
                <w:lang w:bidi="ar"/>
              </w:rPr>
              <w:t>A23</w:t>
            </w:r>
          </w:p>
        </w:tc>
        <w:tc>
          <w:tcPr>
            <w:tcW w:w="1562" w:type="dxa"/>
            <w:tcBorders>
              <w:top w:val="nil"/>
              <w:left w:val="nil"/>
              <w:bottom w:val="nil"/>
              <w:right w:val="nil"/>
            </w:tcBorders>
            <w:noWrap/>
            <w:vAlign w:val="center"/>
          </w:tcPr>
          <w:p w14:paraId="2D463FEC" w14:textId="77777777" w:rsidR="00000000" w:rsidRDefault="00000000">
            <w:pPr>
              <w:widowControl/>
              <w:snapToGrid w:val="0"/>
              <w:ind w:firstLine="0"/>
              <w:jc w:val="center"/>
              <w:textAlignment w:val="center"/>
              <w:rPr>
                <w:rFonts w:ascii="宋体" w:hAnsi="宋体" w:cs="宋体"/>
                <w:sz w:val="21"/>
                <w:szCs w:val="21"/>
              </w:rPr>
            </w:pPr>
            <w:r>
              <w:rPr>
                <w:rFonts w:ascii="宋体" w:hAnsi="宋体" w:cs="宋体" w:hint="eastAsia"/>
                <w:kern w:val="0"/>
                <w:sz w:val="21"/>
                <w:szCs w:val="21"/>
                <w:lang w:bidi="ar"/>
              </w:rPr>
              <w:t>0.0892</w:t>
            </w:r>
          </w:p>
        </w:tc>
        <w:tc>
          <w:tcPr>
            <w:tcW w:w="1562" w:type="dxa"/>
            <w:tcBorders>
              <w:top w:val="nil"/>
              <w:left w:val="nil"/>
              <w:bottom w:val="nil"/>
              <w:right w:val="nil"/>
            </w:tcBorders>
            <w:noWrap/>
            <w:vAlign w:val="center"/>
          </w:tcPr>
          <w:p w14:paraId="7B0F18B2" w14:textId="77777777" w:rsidR="00000000" w:rsidRDefault="00000000">
            <w:pPr>
              <w:widowControl/>
              <w:snapToGrid w:val="0"/>
              <w:ind w:firstLine="0"/>
              <w:jc w:val="center"/>
              <w:textAlignment w:val="center"/>
              <w:rPr>
                <w:rFonts w:ascii="宋体" w:hAnsi="宋体" w:cs="宋体"/>
                <w:sz w:val="21"/>
                <w:szCs w:val="21"/>
              </w:rPr>
            </w:pPr>
            <w:r>
              <w:rPr>
                <w:rFonts w:ascii="宋体" w:hAnsi="宋体" w:cs="宋体" w:hint="eastAsia"/>
                <w:kern w:val="0"/>
                <w:sz w:val="21"/>
                <w:szCs w:val="21"/>
                <w:lang w:bidi="ar"/>
              </w:rPr>
              <w:t>0.1133</w:t>
            </w:r>
          </w:p>
        </w:tc>
        <w:tc>
          <w:tcPr>
            <w:tcW w:w="1562" w:type="dxa"/>
            <w:tcBorders>
              <w:top w:val="nil"/>
              <w:left w:val="nil"/>
              <w:bottom w:val="nil"/>
              <w:right w:val="nil"/>
            </w:tcBorders>
            <w:noWrap/>
            <w:vAlign w:val="center"/>
          </w:tcPr>
          <w:p w14:paraId="0D336E50" w14:textId="77777777" w:rsidR="00000000" w:rsidRDefault="00000000">
            <w:pPr>
              <w:widowControl/>
              <w:snapToGrid w:val="0"/>
              <w:ind w:firstLine="0"/>
              <w:jc w:val="center"/>
              <w:textAlignment w:val="center"/>
              <w:rPr>
                <w:rFonts w:ascii="宋体" w:hAnsi="宋体" w:cs="宋体"/>
                <w:sz w:val="21"/>
                <w:szCs w:val="21"/>
              </w:rPr>
            </w:pPr>
            <w:r>
              <w:rPr>
                <w:rFonts w:ascii="宋体" w:hAnsi="宋体" w:cs="宋体" w:hint="eastAsia"/>
                <w:kern w:val="0"/>
                <w:sz w:val="21"/>
                <w:szCs w:val="21"/>
                <w:lang w:bidi="ar"/>
              </w:rPr>
              <w:t>0.0815</w:t>
            </w:r>
          </w:p>
        </w:tc>
        <w:tc>
          <w:tcPr>
            <w:tcW w:w="1562" w:type="dxa"/>
            <w:tcBorders>
              <w:top w:val="nil"/>
              <w:left w:val="nil"/>
              <w:bottom w:val="nil"/>
              <w:right w:val="nil"/>
            </w:tcBorders>
            <w:noWrap/>
            <w:vAlign w:val="center"/>
          </w:tcPr>
          <w:p w14:paraId="091B9A1B" w14:textId="77777777" w:rsidR="00000000" w:rsidRDefault="00000000">
            <w:pPr>
              <w:widowControl/>
              <w:snapToGrid w:val="0"/>
              <w:ind w:firstLine="0"/>
              <w:jc w:val="center"/>
              <w:textAlignment w:val="center"/>
              <w:rPr>
                <w:rFonts w:ascii="宋体" w:hAnsi="宋体" w:cs="宋体"/>
                <w:sz w:val="21"/>
                <w:szCs w:val="21"/>
              </w:rPr>
            </w:pPr>
            <w:r>
              <w:rPr>
                <w:rFonts w:ascii="宋体" w:hAnsi="宋体" w:cs="宋体" w:hint="eastAsia"/>
                <w:kern w:val="0"/>
                <w:sz w:val="21"/>
                <w:szCs w:val="21"/>
                <w:lang w:bidi="ar"/>
              </w:rPr>
              <w:t>0.1349</w:t>
            </w:r>
          </w:p>
        </w:tc>
        <w:tc>
          <w:tcPr>
            <w:tcW w:w="1562" w:type="dxa"/>
            <w:tcBorders>
              <w:top w:val="nil"/>
              <w:left w:val="nil"/>
              <w:bottom w:val="nil"/>
              <w:right w:val="nil"/>
            </w:tcBorders>
            <w:noWrap/>
            <w:vAlign w:val="center"/>
          </w:tcPr>
          <w:p w14:paraId="02F3A347" w14:textId="77777777" w:rsidR="00000000" w:rsidRDefault="00000000">
            <w:pPr>
              <w:widowControl/>
              <w:snapToGrid w:val="0"/>
              <w:ind w:firstLine="0"/>
              <w:jc w:val="center"/>
              <w:textAlignment w:val="center"/>
              <w:rPr>
                <w:rFonts w:ascii="宋体" w:hAnsi="宋体" w:cs="宋体"/>
                <w:sz w:val="21"/>
                <w:szCs w:val="21"/>
              </w:rPr>
            </w:pPr>
            <w:r>
              <w:rPr>
                <w:rFonts w:ascii="宋体" w:hAnsi="宋体" w:cs="宋体" w:hint="eastAsia"/>
                <w:kern w:val="0"/>
                <w:sz w:val="21"/>
                <w:szCs w:val="21"/>
                <w:lang w:bidi="ar"/>
              </w:rPr>
              <w:t>0.1250</w:t>
            </w:r>
          </w:p>
        </w:tc>
      </w:tr>
      <w:tr w:rsidR="00000000" w14:paraId="670D1B49" w14:textId="77777777">
        <w:trPr>
          <w:jc w:val="center"/>
        </w:trPr>
        <w:tc>
          <w:tcPr>
            <w:tcW w:w="820" w:type="dxa"/>
            <w:tcBorders>
              <w:top w:val="nil"/>
              <w:left w:val="nil"/>
              <w:bottom w:val="nil"/>
              <w:right w:val="nil"/>
            </w:tcBorders>
            <w:noWrap/>
            <w:vAlign w:val="center"/>
          </w:tcPr>
          <w:p w14:paraId="36154AA4" w14:textId="77777777" w:rsidR="00000000" w:rsidRDefault="00000000">
            <w:pPr>
              <w:widowControl/>
              <w:snapToGrid w:val="0"/>
              <w:ind w:firstLine="0"/>
              <w:jc w:val="center"/>
              <w:textAlignment w:val="center"/>
              <w:rPr>
                <w:rFonts w:ascii="宋体" w:hAnsi="宋体" w:cs="宋体"/>
                <w:sz w:val="21"/>
                <w:szCs w:val="21"/>
              </w:rPr>
            </w:pPr>
            <w:r>
              <w:rPr>
                <w:rFonts w:ascii="宋体" w:hAnsi="宋体" w:cs="宋体" w:hint="eastAsia"/>
                <w:kern w:val="0"/>
                <w:sz w:val="21"/>
                <w:szCs w:val="21"/>
                <w:lang w:bidi="ar"/>
              </w:rPr>
              <w:t>A24</w:t>
            </w:r>
          </w:p>
        </w:tc>
        <w:tc>
          <w:tcPr>
            <w:tcW w:w="1562" w:type="dxa"/>
            <w:tcBorders>
              <w:top w:val="nil"/>
              <w:left w:val="nil"/>
              <w:bottom w:val="nil"/>
              <w:right w:val="nil"/>
            </w:tcBorders>
            <w:noWrap/>
            <w:vAlign w:val="center"/>
          </w:tcPr>
          <w:p w14:paraId="69DD3B1C" w14:textId="77777777" w:rsidR="00000000" w:rsidRDefault="00000000">
            <w:pPr>
              <w:widowControl/>
              <w:snapToGrid w:val="0"/>
              <w:ind w:firstLine="0"/>
              <w:jc w:val="center"/>
              <w:textAlignment w:val="center"/>
              <w:rPr>
                <w:rFonts w:ascii="宋体" w:hAnsi="宋体" w:cs="宋体"/>
                <w:sz w:val="21"/>
                <w:szCs w:val="21"/>
              </w:rPr>
            </w:pPr>
            <w:r>
              <w:rPr>
                <w:rFonts w:ascii="宋体" w:hAnsi="宋体" w:cs="宋体" w:hint="eastAsia"/>
                <w:kern w:val="0"/>
                <w:sz w:val="21"/>
                <w:szCs w:val="21"/>
                <w:lang w:bidi="ar"/>
              </w:rPr>
              <w:t>0.0900</w:t>
            </w:r>
          </w:p>
        </w:tc>
        <w:tc>
          <w:tcPr>
            <w:tcW w:w="1562" w:type="dxa"/>
            <w:tcBorders>
              <w:top w:val="nil"/>
              <w:left w:val="nil"/>
              <w:bottom w:val="nil"/>
              <w:right w:val="nil"/>
            </w:tcBorders>
            <w:noWrap/>
            <w:vAlign w:val="center"/>
          </w:tcPr>
          <w:p w14:paraId="67319097" w14:textId="77777777" w:rsidR="00000000" w:rsidRDefault="00000000">
            <w:pPr>
              <w:widowControl/>
              <w:snapToGrid w:val="0"/>
              <w:ind w:firstLine="0"/>
              <w:jc w:val="center"/>
              <w:textAlignment w:val="center"/>
              <w:rPr>
                <w:rFonts w:ascii="宋体" w:hAnsi="宋体" w:cs="宋体"/>
                <w:sz w:val="21"/>
                <w:szCs w:val="21"/>
              </w:rPr>
            </w:pPr>
            <w:r>
              <w:rPr>
                <w:rFonts w:ascii="宋体" w:hAnsi="宋体" w:cs="宋体" w:hint="eastAsia"/>
                <w:kern w:val="0"/>
                <w:sz w:val="21"/>
                <w:szCs w:val="21"/>
                <w:lang w:bidi="ar"/>
              </w:rPr>
              <w:t>0.1000</w:t>
            </w:r>
          </w:p>
        </w:tc>
        <w:tc>
          <w:tcPr>
            <w:tcW w:w="1562" w:type="dxa"/>
            <w:tcBorders>
              <w:top w:val="nil"/>
              <w:left w:val="nil"/>
              <w:bottom w:val="nil"/>
              <w:right w:val="nil"/>
            </w:tcBorders>
            <w:noWrap/>
            <w:vAlign w:val="center"/>
          </w:tcPr>
          <w:p w14:paraId="7384CE83" w14:textId="77777777" w:rsidR="00000000" w:rsidRDefault="00000000">
            <w:pPr>
              <w:widowControl/>
              <w:snapToGrid w:val="0"/>
              <w:ind w:firstLine="0"/>
              <w:jc w:val="center"/>
              <w:textAlignment w:val="center"/>
              <w:rPr>
                <w:rFonts w:ascii="宋体" w:hAnsi="宋体" w:cs="宋体"/>
                <w:sz w:val="21"/>
                <w:szCs w:val="21"/>
              </w:rPr>
            </w:pPr>
            <w:r>
              <w:rPr>
                <w:rFonts w:ascii="宋体" w:hAnsi="宋体" w:cs="宋体" w:hint="eastAsia"/>
                <w:kern w:val="0"/>
                <w:sz w:val="21"/>
                <w:szCs w:val="21"/>
                <w:lang w:bidi="ar"/>
              </w:rPr>
              <w:t>0.0700</w:t>
            </w:r>
          </w:p>
        </w:tc>
        <w:tc>
          <w:tcPr>
            <w:tcW w:w="1562" w:type="dxa"/>
            <w:tcBorders>
              <w:top w:val="nil"/>
              <w:left w:val="nil"/>
              <w:bottom w:val="nil"/>
              <w:right w:val="nil"/>
            </w:tcBorders>
            <w:noWrap/>
            <w:vAlign w:val="center"/>
          </w:tcPr>
          <w:p w14:paraId="48F379BD" w14:textId="77777777" w:rsidR="00000000" w:rsidRDefault="00000000">
            <w:pPr>
              <w:widowControl/>
              <w:snapToGrid w:val="0"/>
              <w:ind w:firstLine="0"/>
              <w:jc w:val="center"/>
              <w:textAlignment w:val="center"/>
              <w:rPr>
                <w:rFonts w:ascii="宋体" w:hAnsi="宋体" w:cs="宋体"/>
                <w:sz w:val="21"/>
                <w:szCs w:val="21"/>
              </w:rPr>
            </w:pPr>
            <w:r>
              <w:rPr>
                <w:rFonts w:ascii="宋体" w:hAnsi="宋体" w:cs="宋体" w:hint="eastAsia"/>
                <w:kern w:val="0"/>
                <w:sz w:val="21"/>
                <w:szCs w:val="21"/>
                <w:lang w:bidi="ar"/>
              </w:rPr>
              <w:t>0.1200</w:t>
            </w:r>
          </w:p>
        </w:tc>
        <w:tc>
          <w:tcPr>
            <w:tcW w:w="1562" w:type="dxa"/>
            <w:tcBorders>
              <w:top w:val="nil"/>
              <w:left w:val="nil"/>
              <w:bottom w:val="nil"/>
              <w:right w:val="nil"/>
            </w:tcBorders>
            <w:noWrap/>
            <w:vAlign w:val="center"/>
          </w:tcPr>
          <w:p w14:paraId="3F923521" w14:textId="77777777" w:rsidR="00000000" w:rsidRDefault="00000000">
            <w:pPr>
              <w:widowControl/>
              <w:snapToGrid w:val="0"/>
              <w:ind w:firstLine="0"/>
              <w:jc w:val="center"/>
              <w:textAlignment w:val="center"/>
              <w:rPr>
                <w:rFonts w:ascii="宋体" w:hAnsi="宋体" w:cs="宋体"/>
                <w:sz w:val="21"/>
                <w:szCs w:val="21"/>
              </w:rPr>
            </w:pPr>
            <w:r>
              <w:rPr>
                <w:rFonts w:ascii="宋体" w:hAnsi="宋体" w:cs="宋体" w:hint="eastAsia"/>
                <w:kern w:val="0"/>
                <w:sz w:val="21"/>
                <w:szCs w:val="21"/>
                <w:lang w:bidi="ar"/>
              </w:rPr>
              <w:t>0.1400</w:t>
            </w:r>
          </w:p>
        </w:tc>
      </w:tr>
      <w:tr w:rsidR="00000000" w14:paraId="570AB3B1" w14:textId="77777777">
        <w:trPr>
          <w:trHeight w:val="90"/>
          <w:jc w:val="center"/>
        </w:trPr>
        <w:tc>
          <w:tcPr>
            <w:tcW w:w="820" w:type="dxa"/>
            <w:tcBorders>
              <w:top w:val="nil"/>
              <w:left w:val="nil"/>
              <w:bottom w:val="nil"/>
              <w:right w:val="nil"/>
            </w:tcBorders>
            <w:noWrap/>
            <w:vAlign w:val="center"/>
          </w:tcPr>
          <w:p w14:paraId="7CDCB9B9" w14:textId="77777777" w:rsidR="00000000" w:rsidRDefault="00000000">
            <w:pPr>
              <w:widowControl/>
              <w:snapToGrid w:val="0"/>
              <w:ind w:firstLine="0"/>
              <w:jc w:val="center"/>
              <w:textAlignment w:val="center"/>
              <w:rPr>
                <w:rFonts w:ascii="宋体" w:hAnsi="宋体" w:cs="宋体"/>
                <w:sz w:val="21"/>
                <w:szCs w:val="21"/>
              </w:rPr>
            </w:pPr>
            <w:r>
              <w:rPr>
                <w:rFonts w:ascii="宋体" w:hAnsi="宋体" w:cs="宋体" w:hint="eastAsia"/>
                <w:kern w:val="0"/>
                <w:sz w:val="21"/>
                <w:szCs w:val="21"/>
                <w:lang w:bidi="ar"/>
              </w:rPr>
              <w:t>A31</w:t>
            </w:r>
          </w:p>
        </w:tc>
        <w:tc>
          <w:tcPr>
            <w:tcW w:w="1562" w:type="dxa"/>
            <w:tcBorders>
              <w:top w:val="nil"/>
              <w:left w:val="nil"/>
              <w:bottom w:val="nil"/>
              <w:right w:val="nil"/>
            </w:tcBorders>
            <w:vAlign w:val="center"/>
          </w:tcPr>
          <w:p w14:paraId="3ACDF83A" w14:textId="77777777" w:rsidR="00000000" w:rsidRDefault="00000000">
            <w:pPr>
              <w:widowControl/>
              <w:snapToGrid w:val="0"/>
              <w:ind w:firstLine="0"/>
              <w:jc w:val="center"/>
              <w:textAlignment w:val="center"/>
              <w:rPr>
                <w:rFonts w:ascii="宋体" w:hAnsi="宋体" w:cs="宋体"/>
                <w:sz w:val="21"/>
                <w:szCs w:val="21"/>
              </w:rPr>
            </w:pPr>
            <w:r>
              <w:rPr>
                <w:rFonts w:ascii="宋体" w:hAnsi="宋体" w:cs="宋体" w:hint="eastAsia"/>
                <w:kern w:val="0"/>
                <w:sz w:val="21"/>
                <w:szCs w:val="21"/>
                <w:lang w:bidi="ar"/>
              </w:rPr>
              <w:t>1.8710</w:t>
            </w:r>
          </w:p>
        </w:tc>
        <w:tc>
          <w:tcPr>
            <w:tcW w:w="1562" w:type="dxa"/>
            <w:tcBorders>
              <w:top w:val="nil"/>
              <w:left w:val="nil"/>
              <w:bottom w:val="nil"/>
              <w:right w:val="nil"/>
            </w:tcBorders>
            <w:vAlign w:val="center"/>
          </w:tcPr>
          <w:p w14:paraId="0AB89307" w14:textId="77777777" w:rsidR="00000000" w:rsidRDefault="00000000">
            <w:pPr>
              <w:widowControl/>
              <w:snapToGrid w:val="0"/>
              <w:ind w:firstLine="0"/>
              <w:jc w:val="center"/>
              <w:textAlignment w:val="center"/>
              <w:rPr>
                <w:rFonts w:ascii="宋体" w:hAnsi="宋体" w:cs="宋体"/>
                <w:sz w:val="21"/>
                <w:szCs w:val="21"/>
              </w:rPr>
            </w:pPr>
            <w:r>
              <w:rPr>
                <w:rFonts w:ascii="宋体" w:hAnsi="宋体" w:cs="宋体" w:hint="eastAsia"/>
                <w:kern w:val="0"/>
                <w:sz w:val="21"/>
                <w:szCs w:val="21"/>
                <w:lang w:bidi="ar"/>
              </w:rPr>
              <w:t>1.8640</w:t>
            </w:r>
          </w:p>
        </w:tc>
        <w:tc>
          <w:tcPr>
            <w:tcW w:w="1562" w:type="dxa"/>
            <w:tcBorders>
              <w:top w:val="nil"/>
              <w:left w:val="nil"/>
              <w:bottom w:val="nil"/>
              <w:right w:val="nil"/>
            </w:tcBorders>
            <w:vAlign w:val="center"/>
          </w:tcPr>
          <w:p w14:paraId="65ED31BB" w14:textId="77777777" w:rsidR="00000000" w:rsidRDefault="00000000">
            <w:pPr>
              <w:widowControl/>
              <w:snapToGrid w:val="0"/>
              <w:ind w:firstLine="0"/>
              <w:jc w:val="center"/>
              <w:textAlignment w:val="center"/>
              <w:rPr>
                <w:rFonts w:ascii="宋体" w:hAnsi="宋体" w:cs="宋体"/>
                <w:sz w:val="21"/>
                <w:szCs w:val="21"/>
              </w:rPr>
            </w:pPr>
            <w:r>
              <w:rPr>
                <w:rFonts w:ascii="宋体" w:hAnsi="宋体" w:cs="宋体" w:hint="eastAsia"/>
                <w:kern w:val="0"/>
                <w:sz w:val="21"/>
                <w:szCs w:val="21"/>
                <w:lang w:bidi="ar"/>
              </w:rPr>
              <w:t>1.7730</w:t>
            </w:r>
          </w:p>
        </w:tc>
        <w:tc>
          <w:tcPr>
            <w:tcW w:w="1562" w:type="dxa"/>
            <w:tcBorders>
              <w:top w:val="nil"/>
              <w:left w:val="nil"/>
              <w:bottom w:val="nil"/>
              <w:right w:val="nil"/>
            </w:tcBorders>
            <w:vAlign w:val="center"/>
          </w:tcPr>
          <w:p w14:paraId="5799C9FE" w14:textId="77777777" w:rsidR="00000000" w:rsidRDefault="00000000">
            <w:pPr>
              <w:widowControl/>
              <w:snapToGrid w:val="0"/>
              <w:ind w:firstLine="0"/>
              <w:jc w:val="center"/>
              <w:textAlignment w:val="center"/>
              <w:rPr>
                <w:rFonts w:ascii="宋体" w:hAnsi="宋体" w:cs="宋体"/>
                <w:sz w:val="21"/>
                <w:szCs w:val="21"/>
              </w:rPr>
            </w:pPr>
            <w:r>
              <w:rPr>
                <w:rFonts w:ascii="宋体" w:hAnsi="宋体" w:cs="宋体" w:hint="eastAsia"/>
                <w:kern w:val="0"/>
                <w:sz w:val="21"/>
                <w:szCs w:val="21"/>
                <w:lang w:bidi="ar"/>
              </w:rPr>
              <w:t>1.8570</w:t>
            </w:r>
          </w:p>
        </w:tc>
        <w:tc>
          <w:tcPr>
            <w:tcW w:w="1562" w:type="dxa"/>
            <w:tcBorders>
              <w:top w:val="nil"/>
              <w:left w:val="nil"/>
              <w:bottom w:val="nil"/>
              <w:right w:val="nil"/>
            </w:tcBorders>
            <w:vAlign w:val="center"/>
          </w:tcPr>
          <w:p w14:paraId="41E7072A" w14:textId="77777777" w:rsidR="00000000" w:rsidRDefault="00000000">
            <w:pPr>
              <w:widowControl/>
              <w:snapToGrid w:val="0"/>
              <w:ind w:firstLine="0"/>
              <w:jc w:val="center"/>
              <w:textAlignment w:val="center"/>
              <w:rPr>
                <w:rFonts w:ascii="宋体" w:hAnsi="宋体" w:cs="宋体"/>
                <w:sz w:val="21"/>
                <w:szCs w:val="21"/>
              </w:rPr>
            </w:pPr>
            <w:r>
              <w:rPr>
                <w:rFonts w:ascii="宋体" w:hAnsi="宋体" w:cs="宋体" w:hint="eastAsia"/>
                <w:kern w:val="0"/>
                <w:sz w:val="21"/>
                <w:szCs w:val="21"/>
                <w:lang w:bidi="ar"/>
              </w:rPr>
              <w:t>1.7510</w:t>
            </w:r>
          </w:p>
        </w:tc>
      </w:tr>
      <w:tr w:rsidR="00000000" w14:paraId="6A98C2C3" w14:textId="77777777">
        <w:trPr>
          <w:jc w:val="center"/>
        </w:trPr>
        <w:tc>
          <w:tcPr>
            <w:tcW w:w="820" w:type="dxa"/>
            <w:tcBorders>
              <w:top w:val="nil"/>
              <w:left w:val="nil"/>
              <w:bottom w:val="nil"/>
              <w:right w:val="nil"/>
            </w:tcBorders>
            <w:noWrap/>
            <w:vAlign w:val="center"/>
          </w:tcPr>
          <w:p w14:paraId="509C7A8C" w14:textId="77777777" w:rsidR="00000000" w:rsidRDefault="00000000">
            <w:pPr>
              <w:widowControl/>
              <w:snapToGrid w:val="0"/>
              <w:ind w:firstLine="0"/>
              <w:jc w:val="center"/>
              <w:textAlignment w:val="center"/>
              <w:rPr>
                <w:rFonts w:ascii="宋体" w:hAnsi="宋体" w:cs="宋体"/>
                <w:sz w:val="21"/>
                <w:szCs w:val="21"/>
              </w:rPr>
            </w:pPr>
            <w:r>
              <w:rPr>
                <w:rFonts w:ascii="宋体" w:hAnsi="宋体" w:cs="宋体" w:hint="eastAsia"/>
                <w:kern w:val="0"/>
                <w:sz w:val="21"/>
                <w:szCs w:val="21"/>
                <w:lang w:bidi="ar"/>
              </w:rPr>
              <w:t>A32</w:t>
            </w:r>
          </w:p>
        </w:tc>
        <w:tc>
          <w:tcPr>
            <w:tcW w:w="1562" w:type="dxa"/>
            <w:tcBorders>
              <w:top w:val="nil"/>
              <w:left w:val="nil"/>
              <w:bottom w:val="nil"/>
              <w:right w:val="nil"/>
            </w:tcBorders>
            <w:vAlign w:val="center"/>
          </w:tcPr>
          <w:p w14:paraId="1E162042" w14:textId="77777777" w:rsidR="00000000" w:rsidRDefault="00000000">
            <w:pPr>
              <w:widowControl/>
              <w:snapToGrid w:val="0"/>
              <w:ind w:firstLine="0"/>
              <w:jc w:val="center"/>
              <w:textAlignment w:val="center"/>
              <w:rPr>
                <w:rFonts w:ascii="宋体" w:hAnsi="宋体" w:cs="宋体"/>
                <w:sz w:val="21"/>
                <w:szCs w:val="21"/>
              </w:rPr>
            </w:pPr>
            <w:r>
              <w:rPr>
                <w:rFonts w:ascii="宋体" w:hAnsi="宋体" w:cs="宋体" w:hint="eastAsia"/>
                <w:kern w:val="0"/>
                <w:sz w:val="21"/>
                <w:szCs w:val="21"/>
                <w:lang w:bidi="ar"/>
              </w:rPr>
              <w:t>8.3500</w:t>
            </w:r>
          </w:p>
        </w:tc>
        <w:tc>
          <w:tcPr>
            <w:tcW w:w="1562" w:type="dxa"/>
            <w:tcBorders>
              <w:top w:val="nil"/>
              <w:left w:val="nil"/>
              <w:bottom w:val="nil"/>
              <w:right w:val="nil"/>
            </w:tcBorders>
            <w:vAlign w:val="center"/>
          </w:tcPr>
          <w:p w14:paraId="51E03DD2" w14:textId="77777777" w:rsidR="00000000" w:rsidRDefault="00000000">
            <w:pPr>
              <w:widowControl/>
              <w:snapToGrid w:val="0"/>
              <w:ind w:firstLine="0"/>
              <w:jc w:val="center"/>
              <w:textAlignment w:val="center"/>
              <w:rPr>
                <w:rFonts w:ascii="宋体" w:hAnsi="宋体" w:cs="宋体"/>
                <w:sz w:val="21"/>
                <w:szCs w:val="21"/>
              </w:rPr>
            </w:pPr>
            <w:r>
              <w:rPr>
                <w:rFonts w:ascii="宋体" w:hAnsi="宋体" w:cs="宋体" w:hint="eastAsia"/>
                <w:kern w:val="0"/>
                <w:sz w:val="21"/>
                <w:szCs w:val="21"/>
                <w:lang w:bidi="ar"/>
              </w:rPr>
              <w:t>9.3760</w:t>
            </w:r>
          </w:p>
        </w:tc>
        <w:tc>
          <w:tcPr>
            <w:tcW w:w="1562" w:type="dxa"/>
            <w:tcBorders>
              <w:top w:val="nil"/>
              <w:left w:val="nil"/>
              <w:bottom w:val="nil"/>
              <w:right w:val="nil"/>
            </w:tcBorders>
            <w:vAlign w:val="center"/>
          </w:tcPr>
          <w:p w14:paraId="22B083D2" w14:textId="77777777" w:rsidR="00000000" w:rsidRDefault="00000000">
            <w:pPr>
              <w:widowControl/>
              <w:snapToGrid w:val="0"/>
              <w:ind w:firstLine="0"/>
              <w:jc w:val="center"/>
              <w:textAlignment w:val="center"/>
              <w:rPr>
                <w:rFonts w:ascii="宋体" w:hAnsi="宋体" w:cs="宋体"/>
                <w:sz w:val="21"/>
                <w:szCs w:val="21"/>
              </w:rPr>
            </w:pPr>
            <w:r>
              <w:rPr>
                <w:rFonts w:ascii="宋体" w:hAnsi="宋体" w:cs="宋体" w:hint="eastAsia"/>
                <w:kern w:val="0"/>
                <w:sz w:val="21"/>
                <w:szCs w:val="21"/>
                <w:lang w:bidi="ar"/>
              </w:rPr>
              <w:t>8.9560</w:t>
            </w:r>
          </w:p>
        </w:tc>
        <w:tc>
          <w:tcPr>
            <w:tcW w:w="1562" w:type="dxa"/>
            <w:tcBorders>
              <w:top w:val="nil"/>
              <w:left w:val="nil"/>
              <w:bottom w:val="nil"/>
              <w:right w:val="nil"/>
            </w:tcBorders>
            <w:vAlign w:val="center"/>
          </w:tcPr>
          <w:p w14:paraId="68BDE3A8" w14:textId="77777777" w:rsidR="00000000" w:rsidRDefault="00000000">
            <w:pPr>
              <w:widowControl/>
              <w:snapToGrid w:val="0"/>
              <w:ind w:firstLine="0"/>
              <w:jc w:val="center"/>
              <w:textAlignment w:val="center"/>
              <w:rPr>
                <w:rFonts w:ascii="宋体" w:hAnsi="宋体" w:cs="宋体"/>
                <w:sz w:val="21"/>
                <w:szCs w:val="21"/>
              </w:rPr>
            </w:pPr>
            <w:r>
              <w:rPr>
                <w:rFonts w:ascii="宋体" w:hAnsi="宋体" w:cs="宋体" w:hint="eastAsia"/>
                <w:kern w:val="0"/>
                <w:sz w:val="21"/>
                <w:szCs w:val="21"/>
                <w:lang w:bidi="ar"/>
              </w:rPr>
              <w:t>9.5760</w:t>
            </w:r>
          </w:p>
        </w:tc>
        <w:tc>
          <w:tcPr>
            <w:tcW w:w="1562" w:type="dxa"/>
            <w:tcBorders>
              <w:top w:val="nil"/>
              <w:left w:val="nil"/>
              <w:bottom w:val="nil"/>
              <w:right w:val="nil"/>
            </w:tcBorders>
            <w:vAlign w:val="center"/>
          </w:tcPr>
          <w:p w14:paraId="57D3921A" w14:textId="77777777" w:rsidR="00000000" w:rsidRDefault="00000000">
            <w:pPr>
              <w:widowControl/>
              <w:snapToGrid w:val="0"/>
              <w:ind w:firstLine="0"/>
              <w:jc w:val="center"/>
              <w:textAlignment w:val="center"/>
              <w:rPr>
                <w:rFonts w:ascii="宋体" w:hAnsi="宋体" w:cs="宋体"/>
                <w:sz w:val="21"/>
                <w:szCs w:val="21"/>
              </w:rPr>
            </w:pPr>
            <w:r>
              <w:rPr>
                <w:rFonts w:ascii="宋体" w:hAnsi="宋体" w:cs="宋体" w:hint="eastAsia"/>
                <w:kern w:val="0"/>
                <w:sz w:val="21"/>
                <w:szCs w:val="21"/>
                <w:lang w:bidi="ar"/>
              </w:rPr>
              <w:t>8.1670</w:t>
            </w:r>
          </w:p>
        </w:tc>
      </w:tr>
      <w:tr w:rsidR="00000000" w14:paraId="7F3D6C67" w14:textId="77777777">
        <w:trPr>
          <w:jc w:val="center"/>
        </w:trPr>
        <w:tc>
          <w:tcPr>
            <w:tcW w:w="820" w:type="dxa"/>
            <w:tcBorders>
              <w:top w:val="nil"/>
              <w:left w:val="nil"/>
              <w:bottom w:val="nil"/>
              <w:right w:val="nil"/>
            </w:tcBorders>
            <w:noWrap/>
            <w:vAlign w:val="center"/>
          </w:tcPr>
          <w:p w14:paraId="0174B272" w14:textId="77777777" w:rsidR="00000000" w:rsidRDefault="00000000">
            <w:pPr>
              <w:widowControl/>
              <w:snapToGrid w:val="0"/>
              <w:ind w:firstLine="0"/>
              <w:jc w:val="center"/>
              <w:textAlignment w:val="center"/>
              <w:rPr>
                <w:rFonts w:ascii="宋体" w:hAnsi="宋体" w:cs="宋体"/>
                <w:sz w:val="21"/>
                <w:szCs w:val="21"/>
              </w:rPr>
            </w:pPr>
            <w:r>
              <w:rPr>
                <w:rFonts w:ascii="宋体" w:hAnsi="宋体" w:cs="宋体" w:hint="eastAsia"/>
                <w:kern w:val="0"/>
                <w:sz w:val="21"/>
                <w:szCs w:val="21"/>
                <w:lang w:bidi="ar"/>
              </w:rPr>
              <w:t>A33</w:t>
            </w:r>
          </w:p>
        </w:tc>
        <w:tc>
          <w:tcPr>
            <w:tcW w:w="1562" w:type="dxa"/>
            <w:tcBorders>
              <w:top w:val="nil"/>
              <w:left w:val="nil"/>
              <w:bottom w:val="nil"/>
              <w:right w:val="nil"/>
            </w:tcBorders>
            <w:noWrap/>
            <w:vAlign w:val="center"/>
          </w:tcPr>
          <w:p w14:paraId="74EE7FB3" w14:textId="77777777" w:rsidR="00000000" w:rsidRDefault="00000000">
            <w:pPr>
              <w:widowControl/>
              <w:snapToGrid w:val="0"/>
              <w:ind w:firstLine="0"/>
              <w:jc w:val="center"/>
              <w:textAlignment w:val="center"/>
              <w:rPr>
                <w:rFonts w:ascii="宋体" w:hAnsi="宋体" w:cs="宋体"/>
                <w:sz w:val="21"/>
                <w:szCs w:val="21"/>
              </w:rPr>
            </w:pPr>
            <w:r>
              <w:rPr>
                <w:rFonts w:ascii="宋体" w:hAnsi="宋体" w:cs="宋体" w:hint="eastAsia"/>
                <w:kern w:val="0"/>
                <w:sz w:val="21"/>
                <w:szCs w:val="21"/>
                <w:lang w:bidi="ar"/>
              </w:rPr>
              <w:t>0.6800</w:t>
            </w:r>
          </w:p>
        </w:tc>
        <w:tc>
          <w:tcPr>
            <w:tcW w:w="1562" w:type="dxa"/>
            <w:tcBorders>
              <w:top w:val="nil"/>
              <w:left w:val="nil"/>
              <w:bottom w:val="nil"/>
              <w:right w:val="nil"/>
            </w:tcBorders>
            <w:noWrap/>
            <w:vAlign w:val="center"/>
          </w:tcPr>
          <w:p w14:paraId="7CA5F062" w14:textId="77777777" w:rsidR="00000000" w:rsidRDefault="00000000">
            <w:pPr>
              <w:widowControl/>
              <w:snapToGrid w:val="0"/>
              <w:ind w:firstLine="0"/>
              <w:jc w:val="center"/>
              <w:textAlignment w:val="center"/>
              <w:rPr>
                <w:rFonts w:ascii="宋体" w:hAnsi="宋体" w:cs="宋体"/>
                <w:sz w:val="21"/>
                <w:szCs w:val="21"/>
              </w:rPr>
            </w:pPr>
            <w:r>
              <w:rPr>
                <w:rFonts w:ascii="宋体" w:hAnsi="宋体" w:cs="宋体" w:hint="eastAsia"/>
                <w:kern w:val="0"/>
                <w:sz w:val="21"/>
                <w:szCs w:val="21"/>
                <w:lang w:bidi="ar"/>
              </w:rPr>
              <w:t>0.7400</w:t>
            </w:r>
          </w:p>
        </w:tc>
        <w:tc>
          <w:tcPr>
            <w:tcW w:w="1562" w:type="dxa"/>
            <w:tcBorders>
              <w:top w:val="nil"/>
              <w:left w:val="nil"/>
              <w:bottom w:val="nil"/>
              <w:right w:val="nil"/>
            </w:tcBorders>
            <w:noWrap/>
            <w:vAlign w:val="center"/>
          </w:tcPr>
          <w:p w14:paraId="0503DCD0" w14:textId="77777777" w:rsidR="00000000" w:rsidRDefault="00000000">
            <w:pPr>
              <w:widowControl/>
              <w:snapToGrid w:val="0"/>
              <w:ind w:firstLine="0"/>
              <w:jc w:val="center"/>
              <w:textAlignment w:val="center"/>
              <w:rPr>
                <w:rFonts w:ascii="宋体" w:hAnsi="宋体" w:cs="宋体"/>
                <w:sz w:val="21"/>
                <w:szCs w:val="21"/>
              </w:rPr>
            </w:pPr>
            <w:r>
              <w:rPr>
                <w:rFonts w:ascii="宋体" w:hAnsi="宋体" w:cs="宋体" w:hint="eastAsia"/>
                <w:kern w:val="0"/>
                <w:sz w:val="21"/>
                <w:szCs w:val="21"/>
                <w:lang w:bidi="ar"/>
              </w:rPr>
              <w:t>0.6500</w:t>
            </w:r>
          </w:p>
        </w:tc>
        <w:tc>
          <w:tcPr>
            <w:tcW w:w="1562" w:type="dxa"/>
            <w:tcBorders>
              <w:top w:val="nil"/>
              <w:left w:val="nil"/>
              <w:bottom w:val="nil"/>
              <w:right w:val="nil"/>
            </w:tcBorders>
            <w:noWrap/>
            <w:vAlign w:val="center"/>
          </w:tcPr>
          <w:p w14:paraId="003AB8C3" w14:textId="77777777" w:rsidR="00000000" w:rsidRDefault="00000000">
            <w:pPr>
              <w:widowControl/>
              <w:snapToGrid w:val="0"/>
              <w:ind w:firstLine="0"/>
              <w:jc w:val="center"/>
              <w:textAlignment w:val="center"/>
              <w:rPr>
                <w:rFonts w:ascii="宋体" w:hAnsi="宋体" w:cs="宋体"/>
                <w:sz w:val="21"/>
                <w:szCs w:val="21"/>
              </w:rPr>
            </w:pPr>
            <w:r>
              <w:rPr>
                <w:rFonts w:ascii="宋体" w:hAnsi="宋体" w:cs="宋体" w:hint="eastAsia"/>
                <w:kern w:val="0"/>
                <w:sz w:val="21"/>
                <w:szCs w:val="21"/>
                <w:lang w:bidi="ar"/>
              </w:rPr>
              <w:t>0.6500</w:t>
            </w:r>
          </w:p>
        </w:tc>
        <w:tc>
          <w:tcPr>
            <w:tcW w:w="1562" w:type="dxa"/>
            <w:tcBorders>
              <w:top w:val="nil"/>
              <w:left w:val="nil"/>
              <w:bottom w:val="nil"/>
              <w:right w:val="nil"/>
            </w:tcBorders>
            <w:noWrap/>
            <w:vAlign w:val="center"/>
          </w:tcPr>
          <w:p w14:paraId="67CEAFDC" w14:textId="77777777" w:rsidR="00000000" w:rsidRDefault="00000000">
            <w:pPr>
              <w:widowControl/>
              <w:snapToGrid w:val="0"/>
              <w:ind w:firstLine="0"/>
              <w:jc w:val="center"/>
              <w:textAlignment w:val="center"/>
              <w:rPr>
                <w:rFonts w:ascii="宋体" w:hAnsi="宋体" w:cs="宋体"/>
                <w:sz w:val="21"/>
                <w:szCs w:val="21"/>
              </w:rPr>
            </w:pPr>
            <w:r>
              <w:rPr>
                <w:rFonts w:ascii="宋体" w:hAnsi="宋体" w:cs="宋体" w:hint="eastAsia"/>
                <w:kern w:val="0"/>
                <w:sz w:val="21"/>
                <w:szCs w:val="21"/>
                <w:lang w:bidi="ar"/>
              </w:rPr>
              <w:t>0.5300</w:t>
            </w:r>
          </w:p>
        </w:tc>
      </w:tr>
      <w:tr w:rsidR="00000000" w14:paraId="089433D5" w14:textId="77777777">
        <w:trPr>
          <w:jc w:val="center"/>
        </w:trPr>
        <w:tc>
          <w:tcPr>
            <w:tcW w:w="820" w:type="dxa"/>
            <w:tcBorders>
              <w:top w:val="nil"/>
              <w:left w:val="nil"/>
              <w:bottom w:val="nil"/>
              <w:right w:val="nil"/>
            </w:tcBorders>
            <w:noWrap/>
            <w:vAlign w:val="center"/>
          </w:tcPr>
          <w:p w14:paraId="72749FB4" w14:textId="77777777" w:rsidR="00000000" w:rsidRDefault="00000000">
            <w:pPr>
              <w:widowControl/>
              <w:snapToGrid w:val="0"/>
              <w:ind w:firstLine="0"/>
              <w:jc w:val="center"/>
              <w:textAlignment w:val="center"/>
              <w:rPr>
                <w:rFonts w:ascii="宋体" w:hAnsi="宋体" w:cs="宋体"/>
                <w:sz w:val="21"/>
                <w:szCs w:val="21"/>
              </w:rPr>
            </w:pPr>
            <w:r>
              <w:rPr>
                <w:rFonts w:ascii="宋体" w:hAnsi="宋体" w:cs="宋体" w:hint="eastAsia"/>
                <w:kern w:val="0"/>
                <w:sz w:val="21"/>
                <w:szCs w:val="21"/>
                <w:lang w:bidi="ar"/>
              </w:rPr>
              <w:t>A34</w:t>
            </w:r>
          </w:p>
        </w:tc>
        <w:tc>
          <w:tcPr>
            <w:tcW w:w="1562" w:type="dxa"/>
            <w:tcBorders>
              <w:top w:val="nil"/>
              <w:left w:val="nil"/>
              <w:bottom w:val="nil"/>
              <w:right w:val="nil"/>
            </w:tcBorders>
            <w:vAlign w:val="center"/>
          </w:tcPr>
          <w:p w14:paraId="7F1FB8FE" w14:textId="77777777" w:rsidR="00000000" w:rsidRDefault="00000000">
            <w:pPr>
              <w:widowControl/>
              <w:snapToGrid w:val="0"/>
              <w:ind w:firstLine="0"/>
              <w:jc w:val="center"/>
              <w:textAlignment w:val="center"/>
              <w:rPr>
                <w:rFonts w:ascii="宋体" w:hAnsi="宋体" w:cs="宋体"/>
                <w:sz w:val="21"/>
                <w:szCs w:val="21"/>
              </w:rPr>
            </w:pPr>
            <w:r>
              <w:rPr>
                <w:rFonts w:ascii="宋体" w:hAnsi="宋体" w:cs="宋体" w:hint="eastAsia"/>
                <w:kern w:val="0"/>
                <w:sz w:val="21"/>
                <w:szCs w:val="21"/>
                <w:lang w:bidi="ar"/>
              </w:rPr>
              <w:t>0.3600</w:t>
            </w:r>
          </w:p>
        </w:tc>
        <w:tc>
          <w:tcPr>
            <w:tcW w:w="1562" w:type="dxa"/>
            <w:tcBorders>
              <w:top w:val="nil"/>
              <w:left w:val="nil"/>
              <w:bottom w:val="nil"/>
              <w:right w:val="nil"/>
            </w:tcBorders>
            <w:vAlign w:val="center"/>
          </w:tcPr>
          <w:p w14:paraId="7F08EB2B" w14:textId="77777777" w:rsidR="00000000" w:rsidRDefault="00000000">
            <w:pPr>
              <w:widowControl/>
              <w:snapToGrid w:val="0"/>
              <w:ind w:firstLine="0"/>
              <w:jc w:val="center"/>
              <w:textAlignment w:val="center"/>
              <w:rPr>
                <w:rFonts w:ascii="宋体" w:hAnsi="宋体" w:cs="宋体"/>
                <w:sz w:val="21"/>
                <w:szCs w:val="21"/>
              </w:rPr>
            </w:pPr>
            <w:r>
              <w:rPr>
                <w:rFonts w:ascii="宋体" w:hAnsi="宋体" w:cs="宋体" w:hint="eastAsia"/>
                <w:kern w:val="0"/>
                <w:sz w:val="21"/>
                <w:szCs w:val="21"/>
                <w:lang w:bidi="ar"/>
              </w:rPr>
              <w:t>0.3570</w:t>
            </w:r>
          </w:p>
        </w:tc>
        <w:tc>
          <w:tcPr>
            <w:tcW w:w="1562" w:type="dxa"/>
            <w:tcBorders>
              <w:top w:val="nil"/>
              <w:left w:val="nil"/>
              <w:bottom w:val="nil"/>
              <w:right w:val="nil"/>
            </w:tcBorders>
            <w:vAlign w:val="center"/>
          </w:tcPr>
          <w:p w14:paraId="1432DD6A" w14:textId="77777777" w:rsidR="00000000" w:rsidRDefault="00000000">
            <w:pPr>
              <w:widowControl/>
              <w:snapToGrid w:val="0"/>
              <w:ind w:firstLine="0"/>
              <w:jc w:val="center"/>
              <w:textAlignment w:val="center"/>
              <w:rPr>
                <w:rFonts w:ascii="宋体" w:hAnsi="宋体" w:cs="宋体"/>
                <w:sz w:val="21"/>
                <w:szCs w:val="21"/>
              </w:rPr>
            </w:pPr>
            <w:r>
              <w:rPr>
                <w:rFonts w:ascii="宋体" w:hAnsi="宋体" w:cs="宋体" w:hint="eastAsia"/>
                <w:kern w:val="0"/>
                <w:sz w:val="21"/>
                <w:szCs w:val="21"/>
                <w:lang w:bidi="ar"/>
              </w:rPr>
              <w:t>0.3010</w:t>
            </w:r>
          </w:p>
        </w:tc>
        <w:tc>
          <w:tcPr>
            <w:tcW w:w="1562" w:type="dxa"/>
            <w:tcBorders>
              <w:top w:val="nil"/>
              <w:left w:val="nil"/>
              <w:bottom w:val="nil"/>
              <w:right w:val="nil"/>
            </w:tcBorders>
            <w:vAlign w:val="center"/>
          </w:tcPr>
          <w:p w14:paraId="7E64EAAB" w14:textId="77777777" w:rsidR="00000000" w:rsidRDefault="00000000">
            <w:pPr>
              <w:widowControl/>
              <w:snapToGrid w:val="0"/>
              <w:ind w:firstLine="0"/>
              <w:jc w:val="center"/>
              <w:textAlignment w:val="center"/>
              <w:rPr>
                <w:rFonts w:ascii="宋体" w:hAnsi="宋体" w:cs="宋体"/>
                <w:sz w:val="21"/>
                <w:szCs w:val="21"/>
              </w:rPr>
            </w:pPr>
            <w:r>
              <w:rPr>
                <w:rFonts w:ascii="宋体" w:hAnsi="宋体" w:cs="宋体" w:hint="eastAsia"/>
                <w:kern w:val="0"/>
                <w:sz w:val="21"/>
                <w:szCs w:val="21"/>
                <w:lang w:bidi="ar"/>
              </w:rPr>
              <w:t>0.3140</w:t>
            </w:r>
          </w:p>
        </w:tc>
        <w:tc>
          <w:tcPr>
            <w:tcW w:w="1562" w:type="dxa"/>
            <w:tcBorders>
              <w:top w:val="nil"/>
              <w:left w:val="nil"/>
              <w:bottom w:val="nil"/>
              <w:right w:val="nil"/>
            </w:tcBorders>
            <w:vAlign w:val="center"/>
          </w:tcPr>
          <w:p w14:paraId="008BA70C" w14:textId="77777777" w:rsidR="00000000" w:rsidRDefault="00000000">
            <w:pPr>
              <w:widowControl/>
              <w:snapToGrid w:val="0"/>
              <w:ind w:firstLine="0"/>
              <w:jc w:val="center"/>
              <w:textAlignment w:val="center"/>
              <w:rPr>
                <w:rFonts w:ascii="宋体" w:hAnsi="宋体" w:cs="宋体"/>
                <w:sz w:val="21"/>
                <w:szCs w:val="21"/>
              </w:rPr>
            </w:pPr>
            <w:r>
              <w:rPr>
                <w:rFonts w:ascii="宋体" w:hAnsi="宋体" w:cs="宋体" w:hint="eastAsia"/>
                <w:kern w:val="0"/>
                <w:sz w:val="21"/>
                <w:szCs w:val="21"/>
                <w:lang w:bidi="ar"/>
              </w:rPr>
              <w:t>0.2900</w:t>
            </w:r>
          </w:p>
        </w:tc>
      </w:tr>
      <w:tr w:rsidR="00000000" w14:paraId="144A53A2" w14:textId="77777777">
        <w:trPr>
          <w:jc w:val="center"/>
        </w:trPr>
        <w:tc>
          <w:tcPr>
            <w:tcW w:w="820" w:type="dxa"/>
            <w:tcBorders>
              <w:top w:val="nil"/>
              <w:left w:val="nil"/>
              <w:bottom w:val="nil"/>
              <w:right w:val="nil"/>
            </w:tcBorders>
            <w:noWrap/>
            <w:vAlign w:val="center"/>
          </w:tcPr>
          <w:p w14:paraId="389515E6" w14:textId="77777777" w:rsidR="00000000" w:rsidRDefault="00000000">
            <w:pPr>
              <w:widowControl/>
              <w:snapToGrid w:val="0"/>
              <w:ind w:firstLine="0"/>
              <w:jc w:val="center"/>
              <w:textAlignment w:val="center"/>
              <w:rPr>
                <w:rFonts w:ascii="宋体" w:hAnsi="宋体" w:cs="宋体"/>
                <w:sz w:val="21"/>
                <w:szCs w:val="21"/>
              </w:rPr>
            </w:pPr>
            <w:r>
              <w:rPr>
                <w:rFonts w:ascii="宋体" w:hAnsi="宋体" w:cs="宋体" w:hint="eastAsia"/>
                <w:kern w:val="0"/>
                <w:sz w:val="21"/>
                <w:szCs w:val="21"/>
                <w:lang w:bidi="ar"/>
              </w:rPr>
              <w:t>A41</w:t>
            </w:r>
          </w:p>
        </w:tc>
        <w:tc>
          <w:tcPr>
            <w:tcW w:w="1562" w:type="dxa"/>
            <w:tcBorders>
              <w:top w:val="nil"/>
              <w:left w:val="nil"/>
              <w:bottom w:val="nil"/>
              <w:right w:val="nil"/>
            </w:tcBorders>
            <w:noWrap/>
            <w:vAlign w:val="center"/>
          </w:tcPr>
          <w:p w14:paraId="4A75DB47" w14:textId="77777777" w:rsidR="00000000" w:rsidRDefault="00000000">
            <w:pPr>
              <w:widowControl/>
              <w:snapToGrid w:val="0"/>
              <w:ind w:firstLine="0"/>
              <w:jc w:val="center"/>
              <w:textAlignment w:val="center"/>
              <w:rPr>
                <w:rFonts w:ascii="宋体" w:hAnsi="宋体" w:cs="宋体"/>
                <w:sz w:val="21"/>
                <w:szCs w:val="21"/>
              </w:rPr>
            </w:pPr>
            <w:r>
              <w:rPr>
                <w:rFonts w:ascii="宋体" w:hAnsi="宋体" w:cs="宋体" w:hint="eastAsia"/>
                <w:kern w:val="0"/>
                <w:sz w:val="21"/>
                <w:szCs w:val="21"/>
                <w:lang w:bidi="ar"/>
              </w:rPr>
              <w:t>0.3571</w:t>
            </w:r>
          </w:p>
        </w:tc>
        <w:tc>
          <w:tcPr>
            <w:tcW w:w="1562" w:type="dxa"/>
            <w:tcBorders>
              <w:top w:val="nil"/>
              <w:left w:val="nil"/>
              <w:bottom w:val="nil"/>
              <w:right w:val="nil"/>
            </w:tcBorders>
            <w:noWrap/>
            <w:vAlign w:val="center"/>
          </w:tcPr>
          <w:p w14:paraId="266A164D" w14:textId="77777777" w:rsidR="00000000" w:rsidRDefault="00000000">
            <w:pPr>
              <w:widowControl/>
              <w:snapToGrid w:val="0"/>
              <w:ind w:firstLine="0"/>
              <w:jc w:val="center"/>
              <w:textAlignment w:val="center"/>
              <w:rPr>
                <w:rFonts w:ascii="宋体" w:hAnsi="宋体" w:cs="宋体"/>
                <w:sz w:val="21"/>
                <w:szCs w:val="21"/>
              </w:rPr>
            </w:pPr>
            <w:r>
              <w:rPr>
                <w:rFonts w:ascii="宋体" w:hAnsi="宋体" w:cs="宋体" w:hint="eastAsia"/>
                <w:kern w:val="0"/>
                <w:sz w:val="21"/>
                <w:szCs w:val="21"/>
                <w:lang w:bidi="ar"/>
              </w:rPr>
              <w:t>0.3125</w:t>
            </w:r>
          </w:p>
        </w:tc>
        <w:tc>
          <w:tcPr>
            <w:tcW w:w="1562" w:type="dxa"/>
            <w:tcBorders>
              <w:top w:val="nil"/>
              <w:left w:val="nil"/>
              <w:bottom w:val="nil"/>
              <w:right w:val="nil"/>
            </w:tcBorders>
            <w:noWrap/>
            <w:vAlign w:val="center"/>
          </w:tcPr>
          <w:p w14:paraId="4EE643D7" w14:textId="77777777" w:rsidR="00000000" w:rsidRDefault="00000000">
            <w:pPr>
              <w:widowControl/>
              <w:snapToGrid w:val="0"/>
              <w:ind w:firstLine="0"/>
              <w:jc w:val="center"/>
              <w:textAlignment w:val="center"/>
              <w:rPr>
                <w:rFonts w:ascii="宋体" w:hAnsi="宋体" w:cs="宋体"/>
                <w:sz w:val="21"/>
                <w:szCs w:val="21"/>
              </w:rPr>
            </w:pPr>
            <w:r>
              <w:rPr>
                <w:rFonts w:ascii="宋体" w:hAnsi="宋体" w:cs="宋体" w:hint="eastAsia"/>
                <w:kern w:val="0"/>
                <w:sz w:val="21"/>
                <w:szCs w:val="21"/>
                <w:lang w:bidi="ar"/>
              </w:rPr>
              <w:t>0.4762</w:t>
            </w:r>
          </w:p>
        </w:tc>
        <w:tc>
          <w:tcPr>
            <w:tcW w:w="1562" w:type="dxa"/>
            <w:tcBorders>
              <w:top w:val="nil"/>
              <w:left w:val="nil"/>
              <w:bottom w:val="nil"/>
              <w:right w:val="nil"/>
            </w:tcBorders>
            <w:noWrap/>
            <w:vAlign w:val="center"/>
          </w:tcPr>
          <w:p w14:paraId="72C56DF6" w14:textId="77777777" w:rsidR="00000000" w:rsidRDefault="00000000">
            <w:pPr>
              <w:widowControl/>
              <w:snapToGrid w:val="0"/>
              <w:ind w:firstLine="0"/>
              <w:jc w:val="center"/>
              <w:textAlignment w:val="center"/>
              <w:rPr>
                <w:rFonts w:ascii="宋体" w:hAnsi="宋体" w:cs="宋体"/>
                <w:sz w:val="21"/>
                <w:szCs w:val="21"/>
              </w:rPr>
            </w:pPr>
            <w:r>
              <w:rPr>
                <w:rFonts w:ascii="宋体" w:hAnsi="宋体" w:cs="宋体" w:hint="eastAsia"/>
                <w:kern w:val="0"/>
                <w:sz w:val="21"/>
                <w:szCs w:val="21"/>
                <w:lang w:bidi="ar"/>
              </w:rPr>
              <w:t>0.3158</w:t>
            </w:r>
          </w:p>
        </w:tc>
        <w:tc>
          <w:tcPr>
            <w:tcW w:w="1562" w:type="dxa"/>
            <w:tcBorders>
              <w:top w:val="nil"/>
              <w:left w:val="nil"/>
              <w:bottom w:val="nil"/>
              <w:right w:val="nil"/>
            </w:tcBorders>
            <w:noWrap/>
            <w:vAlign w:val="center"/>
          </w:tcPr>
          <w:p w14:paraId="1B1874EC" w14:textId="77777777" w:rsidR="00000000" w:rsidRDefault="00000000">
            <w:pPr>
              <w:widowControl/>
              <w:snapToGrid w:val="0"/>
              <w:ind w:firstLine="0"/>
              <w:jc w:val="center"/>
              <w:textAlignment w:val="center"/>
              <w:rPr>
                <w:rFonts w:ascii="宋体" w:hAnsi="宋体" w:cs="宋体"/>
                <w:sz w:val="21"/>
                <w:szCs w:val="21"/>
              </w:rPr>
            </w:pPr>
            <w:r>
              <w:rPr>
                <w:rFonts w:ascii="宋体" w:hAnsi="宋体" w:cs="宋体" w:hint="eastAsia"/>
                <w:kern w:val="0"/>
                <w:sz w:val="21"/>
                <w:szCs w:val="21"/>
                <w:lang w:bidi="ar"/>
              </w:rPr>
              <w:t>0.2439</w:t>
            </w:r>
          </w:p>
        </w:tc>
      </w:tr>
      <w:tr w:rsidR="00000000" w14:paraId="2AD2A1DE" w14:textId="77777777">
        <w:trPr>
          <w:jc w:val="center"/>
        </w:trPr>
        <w:tc>
          <w:tcPr>
            <w:tcW w:w="820" w:type="dxa"/>
            <w:tcBorders>
              <w:top w:val="nil"/>
              <w:left w:val="nil"/>
              <w:bottom w:val="nil"/>
              <w:right w:val="nil"/>
            </w:tcBorders>
            <w:noWrap/>
            <w:vAlign w:val="center"/>
          </w:tcPr>
          <w:p w14:paraId="027735C9" w14:textId="77777777" w:rsidR="00000000" w:rsidRDefault="00000000">
            <w:pPr>
              <w:widowControl/>
              <w:snapToGrid w:val="0"/>
              <w:ind w:firstLine="0"/>
              <w:jc w:val="center"/>
              <w:textAlignment w:val="center"/>
              <w:rPr>
                <w:rFonts w:ascii="宋体" w:hAnsi="宋体" w:cs="宋体"/>
                <w:sz w:val="21"/>
                <w:szCs w:val="21"/>
              </w:rPr>
            </w:pPr>
            <w:r>
              <w:rPr>
                <w:rFonts w:ascii="宋体" w:hAnsi="宋体" w:cs="宋体" w:hint="eastAsia"/>
                <w:kern w:val="0"/>
                <w:sz w:val="21"/>
                <w:szCs w:val="21"/>
                <w:lang w:bidi="ar"/>
              </w:rPr>
              <w:t>A42</w:t>
            </w:r>
          </w:p>
        </w:tc>
        <w:tc>
          <w:tcPr>
            <w:tcW w:w="1562" w:type="dxa"/>
            <w:tcBorders>
              <w:top w:val="nil"/>
              <w:left w:val="nil"/>
              <w:bottom w:val="nil"/>
              <w:right w:val="nil"/>
            </w:tcBorders>
            <w:vAlign w:val="center"/>
          </w:tcPr>
          <w:p w14:paraId="325721E2" w14:textId="77777777" w:rsidR="00000000" w:rsidRDefault="00000000">
            <w:pPr>
              <w:widowControl/>
              <w:snapToGrid w:val="0"/>
              <w:ind w:firstLine="0"/>
              <w:jc w:val="center"/>
              <w:textAlignment w:val="center"/>
              <w:rPr>
                <w:rFonts w:ascii="宋体" w:hAnsi="宋体" w:cs="宋体"/>
                <w:sz w:val="21"/>
                <w:szCs w:val="21"/>
              </w:rPr>
            </w:pPr>
            <w:r>
              <w:rPr>
                <w:rFonts w:ascii="宋体" w:hAnsi="宋体" w:cs="宋体" w:hint="eastAsia"/>
                <w:kern w:val="0"/>
                <w:sz w:val="21"/>
                <w:szCs w:val="21"/>
                <w:lang w:bidi="ar"/>
              </w:rPr>
              <w:t>-39.8300</w:t>
            </w:r>
          </w:p>
        </w:tc>
        <w:tc>
          <w:tcPr>
            <w:tcW w:w="1562" w:type="dxa"/>
            <w:tcBorders>
              <w:top w:val="nil"/>
              <w:left w:val="nil"/>
              <w:bottom w:val="nil"/>
              <w:right w:val="nil"/>
            </w:tcBorders>
            <w:vAlign w:val="center"/>
          </w:tcPr>
          <w:p w14:paraId="53BBA7FB" w14:textId="77777777" w:rsidR="00000000" w:rsidRDefault="00000000">
            <w:pPr>
              <w:widowControl/>
              <w:snapToGrid w:val="0"/>
              <w:ind w:firstLine="0"/>
              <w:jc w:val="center"/>
              <w:textAlignment w:val="center"/>
              <w:rPr>
                <w:rFonts w:ascii="宋体" w:hAnsi="宋体" w:cs="宋体"/>
                <w:sz w:val="21"/>
                <w:szCs w:val="21"/>
              </w:rPr>
            </w:pPr>
            <w:r>
              <w:rPr>
                <w:rFonts w:ascii="宋体" w:hAnsi="宋体" w:cs="宋体" w:hint="eastAsia"/>
                <w:kern w:val="0"/>
                <w:sz w:val="21"/>
                <w:szCs w:val="21"/>
                <w:lang w:bidi="ar"/>
              </w:rPr>
              <w:t>10.6500</w:t>
            </w:r>
          </w:p>
        </w:tc>
        <w:tc>
          <w:tcPr>
            <w:tcW w:w="1562" w:type="dxa"/>
            <w:tcBorders>
              <w:top w:val="nil"/>
              <w:left w:val="nil"/>
              <w:bottom w:val="nil"/>
              <w:right w:val="nil"/>
            </w:tcBorders>
            <w:vAlign w:val="center"/>
          </w:tcPr>
          <w:p w14:paraId="61282099" w14:textId="77777777" w:rsidR="00000000" w:rsidRDefault="00000000">
            <w:pPr>
              <w:widowControl/>
              <w:snapToGrid w:val="0"/>
              <w:ind w:firstLine="0"/>
              <w:jc w:val="center"/>
              <w:textAlignment w:val="center"/>
              <w:rPr>
                <w:rFonts w:ascii="宋体" w:hAnsi="宋体" w:cs="宋体"/>
                <w:sz w:val="21"/>
                <w:szCs w:val="21"/>
              </w:rPr>
            </w:pPr>
            <w:r>
              <w:rPr>
                <w:rFonts w:ascii="宋体" w:hAnsi="宋体" w:cs="宋体" w:hint="eastAsia"/>
                <w:kern w:val="0"/>
                <w:sz w:val="21"/>
                <w:szCs w:val="21"/>
                <w:lang w:bidi="ar"/>
              </w:rPr>
              <w:t>-34.8500</w:t>
            </w:r>
          </w:p>
        </w:tc>
        <w:tc>
          <w:tcPr>
            <w:tcW w:w="1562" w:type="dxa"/>
            <w:tcBorders>
              <w:top w:val="nil"/>
              <w:left w:val="nil"/>
              <w:bottom w:val="nil"/>
              <w:right w:val="nil"/>
            </w:tcBorders>
            <w:vAlign w:val="center"/>
          </w:tcPr>
          <w:p w14:paraId="5B77744F" w14:textId="77777777" w:rsidR="00000000" w:rsidRDefault="00000000">
            <w:pPr>
              <w:widowControl/>
              <w:snapToGrid w:val="0"/>
              <w:ind w:firstLine="0"/>
              <w:jc w:val="center"/>
              <w:textAlignment w:val="center"/>
              <w:rPr>
                <w:rFonts w:ascii="宋体" w:hAnsi="宋体" w:cs="宋体"/>
                <w:sz w:val="21"/>
                <w:szCs w:val="21"/>
              </w:rPr>
            </w:pPr>
            <w:r>
              <w:rPr>
                <w:rFonts w:ascii="宋体" w:hAnsi="宋体" w:cs="宋体" w:hint="eastAsia"/>
                <w:kern w:val="0"/>
                <w:sz w:val="21"/>
                <w:szCs w:val="21"/>
                <w:lang w:bidi="ar"/>
              </w:rPr>
              <w:t>79.3000</w:t>
            </w:r>
          </w:p>
        </w:tc>
        <w:tc>
          <w:tcPr>
            <w:tcW w:w="1562" w:type="dxa"/>
            <w:tcBorders>
              <w:top w:val="nil"/>
              <w:left w:val="nil"/>
              <w:bottom w:val="nil"/>
              <w:right w:val="nil"/>
            </w:tcBorders>
            <w:vAlign w:val="center"/>
          </w:tcPr>
          <w:p w14:paraId="10B5D5AA" w14:textId="77777777" w:rsidR="00000000" w:rsidRDefault="00000000">
            <w:pPr>
              <w:widowControl/>
              <w:snapToGrid w:val="0"/>
              <w:ind w:firstLine="0"/>
              <w:jc w:val="center"/>
              <w:textAlignment w:val="center"/>
              <w:rPr>
                <w:rFonts w:ascii="宋体" w:hAnsi="宋体" w:cs="宋体"/>
                <w:sz w:val="21"/>
                <w:szCs w:val="21"/>
              </w:rPr>
            </w:pPr>
            <w:r>
              <w:rPr>
                <w:rFonts w:ascii="宋体" w:hAnsi="宋体" w:cs="宋体" w:hint="eastAsia"/>
                <w:kern w:val="0"/>
                <w:sz w:val="21"/>
                <w:szCs w:val="21"/>
                <w:lang w:bidi="ar"/>
              </w:rPr>
              <w:t>5.3500</w:t>
            </w:r>
          </w:p>
        </w:tc>
      </w:tr>
      <w:tr w:rsidR="00000000" w14:paraId="69C62D8C" w14:textId="77777777">
        <w:trPr>
          <w:jc w:val="center"/>
        </w:trPr>
        <w:tc>
          <w:tcPr>
            <w:tcW w:w="820" w:type="dxa"/>
            <w:tcBorders>
              <w:top w:val="nil"/>
              <w:left w:val="nil"/>
              <w:bottom w:val="single" w:sz="12" w:space="0" w:color="000000"/>
              <w:right w:val="nil"/>
            </w:tcBorders>
            <w:noWrap/>
            <w:vAlign w:val="center"/>
          </w:tcPr>
          <w:p w14:paraId="6D988395" w14:textId="77777777" w:rsidR="00000000" w:rsidRDefault="00000000">
            <w:pPr>
              <w:widowControl/>
              <w:snapToGrid w:val="0"/>
              <w:ind w:firstLine="0"/>
              <w:jc w:val="center"/>
              <w:textAlignment w:val="center"/>
              <w:rPr>
                <w:rFonts w:ascii="宋体" w:hAnsi="宋体" w:cs="宋体"/>
                <w:sz w:val="21"/>
                <w:szCs w:val="21"/>
              </w:rPr>
            </w:pPr>
            <w:r>
              <w:rPr>
                <w:rFonts w:ascii="宋体" w:hAnsi="宋体" w:cs="宋体" w:hint="eastAsia"/>
                <w:kern w:val="0"/>
                <w:sz w:val="21"/>
                <w:szCs w:val="21"/>
                <w:lang w:bidi="ar"/>
              </w:rPr>
              <w:t>A43</w:t>
            </w:r>
          </w:p>
        </w:tc>
        <w:tc>
          <w:tcPr>
            <w:tcW w:w="1562" w:type="dxa"/>
            <w:tcBorders>
              <w:top w:val="nil"/>
              <w:left w:val="nil"/>
              <w:bottom w:val="single" w:sz="12" w:space="0" w:color="000000"/>
              <w:right w:val="nil"/>
            </w:tcBorders>
            <w:vAlign w:val="center"/>
          </w:tcPr>
          <w:p w14:paraId="0EFCE557" w14:textId="77777777" w:rsidR="00000000" w:rsidRDefault="00000000">
            <w:pPr>
              <w:widowControl/>
              <w:snapToGrid w:val="0"/>
              <w:ind w:firstLine="0"/>
              <w:jc w:val="center"/>
              <w:textAlignment w:val="center"/>
              <w:rPr>
                <w:rFonts w:ascii="宋体" w:hAnsi="宋体" w:cs="宋体"/>
                <w:sz w:val="21"/>
                <w:szCs w:val="21"/>
              </w:rPr>
            </w:pPr>
            <w:r>
              <w:rPr>
                <w:rFonts w:ascii="宋体" w:hAnsi="宋体" w:cs="宋体" w:hint="eastAsia"/>
                <w:kern w:val="0"/>
                <w:sz w:val="21"/>
                <w:szCs w:val="21"/>
                <w:lang w:bidi="ar"/>
              </w:rPr>
              <w:t>-8.0800</w:t>
            </w:r>
          </w:p>
        </w:tc>
        <w:tc>
          <w:tcPr>
            <w:tcW w:w="1562" w:type="dxa"/>
            <w:tcBorders>
              <w:top w:val="nil"/>
              <w:left w:val="nil"/>
              <w:bottom w:val="single" w:sz="12" w:space="0" w:color="000000"/>
              <w:right w:val="nil"/>
            </w:tcBorders>
            <w:vAlign w:val="center"/>
          </w:tcPr>
          <w:p w14:paraId="16F6F7F9" w14:textId="77777777" w:rsidR="00000000" w:rsidRDefault="00000000">
            <w:pPr>
              <w:widowControl/>
              <w:snapToGrid w:val="0"/>
              <w:ind w:firstLine="0"/>
              <w:jc w:val="center"/>
              <w:textAlignment w:val="center"/>
              <w:rPr>
                <w:rFonts w:ascii="宋体" w:hAnsi="宋体" w:cs="宋体"/>
                <w:sz w:val="21"/>
                <w:szCs w:val="21"/>
              </w:rPr>
            </w:pPr>
            <w:r>
              <w:rPr>
                <w:rFonts w:ascii="宋体" w:hAnsi="宋体" w:cs="宋体" w:hint="eastAsia"/>
                <w:kern w:val="0"/>
                <w:sz w:val="21"/>
                <w:szCs w:val="21"/>
                <w:lang w:bidi="ar"/>
              </w:rPr>
              <w:t>5.5200</w:t>
            </w:r>
          </w:p>
        </w:tc>
        <w:tc>
          <w:tcPr>
            <w:tcW w:w="1562" w:type="dxa"/>
            <w:tcBorders>
              <w:top w:val="nil"/>
              <w:left w:val="nil"/>
              <w:bottom w:val="single" w:sz="12" w:space="0" w:color="000000"/>
              <w:right w:val="nil"/>
            </w:tcBorders>
            <w:vAlign w:val="center"/>
          </w:tcPr>
          <w:p w14:paraId="1B93DC3B" w14:textId="77777777" w:rsidR="00000000" w:rsidRDefault="00000000">
            <w:pPr>
              <w:widowControl/>
              <w:snapToGrid w:val="0"/>
              <w:ind w:firstLine="0"/>
              <w:jc w:val="center"/>
              <w:textAlignment w:val="center"/>
              <w:rPr>
                <w:rFonts w:ascii="宋体" w:hAnsi="宋体" w:cs="宋体"/>
                <w:sz w:val="21"/>
                <w:szCs w:val="21"/>
              </w:rPr>
            </w:pPr>
            <w:r>
              <w:rPr>
                <w:rFonts w:ascii="宋体" w:hAnsi="宋体" w:cs="宋体" w:hint="eastAsia"/>
                <w:kern w:val="0"/>
                <w:sz w:val="21"/>
                <w:szCs w:val="21"/>
                <w:lang w:bidi="ar"/>
              </w:rPr>
              <w:t>-8.1300</w:t>
            </w:r>
          </w:p>
        </w:tc>
        <w:tc>
          <w:tcPr>
            <w:tcW w:w="1562" w:type="dxa"/>
            <w:tcBorders>
              <w:top w:val="nil"/>
              <w:left w:val="nil"/>
              <w:bottom w:val="single" w:sz="12" w:space="0" w:color="000000"/>
              <w:right w:val="nil"/>
            </w:tcBorders>
            <w:vAlign w:val="center"/>
          </w:tcPr>
          <w:p w14:paraId="127495EF" w14:textId="77777777" w:rsidR="00000000" w:rsidRDefault="00000000">
            <w:pPr>
              <w:widowControl/>
              <w:snapToGrid w:val="0"/>
              <w:ind w:firstLine="0"/>
              <w:jc w:val="center"/>
              <w:textAlignment w:val="center"/>
              <w:rPr>
                <w:rFonts w:ascii="宋体" w:hAnsi="宋体" w:cs="宋体"/>
                <w:sz w:val="21"/>
                <w:szCs w:val="21"/>
              </w:rPr>
            </w:pPr>
            <w:r>
              <w:rPr>
                <w:rFonts w:ascii="宋体" w:hAnsi="宋体" w:cs="宋体" w:hint="eastAsia"/>
                <w:kern w:val="0"/>
                <w:sz w:val="21"/>
                <w:szCs w:val="21"/>
                <w:lang w:bidi="ar"/>
              </w:rPr>
              <w:t>6.7000</w:t>
            </w:r>
          </w:p>
        </w:tc>
        <w:tc>
          <w:tcPr>
            <w:tcW w:w="1562" w:type="dxa"/>
            <w:tcBorders>
              <w:top w:val="nil"/>
              <w:left w:val="nil"/>
              <w:bottom w:val="single" w:sz="12" w:space="0" w:color="000000"/>
              <w:right w:val="nil"/>
            </w:tcBorders>
            <w:vAlign w:val="center"/>
          </w:tcPr>
          <w:p w14:paraId="1DA8A4C7" w14:textId="77777777" w:rsidR="00000000" w:rsidRDefault="00000000">
            <w:pPr>
              <w:widowControl/>
              <w:snapToGrid w:val="0"/>
              <w:ind w:firstLine="0"/>
              <w:jc w:val="center"/>
              <w:textAlignment w:val="center"/>
              <w:rPr>
                <w:rFonts w:ascii="宋体" w:hAnsi="宋体" w:cs="宋体"/>
                <w:sz w:val="21"/>
                <w:szCs w:val="21"/>
              </w:rPr>
            </w:pPr>
            <w:r>
              <w:rPr>
                <w:rFonts w:ascii="宋体" w:hAnsi="宋体" w:cs="宋体" w:hint="eastAsia"/>
                <w:kern w:val="0"/>
                <w:sz w:val="21"/>
                <w:szCs w:val="21"/>
                <w:lang w:bidi="ar"/>
              </w:rPr>
              <w:t>-8.8400</w:t>
            </w:r>
          </w:p>
        </w:tc>
      </w:tr>
    </w:tbl>
    <w:p w14:paraId="72CE4A18" w14:textId="77777777" w:rsidR="00000000" w:rsidRDefault="00000000">
      <w:pPr>
        <w:autoSpaceDE w:val="0"/>
        <w:autoSpaceDN w:val="0"/>
        <w:adjustRightInd w:val="0"/>
        <w:spacing w:afterLines="50" w:after="207"/>
        <w:ind w:firstLineChars="200" w:firstLine="426"/>
        <w:jc w:val="left"/>
        <w:rPr>
          <w:sz w:val="21"/>
          <w:szCs w:val="21"/>
        </w:rPr>
      </w:pPr>
      <w:r>
        <w:rPr>
          <w:rFonts w:hint="eastAsia"/>
          <w:sz w:val="21"/>
          <w:szCs w:val="21"/>
        </w:rPr>
        <w:t>数据来源：根据东方财富网及</w:t>
      </w:r>
      <w:r>
        <w:rPr>
          <w:rFonts w:hint="eastAsia"/>
          <w:sz w:val="21"/>
          <w:szCs w:val="21"/>
        </w:rPr>
        <w:t>M</w:t>
      </w:r>
      <w:r>
        <w:rPr>
          <w:rFonts w:hint="eastAsia"/>
          <w:sz w:val="21"/>
          <w:szCs w:val="21"/>
        </w:rPr>
        <w:t>公司</w:t>
      </w:r>
      <w:r>
        <w:rPr>
          <w:rFonts w:hint="eastAsia"/>
          <w:sz w:val="21"/>
          <w:szCs w:val="21"/>
        </w:rPr>
        <w:t>2020-2024</w:t>
      </w:r>
      <w:r>
        <w:rPr>
          <w:rFonts w:hint="eastAsia"/>
          <w:sz w:val="21"/>
          <w:szCs w:val="21"/>
        </w:rPr>
        <w:t>年财务报表整理</w:t>
      </w:r>
    </w:p>
    <w:p w14:paraId="6EFD6CAF" w14:textId="77777777" w:rsidR="00000000" w:rsidRDefault="00000000">
      <w:pPr>
        <w:pStyle w:val="afc"/>
        <w:numPr>
          <w:ilvl w:val="0"/>
          <w:numId w:val="37"/>
        </w:numPr>
        <w:tabs>
          <w:tab w:val="left" w:pos="0"/>
        </w:tabs>
        <w:spacing w:before="207"/>
      </w:pPr>
      <w:bookmarkStart w:id="98" w:name="_Toc17488"/>
      <w:bookmarkStart w:id="99" w:name="_Toc26358"/>
      <w:r>
        <w:rPr>
          <w:rFonts w:hint="eastAsia"/>
        </w:rPr>
        <w:t>一级指标评价过程</w:t>
      </w:r>
      <w:bookmarkEnd w:id="98"/>
      <w:bookmarkEnd w:id="99"/>
    </w:p>
    <w:p w14:paraId="0B3F5A0E" w14:textId="77777777" w:rsidR="00000000" w:rsidRDefault="00000000">
      <w:pPr>
        <w:pStyle w:val="afd"/>
        <w:ind w:firstLine="486"/>
        <w:rPr>
          <w:rFonts w:cs="宋体" w:hint="eastAsia"/>
          <w:color w:val="auto"/>
        </w:rPr>
      </w:pPr>
      <w:r>
        <w:rPr>
          <w:rFonts w:cs="宋体" w:hint="eastAsia"/>
          <w:color w:val="auto"/>
        </w:rPr>
        <w:t>本文以2020-2024年M公司筹资风险指标为例，首先对一级指标进行评价，具体计算步骤如下：</w:t>
      </w:r>
    </w:p>
    <w:p w14:paraId="186E94E5" w14:textId="77777777" w:rsidR="00000000" w:rsidRDefault="00000000">
      <w:pPr>
        <w:pStyle w:val="afd"/>
        <w:ind w:firstLine="486"/>
        <w:rPr>
          <w:rFonts w:cs="宋体" w:hint="eastAsia"/>
          <w:color w:val="auto"/>
        </w:rPr>
      </w:pPr>
      <w:r>
        <w:rPr>
          <w:rFonts w:cs="宋体" w:hint="eastAsia"/>
          <w:color w:val="auto"/>
        </w:rPr>
        <w:t>步骤一：构建评价矩阵。根据表5-2所呈现的筹资风险二级指标相关数据，搭建与表5-3格式一致的初始决策矩阵。</w:t>
      </w:r>
    </w:p>
    <w:p w14:paraId="6552C571" w14:textId="77777777" w:rsidR="00000000" w:rsidRDefault="00000000">
      <w:pPr>
        <w:widowControl/>
        <w:tabs>
          <w:tab w:val="left" w:pos="0"/>
        </w:tabs>
        <w:spacing w:beforeLines="50" w:before="207" w:afterLines="50" w:after="207" w:line="400" w:lineRule="exact"/>
        <w:ind w:left="4" w:hanging="4"/>
        <w:jc w:val="center"/>
        <w:rPr>
          <w:rFonts w:ascii="宋体" w:hAnsi="宋体" w:cs="宋体"/>
          <w:sz w:val="21"/>
          <w:szCs w:val="21"/>
        </w:rPr>
      </w:pPr>
      <w:r>
        <w:rPr>
          <w:rFonts w:ascii="宋体" w:hAnsi="宋体" w:cs="宋体" w:hint="eastAsia"/>
          <w:sz w:val="21"/>
          <w:szCs w:val="21"/>
        </w:rPr>
        <w:t>表5-3 M公司2020-2024年筹资风险二级指标原始数据</w:t>
      </w:r>
    </w:p>
    <w:tbl>
      <w:tblPr>
        <w:tblW w:w="8639" w:type="dxa"/>
        <w:jc w:val="center"/>
        <w:tblInd w:w="0" w:type="dxa"/>
        <w:tblCellMar>
          <w:top w:w="56" w:type="dxa"/>
          <w:left w:w="96" w:type="dxa"/>
          <w:bottom w:w="56" w:type="dxa"/>
          <w:right w:w="96" w:type="dxa"/>
        </w:tblCellMar>
        <w:tblLook w:val="0000" w:firstRow="0" w:lastRow="0" w:firstColumn="0" w:lastColumn="0" w:noHBand="0" w:noVBand="0"/>
      </w:tblPr>
      <w:tblGrid>
        <w:gridCol w:w="1166"/>
        <w:gridCol w:w="1529"/>
        <w:gridCol w:w="1486"/>
        <w:gridCol w:w="1486"/>
        <w:gridCol w:w="1486"/>
        <w:gridCol w:w="1486"/>
      </w:tblGrid>
      <w:tr w:rsidR="00000000" w14:paraId="52883C9C" w14:textId="77777777">
        <w:trPr>
          <w:tblHeader/>
          <w:jc w:val="center"/>
        </w:trPr>
        <w:tc>
          <w:tcPr>
            <w:tcW w:w="1166" w:type="dxa"/>
            <w:tcBorders>
              <w:top w:val="single" w:sz="12" w:space="0" w:color="000000"/>
              <w:left w:val="nil"/>
              <w:bottom w:val="single" w:sz="4" w:space="0" w:color="000000"/>
              <w:right w:val="nil"/>
            </w:tcBorders>
            <w:noWrap/>
            <w:vAlign w:val="center"/>
          </w:tcPr>
          <w:p w14:paraId="336D7F5B" w14:textId="77777777" w:rsidR="00000000" w:rsidRDefault="00000000">
            <w:pPr>
              <w:widowControl/>
              <w:snapToGrid w:val="0"/>
              <w:spacing w:line="360" w:lineRule="auto"/>
              <w:ind w:firstLine="0"/>
              <w:jc w:val="center"/>
              <w:textAlignment w:val="bottom"/>
              <w:rPr>
                <w:rFonts w:ascii="宋体" w:hAnsi="宋体" w:cs="宋体"/>
                <w:b/>
                <w:bCs/>
                <w:kern w:val="0"/>
                <w:sz w:val="21"/>
                <w:szCs w:val="21"/>
                <w:lang w:bidi="ar"/>
              </w:rPr>
            </w:pPr>
            <w:r>
              <w:rPr>
                <w:rFonts w:ascii="宋体" w:hAnsi="宋体" w:cs="宋体" w:hint="eastAsia"/>
                <w:b/>
                <w:bCs/>
                <w:kern w:val="0"/>
                <w:sz w:val="21"/>
                <w:szCs w:val="21"/>
                <w:lang w:bidi="ar"/>
              </w:rPr>
              <w:t>指标</w:t>
            </w:r>
          </w:p>
        </w:tc>
        <w:tc>
          <w:tcPr>
            <w:tcW w:w="1529" w:type="dxa"/>
            <w:tcBorders>
              <w:top w:val="single" w:sz="12" w:space="0" w:color="000000"/>
              <w:left w:val="nil"/>
              <w:bottom w:val="single" w:sz="4" w:space="0" w:color="000000"/>
              <w:right w:val="nil"/>
            </w:tcBorders>
            <w:noWrap/>
            <w:vAlign w:val="center"/>
          </w:tcPr>
          <w:p w14:paraId="0ABB90D7" w14:textId="77777777" w:rsidR="00000000" w:rsidRDefault="00000000">
            <w:pPr>
              <w:widowControl/>
              <w:snapToGrid w:val="0"/>
              <w:spacing w:line="360" w:lineRule="auto"/>
              <w:ind w:firstLine="0"/>
              <w:jc w:val="center"/>
              <w:textAlignment w:val="bottom"/>
              <w:rPr>
                <w:rFonts w:ascii="宋体" w:hAnsi="宋体" w:cs="宋体"/>
                <w:b/>
                <w:bCs/>
                <w:kern w:val="0"/>
                <w:sz w:val="21"/>
                <w:szCs w:val="21"/>
                <w:lang w:bidi="ar"/>
              </w:rPr>
            </w:pPr>
            <w:r>
              <w:rPr>
                <w:rFonts w:ascii="宋体" w:hAnsi="宋体" w:cs="宋体" w:hint="eastAsia"/>
                <w:b/>
                <w:bCs/>
                <w:kern w:val="0"/>
                <w:sz w:val="21"/>
                <w:szCs w:val="21"/>
                <w:lang w:bidi="ar"/>
              </w:rPr>
              <w:t>2020年</w:t>
            </w:r>
          </w:p>
        </w:tc>
        <w:tc>
          <w:tcPr>
            <w:tcW w:w="1486" w:type="dxa"/>
            <w:tcBorders>
              <w:top w:val="single" w:sz="12" w:space="0" w:color="000000"/>
              <w:left w:val="nil"/>
              <w:bottom w:val="single" w:sz="4" w:space="0" w:color="000000"/>
              <w:right w:val="nil"/>
            </w:tcBorders>
            <w:noWrap/>
            <w:vAlign w:val="center"/>
          </w:tcPr>
          <w:p w14:paraId="58B04638" w14:textId="77777777" w:rsidR="00000000" w:rsidRDefault="00000000">
            <w:pPr>
              <w:widowControl/>
              <w:snapToGrid w:val="0"/>
              <w:spacing w:line="360" w:lineRule="auto"/>
              <w:ind w:firstLine="0"/>
              <w:jc w:val="center"/>
              <w:textAlignment w:val="bottom"/>
              <w:rPr>
                <w:rFonts w:ascii="宋体" w:hAnsi="宋体" w:cs="宋体"/>
                <w:b/>
                <w:bCs/>
                <w:kern w:val="0"/>
                <w:sz w:val="21"/>
                <w:szCs w:val="21"/>
                <w:lang w:bidi="ar"/>
              </w:rPr>
            </w:pPr>
            <w:r>
              <w:rPr>
                <w:rFonts w:ascii="宋体" w:hAnsi="宋体" w:cs="宋体" w:hint="eastAsia"/>
                <w:b/>
                <w:bCs/>
                <w:kern w:val="0"/>
                <w:sz w:val="21"/>
                <w:szCs w:val="21"/>
                <w:lang w:bidi="ar"/>
              </w:rPr>
              <w:t>2021年</w:t>
            </w:r>
          </w:p>
        </w:tc>
        <w:tc>
          <w:tcPr>
            <w:tcW w:w="1486" w:type="dxa"/>
            <w:tcBorders>
              <w:top w:val="single" w:sz="12" w:space="0" w:color="000000"/>
              <w:left w:val="nil"/>
              <w:bottom w:val="single" w:sz="4" w:space="0" w:color="000000"/>
              <w:right w:val="nil"/>
            </w:tcBorders>
            <w:noWrap/>
            <w:vAlign w:val="center"/>
          </w:tcPr>
          <w:p w14:paraId="7D82C26F" w14:textId="77777777" w:rsidR="00000000" w:rsidRDefault="00000000">
            <w:pPr>
              <w:widowControl/>
              <w:snapToGrid w:val="0"/>
              <w:spacing w:line="360" w:lineRule="auto"/>
              <w:ind w:firstLine="0"/>
              <w:jc w:val="center"/>
              <w:textAlignment w:val="bottom"/>
              <w:rPr>
                <w:rFonts w:ascii="宋体" w:hAnsi="宋体" w:cs="宋体"/>
                <w:b/>
                <w:bCs/>
                <w:kern w:val="0"/>
                <w:sz w:val="21"/>
                <w:szCs w:val="21"/>
                <w:lang w:bidi="ar"/>
              </w:rPr>
            </w:pPr>
            <w:r>
              <w:rPr>
                <w:rFonts w:ascii="宋体" w:hAnsi="宋体" w:cs="宋体" w:hint="eastAsia"/>
                <w:b/>
                <w:bCs/>
                <w:kern w:val="0"/>
                <w:sz w:val="21"/>
                <w:szCs w:val="21"/>
                <w:lang w:bidi="ar"/>
              </w:rPr>
              <w:t>2022年</w:t>
            </w:r>
          </w:p>
        </w:tc>
        <w:tc>
          <w:tcPr>
            <w:tcW w:w="1486" w:type="dxa"/>
            <w:tcBorders>
              <w:top w:val="single" w:sz="12" w:space="0" w:color="000000"/>
              <w:left w:val="nil"/>
              <w:bottom w:val="single" w:sz="4" w:space="0" w:color="000000"/>
              <w:right w:val="nil"/>
            </w:tcBorders>
            <w:noWrap/>
            <w:vAlign w:val="center"/>
          </w:tcPr>
          <w:p w14:paraId="1C6A1257" w14:textId="77777777" w:rsidR="00000000" w:rsidRDefault="00000000">
            <w:pPr>
              <w:widowControl/>
              <w:snapToGrid w:val="0"/>
              <w:spacing w:line="360" w:lineRule="auto"/>
              <w:ind w:firstLine="0"/>
              <w:jc w:val="center"/>
              <w:textAlignment w:val="bottom"/>
              <w:rPr>
                <w:rFonts w:ascii="宋体" w:hAnsi="宋体" w:cs="宋体"/>
                <w:b/>
                <w:bCs/>
                <w:kern w:val="0"/>
                <w:sz w:val="21"/>
                <w:szCs w:val="21"/>
                <w:lang w:bidi="ar"/>
              </w:rPr>
            </w:pPr>
            <w:r>
              <w:rPr>
                <w:rFonts w:ascii="宋体" w:hAnsi="宋体" w:cs="宋体" w:hint="eastAsia"/>
                <w:b/>
                <w:bCs/>
                <w:kern w:val="0"/>
                <w:sz w:val="21"/>
                <w:szCs w:val="21"/>
                <w:lang w:bidi="ar"/>
              </w:rPr>
              <w:t>2023年</w:t>
            </w:r>
          </w:p>
        </w:tc>
        <w:tc>
          <w:tcPr>
            <w:tcW w:w="1486" w:type="dxa"/>
            <w:tcBorders>
              <w:top w:val="single" w:sz="12" w:space="0" w:color="000000"/>
              <w:left w:val="nil"/>
              <w:bottom w:val="single" w:sz="4" w:space="0" w:color="000000"/>
              <w:right w:val="nil"/>
            </w:tcBorders>
            <w:noWrap/>
            <w:vAlign w:val="center"/>
          </w:tcPr>
          <w:p w14:paraId="2C4E4A61" w14:textId="77777777" w:rsidR="00000000" w:rsidRDefault="00000000">
            <w:pPr>
              <w:widowControl/>
              <w:snapToGrid w:val="0"/>
              <w:spacing w:line="360" w:lineRule="auto"/>
              <w:ind w:firstLine="0"/>
              <w:jc w:val="center"/>
              <w:textAlignment w:val="bottom"/>
              <w:rPr>
                <w:rFonts w:ascii="宋体" w:hAnsi="宋体" w:cs="宋体"/>
                <w:b/>
                <w:bCs/>
                <w:kern w:val="0"/>
                <w:sz w:val="21"/>
                <w:szCs w:val="21"/>
                <w:lang w:bidi="ar"/>
              </w:rPr>
            </w:pPr>
            <w:r>
              <w:rPr>
                <w:rFonts w:ascii="宋体" w:hAnsi="宋体" w:cs="宋体" w:hint="eastAsia"/>
                <w:b/>
                <w:bCs/>
                <w:kern w:val="0"/>
                <w:sz w:val="21"/>
                <w:szCs w:val="21"/>
                <w:lang w:bidi="ar"/>
              </w:rPr>
              <w:t>2024年</w:t>
            </w:r>
          </w:p>
        </w:tc>
      </w:tr>
      <w:tr w:rsidR="00000000" w14:paraId="4BD5BFAE" w14:textId="77777777">
        <w:trPr>
          <w:jc w:val="center"/>
        </w:trPr>
        <w:tc>
          <w:tcPr>
            <w:tcW w:w="1166" w:type="dxa"/>
            <w:tcBorders>
              <w:top w:val="single" w:sz="4" w:space="0" w:color="000000"/>
              <w:left w:val="nil"/>
              <w:bottom w:val="nil"/>
              <w:right w:val="nil"/>
            </w:tcBorders>
            <w:noWrap/>
            <w:vAlign w:val="center"/>
          </w:tcPr>
          <w:p w14:paraId="4F8A108D" w14:textId="77777777" w:rsidR="00000000" w:rsidRDefault="00000000">
            <w:pPr>
              <w:widowControl/>
              <w:snapToGrid w:val="0"/>
              <w:spacing w:line="360" w:lineRule="auto"/>
              <w:ind w:firstLine="0"/>
              <w:jc w:val="center"/>
              <w:textAlignment w:val="center"/>
              <w:rPr>
                <w:rFonts w:ascii="宋体" w:hAnsi="宋体" w:cs="宋体"/>
                <w:sz w:val="21"/>
                <w:szCs w:val="21"/>
              </w:rPr>
            </w:pPr>
            <w:r>
              <w:rPr>
                <w:rFonts w:ascii="宋体" w:hAnsi="宋体" w:cs="宋体" w:hint="eastAsia"/>
                <w:kern w:val="0"/>
                <w:sz w:val="21"/>
                <w:szCs w:val="21"/>
                <w:lang w:bidi="ar"/>
              </w:rPr>
              <w:t>A11</w:t>
            </w:r>
          </w:p>
        </w:tc>
        <w:tc>
          <w:tcPr>
            <w:tcW w:w="1529" w:type="dxa"/>
            <w:tcBorders>
              <w:top w:val="single" w:sz="4" w:space="0" w:color="000000"/>
              <w:left w:val="nil"/>
              <w:bottom w:val="nil"/>
              <w:right w:val="nil"/>
            </w:tcBorders>
            <w:vAlign w:val="center"/>
          </w:tcPr>
          <w:p w14:paraId="7EA9CFEE" w14:textId="77777777" w:rsidR="00000000" w:rsidRDefault="00000000">
            <w:pPr>
              <w:widowControl/>
              <w:snapToGrid w:val="0"/>
              <w:spacing w:line="360" w:lineRule="auto"/>
              <w:ind w:firstLine="0"/>
              <w:jc w:val="center"/>
              <w:textAlignment w:val="center"/>
              <w:rPr>
                <w:rFonts w:ascii="宋体" w:hAnsi="宋体" w:cs="宋体"/>
                <w:sz w:val="21"/>
                <w:szCs w:val="21"/>
              </w:rPr>
            </w:pPr>
            <w:r>
              <w:rPr>
                <w:rFonts w:ascii="宋体" w:hAnsi="宋体" w:cs="宋体" w:hint="eastAsia"/>
                <w:kern w:val="0"/>
                <w:sz w:val="21"/>
                <w:szCs w:val="21"/>
                <w:lang w:bidi="ar"/>
              </w:rPr>
              <w:t>1.3980</w:t>
            </w:r>
          </w:p>
        </w:tc>
        <w:tc>
          <w:tcPr>
            <w:tcW w:w="1486" w:type="dxa"/>
            <w:tcBorders>
              <w:top w:val="single" w:sz="4" w:space="0" w:color="000000"/>
              <w:left w:val="nil"/>
              <w:bottom w:val="nil"/>
              <w:right w:val="nil"/>
            </w:tcBorders>
            <w:vAlign w:val="center"/>
          </w:tcPr>
          <w:p w14:paraId="539ACE14" w14:textId="77777777" w:rsidR="00000000" w:rsidRDefault="00000000">
            <w:pPr>
              <w:widowControl/>
              <w:snapToGrid w:val="0"/>
              <w:spacing w:line="360" w:lineRule="auto"/>
              <w:ind w:firstLine="0"/>
              <w:jc w:val="center"/>
              <w:textAlignment w:val="center"/>
              <w:rPr>
                <w:rFonts w:ascii="宋体" w:hAnsi="宋体" w:cs="宋体"/>
                <w:sz w:val="21"/>
                <w:szCs w:val="21"/>
              </w:rPr>
            </w:pPr>
            <w:r>
              <w:rPr>
                <w:rFonts w:ascii="宋体" w:hAnsi="宋体" w:cs="宋体" w:hint="eastAsia"/>
                <w:kern w:val="0"/>
                <w:sz w:val="21"/>
                <w:szCs w:val="21"/>
                <w:lang w:bidi="ar"/>
              </w:rPr>
              <w:t>1.2080</w:t>
            </w:r>
          </w:p>
        </w:tc>
        <w:tc>
          <w:tcPr>
            <w:tcW w:w="1486" w:type="dxa"/>
            <w:tcBorders>
              <w:top w:val="single" w:sz="4" w:space="0" w:color="000000"/>
              <w:left w:val="nil"/>
              <w:bottom w:val="nil"/>
              <w:right w:val="nil"/>
            </w:tcBorders>
            <w:vAlign w:val="center"/>
          </w:tcPr>
          <w:p w14:paraId="74E0AF67" w14:textId="77777777" w:rsidR="00000000" w:rsidRDefault="00000000">
            <w:pPr>
              <w:widowControl/>
              <w:snapToGrid w:val="0"/>
              <w:spacing w:line="360" w:lineRule="auto"/>
              <w:ind w:firstLine="0"/>
              <w:jc w:val="center"/>
              <w:textAlignment w:val="center"/>
              <w:rPr>
                <w:rFonts w:ascii="宋体" w:hAnsi="宋体" w:cs="宋体"/>
                <w:sz w:val="21"/>
                <w:szCs w:val="21"/>
              </w:rPr>
            </w:pPr>
            <w:r>
              <w:rPr>
                <w:rFonts w:ascii="宋体" w:hAnsi="宋体" w:cs="宋体" w:hint="eastAsia"/>
                <w:kern w:val="0"/>
                <w:sz w:val="21"/>
                <w:szCs w:val="21"/>
                <w:lang w:bidi="ar"/>
              </w:rPr>
              <w:t>1.0410</w:t>
            </w:r>
          </w:p>
        </w:tc>
        <w:tc>
          <w:tcPr>
            <w:tcW w:w="1486" w:type="dxa"/>
            <w:tcBorders>
              <w:top w:val="single" w:sz="4" w:space="0" w:color="000000"/>
              <w:left w:val="nil"/>
              <w:bottom w:val="nil"/>
              <w:right w:val="nil"/>
            </w:tcBorders>
            <w:vAlign w:val="center"/>
          </w:tcPr>
          <w:p w14:paraId="6AB5EFF6" w14:textId="77777777" w:rsidR="00000000" w:rsidRDefault="00000000">
            <w:pPr>
              <w:widowControl/>
              <w:snapToGrid w:val="0"/>
              <w:spacing w:line="360" w:lineRule="auto"/>
              <w:ind w:firstLine="0"/>
              <w:jc w:val="center"/>
              <w:textAlignment w:val="center"/>
              <w:rPr>
                <w:rFonts w:ascii="宋体" w:hAnsi="宋体" w:cs="宋体"/>
                <w:sz w:val="21"/>
                <w:szCs w:val="21"/>
              </w:rPr>
            </w:pPr>
            <w:r>
              <w:rPr>
                <w:rFonts w:ascii="宋体" w:hAnsi="宋体" w:cs="宋体" w:hint="eastAsia"/>
                <w:kern w:val="0"/>
                <w:sz w:val="21"/>
                <w:szCs w:val="21"/>
                <w:lang w:bidi="ar"/>
              </w:rPr>
              <w:t>1.3920</w:t>
            </w:r>
          </w:p>
        </w:tc>
        <w:tc>
          <w:tcPr>
            <w:tcW w:w="1486" w:type="dxa"/>
            <w:tcBorders>
              <w:top w:val="single" w:sz="4" w:space="0" w:color="000000"/>
              <w:left w:val="nil"/>
              <w:bottom w:val="nil"/>
              <w:right w:val="nil"/>
            </w:tcBorders>
            <w:vAlign w:val="center"/>
          </w:tcPr>
          <w:p w14:paraId="60C39FC9" w14:textId="77777777" w:rsidR="00000000" w:rsidRDefault="00000000">
            <w:pPr>
              <w:widowControl/>
              <w:snapToGrid w:val="0"/>
              <w:spacing w:line="360" w:lineRule="auto"/>
              <w:ind w:firstLine="0"/>
              <w:jc w:val="center"/>
              <w:textAlignment w:val="center"/>
              <w:rPr>
                <w:rFonts w:ascii="宋体" w:hAnsi="宋体" w:cs="宋体"/>
                <w:sz w:val="21"/>
                <w:szCs w:val="21"/>
              </w:rPr>
            </w:pPr>
            <w:r>
              <w:rPr>
                <w:rFonts w:ascii="宋体" w:hAnsi="宋体" w:cs="宋体" w:hint="eastAsia"/>
                <w:kern w:val="0"/>
                <w:sz w:val="21"/>
                <w:szCs w:val="21"/>
                <w:lang w:bidi="ar"/>
              </w:rPr>
              <w:t>1.5550</w:t>
            </w:r>
          </w:p>
        </w:tc>
      </w:tr>
      <w:tr w:rsidR="00000000" w14:paraId="2590ED89" w14:textId="77777777">
        <w:trPr>
          <w:jc w:val="center"/>
        </w:trPr>
        <w:tc>
          <w:tcPr>
            <w:tcW w:w="1166" w:type="dxa"/>
            <w:tcBorders>
              <w:top w:val="nil"/>
              <w:left w:val="nil"/>
              <w:bottom w:val="nil"/>
              <w:right w:val="nil"/>
            </w:tcBorders>
            <w:noWrap/>
            <w:vAlign w:val="center"/>
          </w:tcPr>
          <w:p w14:paraId="622751FF" w14:textId="77777777" w:rsidR="00000000" w:rsidRDefault="00000000">
            <w:pPr>
              <w:widowControl/>
              <w:snapToGrid w:val="0"/>
              <w:spacing w:line="360" w:lineRule="auto"/>
              <w:ind w:firstLine="0"/>
              <w:jc w:val="center"/>
              <w:textAlignment w:val="center"/>
              <w:rPr>
                <w:rFonts w:ascii="宋体" w:hAnsi="宋体" w:cs="宋体"/>
                <w:sz w:val="21"/>
                <w:szCs w:val="21"/>
              </w:rPr>
            </w:pPr>
            <w:r>
              <w:rPr>
                <w:rFonts w:ascii="宋体" w:hAnsi="宋体" w:cs="宋体" w:hint="eastAsia"/>
                <w:kern w:val="0"/>
                <w:sz w:val="21"/>
                <w:szCs w:val="21"/>
                <w:lang w:bidi="ar"/>
              </w:rPr>
              <w:t>A12</w:t>
            </w:r>
          </w:p>
        </w:tc>
        <w:tc>
          <w:tcPr>
            <w:tcW w:w="1529" w:type="dxa"/>
            <w:tcBorders>
              <w:top w:val="nil"/>
              <w:left w:val="nil"/>
              <w:bottom w:val="nil"/>
              <w:right w:val="nil"/>
            </w:tcBorders>
            <w:vAlign w:val="center"/>
          </w:tcPr>
          <w:p w14:paraId="19819109" w14:textId="77777777" w:rsidR="00000000" w:rsidRDefault="00000000">
            <w:pPr>
              <w:widowControl/>
              <w:snapToGrid w:val="0"/>
              <w:spacing w:line="360" w:lineRule="auto"/>
              <w:ind w:firstLine="0"/>
              <w:jc w:val="center"/>
              <w:textAlignment w:val="center"/>
              <w:rPr>
                <w:rFonts w:ascii="宋体" w:hAnsi="宋体" w:cs="宋体"/>
                <w:sz w:val="21"/>
                <w:szCs w:val="21"/>
              </w:rPr>
            </w:pPr>
            <w:r>
              <w:rPr>
                <w:rFonts w:ascii="宋体" w:hAnsi="宋体" w:cs="宋体" w:hint="eastAsia"/>
                <w:kern w:val="0"/>
                <w:sz w:val="21"/>
                <w:szCs w:val="21"/>
                <w:lang w:bidi="ar"/>
              </w:rPr>
              <w:t>1.0840</w:t>
            </w:r>
          </w:p>
        </w:tc>
        <w:tc>
          <w:tcPr>
            <w:tcW w:w="1486" w:type="dxa"/>
            <w:tcBorders>
              <w:top w:val="nil"/>
              <w:left w:val="nil"/>
              <w:bottom w:val="nil"/>
              <w:right w:val="nil"/>
            </w:tcBorders>
            <w:vAlign w:val="center"/>
          </w:tcPr>
          <w:p w14:paraId="1AA5C13E" w14:textId="77777777" w:rsidR="00000000" w:rsidRDefault="00000000">
            <w:pPr>
              <w:widowControl/>
              <w:snapToGrid w:val="0"/>
              <w:spacing w:line="360" w:lineRule="auto"/>
              <w:ind w:firstLine="0"/>
              <w:jc w:val="center"/>
              <w:textAlignment w:val="center"/>
              <w:rPr>
                <w:rFonts w:ascii="宋体" w:hAnsi="宋体" w:cs="宋体"/>
                <w:sz w:val="21"/>
                <w:szCs w:val="21"/>
              </w:rPr>
            </w:pPr>
            <w:r>
              <w:rPr>
                <w:rFonts w:ascii="宋体" w:hAnsi="宋体" w:cs="宋体" w:hint="eastAsia"/>
                <w:kern w:val="0"/>
                <w:sz w:val="21"/>
                <w:szCs w:val="21"/>
                <w:lang w:bidi="ar"/>
              </w:rPr>
              <w:t>0.9630</w:t>
            </w:r>
          </w:p>
        </w:tc>
        <w:tc>
          <w:tcPr>
            <w:tcW w:w="1486" w:type="dxa"/>
            <w:tcBorders>
              <w:top w:val="nil"/>
              <w:left w:val="nil"/>
              <w:bottom w:val="nil"/>
              <w:right w:val="nil"/>
            </w:tcBorders>
            <w:vAlign w:val="center"/>
          </w:tcPr>
          <w:p w14:paraId="63F31920" w14:textId="77777777" w:rsidR="00000000" w:rsidRDefault="00000000">
            <w:pPr>
              <w:widowControl/>
              <w:snapToGrid w:val="0"/>
              <w:spacing w:line="360" w:lineRule="auto"/>
              <w:ind w:firstLine="0"/>
              <w:jc w:val="center"/>
              <w:textAlignment w:val="center"/>
              <w:rPr>
                <w:rFonts w:ascii="宋体" w:hAnsi="宋体" w:cs="宋体"/>
                <w:sz w:val="21"/>
                <w:szCs w:val="21"/>
              </w:rPr>
            </w:pPr>
            <w:r>
              <w:rPr>
                <w:rFonts w:ascii="宋体" w:hAnsi="宋体" w:cs="宋体" w:hint="eastAsia"/>
                <w:kern w:val="0"/>
                <w:sz w:val="21"/>
                <w:szCs w:val="21"/>
                <w:lang w:bidi="ar"/>
              </w:rPr>
              <w:t>0.8310</w:t>
            </w:r>
          </w:p>
        </w:tc>
        <w:tc>
          <w:tcPr>
            <w:tcW w:w="1486" w:type="dxa"/>
            <w:tcBorders>
              <w:top w:val="nil"/>
              <w:left w:val="nil"/>
              <w:bottom w:val="nil"/>
              <w:right w:val="nil"/>
            </w:tcBorders>
            <w:vAlign w:val="center"/>
          </w:tcPr>
          <w:p w14:paraId="0017C3E9" w14:textId="77777777" w:rsidR="00000000" w:rsidRDefault="00000000">
            <w:pPr>
              <w:widowControl/>
              <w:snapToGrid w:val="0"/>
              <w:spacing w:line="360" w:lineRule="auto"/>
              <w:ind w:firstLine="0"/>
              <w:jc w:val="center"/>
              <w:textAlignment w:val="center"/>
              <w:rPr>
                <w:rFonts w:ascii="宋体" w:hAnsi="宋体" w:cs="宋体"/>
                <w:sz w:val="21"/>
                <w:szCs w:val="21"/>
              </w:rPr>
            </w:pPr>
            <w:r>
              <w:rPr>
                <w:rFonts w:ascii="宋体" w:hAnsi="宋体" w:cs="宋体" w:hint="eastAsia"/>
                <w:kern w:val="0"/>
                <w:sz w:val="21"/>
                <w:szCs w:val="21"/>
                <w:lang w:bidi="ar"/>
              </w:rPr>
              <w:t>1.1770</w:t>
            </w:r>
          </w:p>
        </w:tc>
        <w:tc>
          <w:tcPr>
            <w:tcW w:w="1486" w:type="dxa"/>
            <w:tcBorders>
              <w:top w:val="nil"/>
              <w:left w:val="nil"/>
              <w:bottom w:val="nil"/>
              <w:right w:val="nil"/>
            </w:tcBorders>
            <w:vAlign w:val="center"/>
          </w:tcPr>
          <w:p w14:paraId="2AC3689C" w14:textId="77777777" w:rsidR="00000000" w:rsidRDefault="00000000">
            <w:pPr>
              <w:widowControl/>
              <w:snapToGrid w:val="0"/>
              <w:spacing w:line="360" w:lineRule="auto"/>
              <w:ind w:firstLine="0"/>
              <w:jc w:val="center"/>
              <w:textAlignment w:val="center"/>
              <w:rPr>
                <w:rFonts w:ascii="宋体" w:hAnsi="宋体" w:cs="宋体"/>
                <w:sz w:val="21"/>
                <w:szCs w:val="21"/>
              </w:rPr>
            </w:pPr>
            <w:r>
              <w:rPr>
                <w:rFonts w:ascii="宋体" w:hAnsi="宋体" w:cs="宋体" w:hint="eastAsia"/>
                <w:kern w:val="0"/>
                <w:sz w:val="21"/>
                <w:szCs w:val="21"/>
                <w:lang w:bidi="ar"/>
              </w:rPr>
              <w:t>1.3410</w:t>
            </w:r>
          </w:p>
        </w:tc>
      </w:tr>
      <w:tr w:rsidR="00000000" w14:paraId="52B748CB" w14:textId="77777777">
        <w:trPr>
          <w:jc w:val="center"/>
        </w:trPr>
        <w:tc>
          <w:tcPr>
            <w:tcW w:w="1166" w:type="dxa"/>
            <w:tcBorders>
              <w:top w:val="nil"/>
              <w:left w:val="nil"/>
              <w:bottom w:val="nil"/>
              <w:right w:val="nil"/>
            </w:tcBorders>
            <w:noWrap/>
            <w:vAlign w:val="center"/>
          </w:tcPr>
          <w:p w14:paraId="43F55F1C" w14:textId="77777777" w:rsidR="00000000" w:rsidRDefault="00000000">
            <w:pPr>
              <w:widowControl/>
              <w:snapToGrid w:val="0"/>
              <w:spacing w:line="360" w:lineRule="auto"/>
              <w:ind w:firstLine="0"/>
              <w:jc w:val="center"/>
              <w:textAlignment w:val="center"/>
              <w:rPr>
                <w:rFonts w:ascii="宋体" w:hAnsi="宋体" w:cs="宋体"/>
                <w:sz w:val="21"/>
                <w:szCs w:val="21"/>
              </w:rPr>
            </w:pPr>
            <w:r>
              <w:rPr>
                <w:rFonts w:ascii="宋体" w:hAnsi="宋体" w:cs="宋体" w:hint="eastAsia"/>
                <w:kern w:val="0"/>
                <w:sz w:val="21"/>
                <w:szCs w:val="21"/>
                <w:lang w:bidi="ar"/>
              </w:rPr>
              <w:t>A13</w:t>
            </w:r>
          </w:p>
        </w:tc>
        <w:tc>
          <w:tcPr>
            <w:tcW w:w="1529" w:type="dxa"/>
            <w:tcBorders>
              <w:top w:val="nil"/>
              <w:left w:val="nil"/>
              <w:bottom w:val="nil"/>
              <w:right w:val="nil"/>
            </w:tcBorders>
            <w:vAlign w:val="center"/>
          </w:tcPr>
          <w:p w14:paraId="374E93CF" w14:textId="77777777" w:rsidR="00000000" w:rsidRDefault="00000000">
            <w:pPr>
              <w:widowControl/>
              <w:snapToGrid w:val="0"/>
              <w:spacing w:line="360" w:lineRule="auto"/>
              <w:ind w:firstLine="0"/>
              <w:jc w:val="center"/>
              <w:textAlignment w:val="center"/>
              <w:rPr>
                <w:rFonts w:ascii="宋体" w:hAnsi="宋体" w:cs="宋体"/>
                <w:sz w:val="21"/>
                <w:szCs w:val="21"/>
              </w:rPr>
            </w:pPr>
            <w:r>
              <w:rPr>
                <w:rFonts w:ascii="宋体" w:hAnsi="宋体" w:cs="宋体" w:hint="eastAsia"/>
                <w:kern w:val="0"/>
                <w:sz w:val="21"/>
                <w:szCs w:val="21"/>
                <w:lang w:bidi="ar"/>
              </w:rPr>
              <w:t>0.5360</w:t>
            </w:r>
          </w:p>
        </w:tc>
        <w:tc>
          <w:tcPr>
            <w:tcW w:w="1486" w:type="dxa"/>
            <w:tcBorders>
              <w:top w:val="nil"/>
              <w:left w:val="nil"/>
              <w:bottom w:val="nil"/>
              <w:right w:val="nil"/>
            </w:tcBorders>
            <w:vAlign w:val="center"/>
          </w:tcPr>
          <w:p w14:paraId="5C892F7C" w14:textId="77777777" w:rsidR="00000000" w:rsidRDefault="00000000">
            <w:pPr>
              <w:widowControl/>
              <w:snapToGrid w:val="0"/>
              <w:spacing w:line="360" w:lineRule="auto"/>
              <w:ind w:firstLine="0"/>
              <w:jc w:val="center"/>
              <w:textAlignment w:val="center"/>
              <w:rPr>
                <w:rFonts w:ascii="宋体" w:hAnsi="宋体" w:cs="宋体"/>
                <w:sz w:val="21"/>
                <w:szCs w:val="21"/>
              </w:rPr>
            </w:pPr>
            <w:r>
              <w:rPr>
                <w:rFonts w:ascii="宋体" w:hAnsi="宋体" w:cs="宋体" w:hint="eastAsia"/>
                <w:kern w:val="0"/>
                <w:sz w:val="21"/>
                <w:szCs w:val="21"/>
                <w:lang w:bidi="ar"/>
              </w:rPr>
              <w:t>0.6960</w:t>
            </w:r>
          </w:p>
        </w:tc>
        <w:tc>
          <w:tcPr>
            <w:tcW w:w="1486" w:type="dxa"/>
            <w:tcBorders>
              <w:top w:val="nil"/>
              <w:left w:val="nil"/>
              <w:bottom w:val="nil"/>
              <w:right w:val="nil"/>
            </w:tcBorders>
            <w:vAlign w:val="center"/>
          </w:tcPr>
          <w:p w14:paraId="15EF863C" w14:textId="77777777" w:rsidR="00000000" w:rsidRDefault="00000000">
            <w:pPr>
              <w:widowControl/>
              <w:snapToGrid w:val="0"/>
              <w:spacing w:line="360" w:lineRule="auto"/>
              <w:ind w:firstLine="0"/>
              <w:jc w:val="center"/>
              <w:textAlignment w:val="center"/>
              <w:rPr>
                <w:rFonts w:ascii="宋体" w:hAnsi="宋体" w:cs="宋体"/>
                <w:sz w:val="21"/>
                <w:szCs w:val="21"/>
              </w:rPr>
            </w:pPr>
            <w:r>
              <w:rPr>
                <w:rFonts w:ascii="宋体" w:hAnsi="宋体" w:cs="宋体" w:hint="eastAsia"/>
                <w:kern w:val="0"/>
                <w:sz w:val="21"/>
                <w:szCs w:val="21"/>
                <w:lang w:bidi="ar"/>
              </w:rPr>
              <w:t>0.7590</w:t>
            </w:r>
          </w:p>
        </w:tc>
        <w:tc>
          <w:tcPr>
            <w:tcW w:w="1486" w:type="dxa"/>
            <w:tcBorders>
              <w:top w:val="nil"/>
              <w:left w:val="nil"/>
              <w:bottom w:val="nil"/>
              <w:right w:val="nil"/>
            </w:tcBorders>
            <w:vAlign w:val="center"/>
          </w:tcPr>
          <w:p w14:paraId="20FD6BA3" w14:textId="77777777" w:rsidR="00000000" w:rsidRDefault="00000000">
            <w:pPr>
              <w:widowControl/>
              <w:snapToGrid w:val="0"/>
              <w:spacing w:line="360" w:lineRule="auto"/>
              <w:ind w:firstLine="0"/>
              <w:jc w:val="center"/>
              <w:textAlignment w:val="center"/>
              <w:rPr>
                <w:rFonts w:ascii="宋体" w:hAnsi="宋体" w:cs="宋体"/>
                <w:sz w:val="21"/>
                <w:szCs w:val="21"/>
              </w:rPr>
            </w:pPr>
            <w:r>
              <w:rPr>
                <w:rFonts w:ascii="宋体" w:hAnsi="宋体" w:cs="宋体" w:hint="eastAsia"/>
                <w:kern w:val="0"/>
                <w:sz w:val="21"/>
                <w:szCs w:val="21"/>
                <w:lang w:bidi="ar"/>
              </w:rPr>
              <w:t>0.6600</w:t>
            </w:r>
          </w:p>
        </w:tc>
        <w:tc>
          <w:tcPr>
            <w:tcW w:w="1486" w:type="dxa"/>
            <w:tcBorders>
              <w:top w:val="nil"/>
              <w:left w:val="nil"/>
              <w:bottom w:val="nil"/>
              <w:right w:val="nil"/>
            </w:tcBorders>
            <w:vAlign w:val="center"/>
          </w:tcPr>
          <w:p w14:paraId="35171CC4" w14:textId="77777777" w:rsidR="00000000" w:rsidRDefault="00000000">
            <w:pPr>
              <w:widowControl/>
              <w:snapToGrid w:val="0"/>
              <w:spacing w:line="360" w:lineRule="auto"/>
              <w:ind w:firstLine="0"/>
              <w:jc w:val="center"/>
              <w:textAlignment w:val="center"/>
              <w:rPr>
                <w:rFonts w:ascii="宋体" w:hAnsi="宋体" w:cs="宋体"/>
                <w:sz w:val="21"/>
                <w:szCs w:val="21"/>
              </w:rPr>
            </w:pPr>
            <w:r>
              <w:rPr>
                <w:rFonts w:ascii="宋体" w:hAnsi="宋体" w:cs="宋体" w:hint="eastAsia"/>
                <w:kern w:val="0"/>
                <w:sz w:val="21"/>
                <w:szCs w:val="21"/>
                <w:lang w:bidi="ar"/>
              </w:rPr>
              <w:t>0.6130</w:t>
            </w:r>
          </w:p>
        </w:tc>
      </w:tr>
      <w:tr w:rsidR="00000000" w14:paraId="7994344C" w14:textId="77777777">
        <w:trPr>
          <w:jc w:val="center"/>
        </w:trPr>
        <w:tc>
          <w:tcPr>
            <w:tcW w:w="1166" w:type="dxa"/>
            <w:tcBorders>
              <w:top w:val="nil"/>
              <w:left w:val="nil"/>
              <w:bottom w:val="single" w:sz="12" w:space="0" w:color="000000"/>
              <w:right w:val="nil"/>
            </w:tcBorders>
            <w:noWrap/>
            <w:vAlign w:val="center"/>
          </w:tcPr>
          <w:p w14:paraId="5C70796C" w14:textId="77777777" w:rsidR="00000000" w:rsidRDefault="00000000">
            <w:pPr>
              <w:widowControl/>
              <w:snapToGrid w:val="0"/>
              <w:spacing w:line="360" w:lineRule="auto"/>
              <w:ind w:firstLine="0"/>
              <w:jc w:val="center"/>
              <w:textAlignment w:val="center"/>
              <w:rPr>
                <w:rFonts w:ascii="宋体" w:hAnsi="宋体" w:cs="宋体"/>
                <w:sz w:val="21"/>
                <w:szCs w:val="21"/>
              </w:rPr>
            </w:pPr>
            <w:r>
              <w:rPr>
                <w:rFonts w:ascii="宋体" w:hAnsi="宋体" w:cs="宋体" w:hint="eastAsia"/>
                <w:kern w:val="0"/>
                <w:sz w:val="21"/>
                <w:szCs w:val="21"/>
                <w:lang w:bidi="ar"/>
              </w:rPr>
              <w:t>A14</w:t>
            </w:r>
          </w:p>
        </w:tc>
        <w:tc>
          <w:tcPr>
            <w:tcW w:w="1529" w:type="dxa"/>
            <w:tcBorders>
              <w:top w:val="nil"/>
              <w:left w:val="nil"/>
              <w:bottom w:val="single" w:sz="12" w:space="0" w:color="000000"/>
              <w:right w:val="nil"/>
            </w:tcBorders>
            <w:vAlign w:val="center"/>
          </w:tcPr>
          <w:p w14:paraId="61EF10BB" w14:textId="77777777" w:rsidR="00000000" w:rsidRDefault="00000000">
            <w:pPr>
              <w:widowControl/>
              <w:snapToGrid w:val="0"/>
              <w:spacing w:line="360" w:lineRule="auto"/>
              <w:ind w:firstLine="0"/>
              <w:jc w:val="center"/>
              <w:textAlignment w:val="center"/>
              <w:rPr>
                <w:rFonts w:ascii="宋体" w:hAnsi="宋体" w:cs="宋体"/>
                <w:sz w:val="21"/>
                <w:szCs w:val="21"/>
              </w:rPr>
            </w:pPr>
            <w:r>
              <w:rPr>
                <w:rFonts w:ascii="宋体" w:hAnsi="宋体" w:cs="宋体" w:hint="eastAsia"/>
                <w:kern w:val="0"/>
                <w:sz w:val="21"/>
                <w:szCs w:val="21"/>
                <w:lang w:bidi="ar"/>
              </w:rPr>
              <w:t>34.8800</w:t>
            </w:r>
          </w:p>
        </w:tc>
        <w:tc>
          <w:tcPr>
            <w:tcW w:w="1486" w:type="dxa"/>
            <w:tcBorders>
              <w:top w:val="nil"/>
              <w:left w:val="nil"/>
              <w:bottom w:val="single" w:sz="12" w:space="0" w:color="000000"/>
              <w:right w:val="nil"/>
            </w:tcBorders>
            <w:vAlign w:val="center"/>
          </w:tcPr>
          <w:p w14:paraId="2B61B060" w14:textId="77777777" w:rsidR="00000000" w:rsidRDefault="00000000">
            <w:pPr>
              <w:widowControl/>
              <w:snapToGrid w:val="0"/>
              <w:spacing w:line="360" w:lineRule="auto"/>
              <w:ind w:firstLine="0"/>
              <w:jc w:val="center"/>
              <w:textAlignment w:val="center"/>
              <w:rPr>
                <w:rFonts w:ascii="宋体" w:hAnsi="宋体" w:cs="宋体"/>
                <w:sz w:val="21"/>
                <w:szCs w:val="21"/>
              </w:rPr>
            </w:pPr>
            <w:r>
              <w:rPr>
                <w:rFonts w:ascii="宋体" w:hAnsi="宋体" w:cs="宋体" w:hint="eastAsia"/>
                <w:kern w:val="0"/>
                <w:sz w:val="21"/>
                <w:szCs w:val="21"/>
                <w:lang w:bidi="ar"/>
              </w:rPr>
              <w:t>41.0400</w:t>
            </w:r>
          </w:p>
        </w:tc>
        <w:tc>
          <w:tcPr>
            <w:tcW w:w="1486" w:type="dxa"/>
            <w:tcBorders>
              <w:top w:val="nil"/>
              <w:left w:val="nil"/>
              <w:bottom w:val="single" w:sz="12" w:space="0" w:color="000000"/>
              <w:right w:val="nil"/>
            </w:tcBorders>
            <w:vAlign w:val="center"/>
          </w:tcPr>
          <w:p w14:paraId="5DB80F91" w14:textId="77777777" w:rsidR="00000000" w:rsidRDefault="00000000">
            <w:pPr>
              <w:widowControl/>
              <w:snapToGrid w:val="0"/>
              <w:spacing w:line="360" w:lineRule="auto"/>
              <w:ind w:firstLine="0"/>
              <w:jc w:val="center"/>
              <w:textAlignment w:val="center"/>
              <w:rPr>
                <w:rFonts w:ascii="宋体" w:hAnsi="宋体" w:cs="宋体"/>
                <w:sz w:val="21"/>
                <w:szCs w:val="21"/>
              </w:rPr>
            </w:pPr>
            <w:r>
              <w:rPr>
                <w:rFonts w:ascii="宋体" w:hAnsi="宋体" w:cs="宋体" w:hint="eastAsia"/>
                <w:kern w:val="0"/>
                <w:sz w:val="21"/>
                <w:szCs w:val="21"/>
                <w:lang w:bidi="ar"/>
              </w:rPr>
              <w:t>43.1600</w:t>
            </w:r>
          </w:p>
        </w:tc>
        <w:tc>
          <w:tcPr>
            <w:tcW w:w="1486" w:type="dxa"/>
            <w:tcBorders>
              <w:top w:val="nil"/>
              <w:left w:val="nil"/>
              <w:bottom w:val="single" w:sz="12" w:space="0" w:color="000000"/>
              <w:right w:val="nil"/>
            </w:tcBorders>
            <w:vAlign w:val="center"/>
          </w:tcPr>
          <w:p w14:paraId="793A0C75" w14:textId="77777777" w:rsidR="00000000" w:rsidRDefault="00000000">
            <w:pPr>
              <w:widowControl/>
              <w:snapToGrid w:val="0"/>
              <w:spacing w:line="360" w:lineRule="auto"/>
              <w:ind w:firstLine="0"/>
              <w:jc w:val="center"/>
              <w:textAlignment w:val="center"/>
              <w:rPr>
                <w:rFonts w:ascii="宋体" w:hAnsi="宋体" w:cs="宋体"/>
                <w:sz w:val="21"/>
                <w:szCs w:val="21"/>
              </w:rPr>
            </w:pPr>
            <w:r>
              <w:rPr>
                <w:rFonts w:ascii="宋体" w:hAnsi="宋体" w:cs="宋体" w:hint="eastAsia"/>
                <w:kern w:val="0"/>
                <w:sz w:val="21"/>
                <w:szCs w:val="21"/>
                <w:lang w:bidi="ar"/>
              </w:rPr>
              <w:t>39.7600</w:t>
            </w:r>
          </w:p>
        </w:tc>
        <w:tc>
          <w:tcPr>
            <w:tcW w:w="1486" w:type="dxa"/>
            <w:tcBorders>
              <w:top w:val="nil"/>
              <w:left w:val="nil"/>
              <w:bottom w:val="single" w:sz="12" w:space="0" w:color="000000"/>
              <w:right w:val="nil"/>
            </w:tcBorders>
            <w:vAlign w:val="center"/>
          </w:tcPr>
          <w:p w14:paraId="42FCDC17" w14:textId="77777777" w:rsidR="00000000" w:rsidRDefault="00000000">
            <w:pPr>
              <w:widowControl/>
              <w:snapToGrid w:val="0"/>
              <w:spacing w:line="360" w:lineRule="auto"/>
              <w:ind w:firstLine="0"/>
              <w:jc w:val="center"/>
              <w:textAlignment w:val="center"/>
              <w:rPr>
                <w:rFonts w:ascii="宋体" w:hAnsi="宋体" w:cs="宋体"/>
                <w:sz w:val="21"/>
                <w:szCs w:val="21"/>
              </w:rPr>
            </w:pPr>
            <w:r>
              <w:rPr>
                <w:rFonts w:ascii="宋体" w:hAnsi="宋体" w:cs="宋体" w:hint="eastAsia"/>
                <w:kern w:val="0"/>
                <w:sz w:val="21"/>
                <w:szCs w:val="21"/>
                <w:lang w:bidi="ar"/>
              </w:rPr>
              <w:t>38.0000</w:t>
            </w:r>
          </w:p>
        </w:tc>
      </w:tr>
    </w:tbl>
    <w:p w14:paraId="45A72E90" w14:textId="77777777" w:rsidR="00000000" w:rsidRDefault="00000000">
      <w:pPr>
        <w:autoSpaceDE w:val="0"/>
        <w:autoSpaceDN w:val="0"/>
        <w:adjustRightInd w:val="0"/>
        <w:spacing w:afterLines="50" w:after="207"/>
        <w:ind w:firstLineChars="200" w:firstLine="426"/>
        <w:jc w:val="left"/>
      </w:pPr>
      <w:r>
        <w:rPr>
          <w:rFonts w:hint="eastAsia"/>
          <w:sz w:val="21"/>
          <w:szCs w:val="21"/>
        </w:rPr>
        <w:t>数据来源：根据东方财富网及</w:t>
      </w:r>
      <w:r>
        <w:rPr>
          <w:rFonts w:hint="eastAsia"/>
          <w:sz w:val="21"/>
          <w:szCs w:val="21"/>
        </w:rPr>
        <w:t>M</w:t>
      </w:r>
      <w:r>
        <w:rPr>
          <w:rFonts w:hint="eastAsia"/>
          <w:sz w:val="21"/>
          <w:szCs w:val="21"/>
        </w:rPr>
        <w:t>公司</w:t>
      </w:r>
      <w:r>
        <w:rPr>
          <w:rFonts w:hint="eastAsia"/>
          <w:sz w:val="21"/>
          <w:szCs w:val="21"/>
        </w:rPr>
        <w:t>2020-2024</w:t>
      </w:r>
      <w:r>
        <w:rPr>
          <w:rFonts w:hint="eastAsia"/>
          <w:sz w:val="21"/>
          <w:szCs w:val="21"/>
        </w:rPr>
        <w:t>年财务报表整理</w:t>
      </w:r>
    </w:p>
    <w:p w14:paraId="39B213F8" w14:textId="77777777" w:rsidR="00000000" w:rsidRDefault="00000000">
      <w:pPr>
        <w:pStyle w:val="afd"/>
        <w:ind w:firstLine="486"/>
        <w:rPr>
          <w:rFonts w:cs="宋体" w:hint="eastAsia"/>
          <w:color w:val="auto"/>
        </w:rPr>
      </w:pPr>
      <w:r>
        <w:rPr>
          <w:rFonts w:cs="宋体" w:hint="eastAsia"/>
          <w:color w:val="auto"/>
        </w:rPr>
        <w:t>步骤二：进行标准化处理。针对筹资风险的二级指标数据开展归一标准化操作。鉴于指标数据中存在0值，需对所有指标实施平移处理，平移后得到的标准化矩阵如表5-4所示。</w:t>
      </w:r>
    </w:p>
    <w:p w14:paraId="7FB4D9C5" w14:textId="77777777" w:rsidR="00000000" w:rsidRDefault="00000000">
      <w:pPr>
        <w:autoSpaceDE w:val="0"/>
        <w:autoSpaceDN w:val="0"/>
        <w:adjustRightInd w:val="0"/>
        <w:spacing w:beforeLines="50" w:before="207" w:afterLines="50" w:after="207" w:line="400" w:lineRule="exact"/>
        <w:ind w:firstLine="0"/>
        <w:jc w:val="center"/>
        <w:rPr>
          <w:rFonts w:ascii="宋体" w:hAnsi="宋体" w:cs="宋体"/>
          <w:sz w:val="21"/>
          <w:szCs w:val="21"/>
        </w:rPr>
      </w:pPr>
      <w:r>
        <w:rPr>
          <w:rFonts w:ascii="宋体" w:hAnsi="宋体" w:cs="宋体" w:hint="eastAsia"/>
          <w:sz w:val="21"/>
          <w:szCs w:val="21"/>
        </w:rPr>
        <w:t>表5-4 M公司2020-2024年筹资风险二级指标标准化矩阵</w:t>
      </w:r>
    </w:p>
    <w:tbl>
      <w:tblPr>
        <w:tblW w:w="8641" w:type="dxa"/>
        <w:jc w:val="center"/>
        <w:tblInd w:w="0" w:type="dxa"/>
        <w:tblCellMar>
          <w:top w:w="56" w:type="dxa"/>
          <w:left w:w="96" w:type="dxa"/>
          <w:bottom w:w="56" w:type="dxa"/>
          <w:right w:w="96" w:type="dxa"/>
        </w:tblCellMar>
        <w:tblLook w:val="0000" w:firstRow="0" w:lastRow="0" w:firstColumn="0" w:lastColumn="0" w:noHBand="0" w:noVBand="0"/>
      </w:tblPr>
      <w:tblGrid>
        <w:gridCol w:w="1176"/>
        <w:gridCol w:w="1493"/>
        <w:gridCol w:w="1493"/>
        <w:gridCol w:w="1493"/>
        <w:gridCol w:w="1493"/>
        <w:gridCol w:w="1493"/>
      </w:tblGrid>
      <w:tr w:rsidR="00000000" w14:paraId="0A2D8746" w14:textId="77777777">
        <w:trPr>
          <w:jc w:val="center"/>
        </w:trPr>
        <w:tc>
          <w:tcPr>
            <w:tcW w:w="1176" w:type="dxa"/>
            <w:tcBorders>
              <w:top w:val="single" w:sz="12" w:space="0" w:color="000000"/>
              <w:left w:val="nil"/>
              <w:bottom w:val="single" w:sz="4" w:space="0" w:color="000000"/>
              <w:right w:val="nil"/>
            </w:tcBorders>
            <w:noWrap/>
            <w:vAlign w:val="center"/>
          </w:tcPr>
          <w:p w14:paraId="5813621C" w14:textId="77777777" w:rsidR="00000000" w:rsidRDefault="00000000">
            <w:pPr>
              <w:widowControl/>
              <w:snapToGrid w:val="0"/>
              <w:spacing w:line="360" w:lineRule="auto"/>
              <w:ind w:firstLine="0"/>
              <w:jc w:val="center"/>
              <w:textAlignment w:val="bottom"/>
              <w:rPr>
                <w:rFonts w:ascii="宋体" w:hAnsi="宋体" w:cs="宋体"/>
                <w:b/>
                <w:sz w:val="21"/>
                <w:szCs w:val="21"/>
              </w:rPr>
            </w:pPr>
            <w:r>
              <w:rPr>
                <w:rFonts w:ascii="宋体" w:hAnsi="宋体" w:cs="宋体" w:hint="eastAsia"/>
                <w:b/>
                <w:kern w:val="0"/>
                <w:sz w:val="21"/>
                <w:szCs w:val="21"/>
                <w:lang w:bidi="ar"/>
              </w:rPr>
              <w:lastRenderedPageBreak/>
              <w:t>指标</w:t>
            </w:r>
          </w:p>
        </w:tc>
        <w:tc>
          <w:tcPr>
            <w:tcW w:w="1493" w:type="dxa"/>
            <w:tcBorders>
              <w:top w:val="single" w:sz="12" w:space="0" w:color="000000"/>
              <w:left w:val="nil"/>
              <w:bottom w:val="single" w:sz="4" w:space="0" w:color="000000"/>
              <w:right w:val="nil"/>
            </w:tcBorders>
            <w:noWrap/>
            <w:vAlign w:val="center"/>
          </w:tcPr>
          <w:p w14:paraId="7AA7BCA3" w14:textId="77777777" w:rsidR="00000000" w:rsidRDefault="00000000">
            <w:pPr>
              <w:widowControl/>
              <w:snapToGrid w:val="0"/>
              <w:spacing w:line="360" w:lineRule="auto"/>
              <w:ind w:firstLine="0"/>
              <w:jc w:val="center"/>
              <w:textAlignment w:val="bottom"/>
              <w:rPr>
                <w:rFonts w:ascii="宋体" w:hAnsi="宋体" w:cs="宋体"/>
                <w:b/>
                <w:sz w:val="21"/>
                <w:szCs w:val="21"/>
              </w:rPr>
            </w:pPr>
            <w:r>
              <w:rPr>
                <w:rFonts w:ascii="宋体" w:hAnsi="宋体" w:cs="宋体" w:hint="eastAsia"/>
                <w:b/>
                <w:kern w:val="0"/>
                <w:sz w:val="21"/>
                <w:szCs w:val="21"/>
                <w:lang w:bidi="ar"/>
              </w:rPr>
              <w:t>2020年</w:t>
            </w:r>
          </w:p>
        </w:tc>
        <w:tc>
          <w:tcPr>
            <w:tcW w:w="1493" w:type="dxa"/>
            <w:tcBorders>
              <w:top w:val="single" w:sz="12" w:space="0" w:color="000000"/>
              <w:left w:val="nil"/>
              <w:bottom w:val="single" w:sz="4" w:space="0" w:color="000000"/>
              <w:right w:val="nil"/>
            </w:tcBorders>
            <w:noWrap/>
            <w:vAlign w:val="center"/>
          </w:tcPr>
          <w:p w14:paraId="0FFCABB5" w14:textId="77777777" w:rsidR="00000000" w:rsidRDefault="00000000">
            <w:pPr>
              <w:widowControl/>
              <w:snapToGrid w:val="0"/>
              <w:spacing w:line="360" w:lineRule="auto"/>
              <w:ind w:firstLine="0"/>
              <w:jc w:val="center"/>
              <w:textAlignment w:val="bottom"/>
              <w:rPr>
                <w:rFonts w:ascii="宋体" w:hAnsi="宋体" w:cs="宋体"/>
                <w:b/>
                <w:sz w:val="21"/>
                <w:szCs w:val="21"/>
              </w:rPr>
            </w:pPr>
            <w:r>
              <w:rPr>
                <w:rFonts w:ascii="宋体" w:hAnsi="宋体" w:cs="宋体" w:hint="eastAsia"/>
                <w:b/>
                <w:kern w:val="0"/>
                <w:sz w:val="21"/>
                <w:szCs w:val="21"/>
                <w:lang w:bidi="ar"/>
              </w:rPr>
              <w:t>2021年</w:t>
            </w:r>
          </w:p>
        </w:tc>
        <w:tc>
          <w:tcPr>
            <w:tcW w:w="1493" w:type="dxa"/>
            <w:tcBorders>
              <w:top w:val="single" w:sz="12" w:space="0" w:color="000000"/>
              <w:left w:val="nil"/>
              <w:bottom w:val="single" w:sz="4" w:space="0" w:color="000000"/>
              <w:right w:val="nil"/>
            </w:tcBorders>
            <w:noWrap/>
            <w:vAlign w:val="center"/>
          </w:tcPr>
          <w:p w14:paraId="6B540735" w14:textId="77777777" w:rsidR="00000000" w:rsidRDefault="00000000">
            <w:pPr>
              <w:widowControl/>
              <w:snapToGrid w:val="0"/>
              <w:spacing w:line="360" w:lineRule="auto"/>
              <w:ind w:firstLine="0"/>
              <w:jc w:val="center"/>
              <w:textAlignment w:val="bottom"/>
              <w:rPr>
                <w:rFonts w:ascii="宋体" w:hAnsi="宋体" w:cs="宋体"/>
                <w:b/>
                <w:sz w:val="21"/>
                <w:szCs w:val="21"/>
              </w:rPr>
            </w:pPr>
            <w:r>
              <w:rPr>
                <w:rFonts w:ascii="宋体" w:hAnsi="宋体" w:cs="宋体" w:hint="eastAsia"/>
                <w:b/>
                <w:kern w:val="0"/>
                <w:sz w:val="21"/>
                <w:szCs w:val="21"/>
                <w:lang w:bidi="ar"/>
              </w:rPr>
              <w:t>2022年</w:t>
            </w:r>
          </w:p>
        </w:tc>
        <w:tc>
          <w:tcPr>
            <w:tcW w:w="1493" w:type="dxa"/>
            <w:tcBorders>
              <w:top w:val="single" w:sz="12" w:space="0" w:color="000000"/>
              <w:left w:val="nil"/>
              <w:bottom w:val="single" w:sz="4" w:space="0" w:color="000000"/>
              <w:right w:val="nil"/>
            </w:tcBorders>
            <w:noWrap/>
            <w:vAlign w:val="center"/>
          </w:tcPr>
          <w:p w14:paraId="11A56EE6" w14:textId="77777777" w:rsidR="00000000" w:rsidRDefault="00000000">
            <w:pPr>
              <w:widowControl/>
              <w:snapToGrid w:val="0"/>
              <w:spacing w:line="360" w:lineRule="auto"/>
              <w:ind w:firstLine="0"/>
              <w:jc w:val="center"/>
              <w:textAlignment w:val="bottom"/>
              <w:rPr>
                <w:rFonts w:ascii="宋体" w:hAnsi="宋体" w:cs="宋体"/>
                <w:b/>
                <w:sz w:val="21"/>
                <w:szCs w:val="21"/>
              </w:rPr>
            </w:pPr>
            <w:r>
              <w:rPr>
                <w:rFonts w:ascii="宋体" w:hAnsi="宋体" w:cs="宋体" w:hint="eastAsia"/>
                <w:b/>
                <w:kern w:val="0"/>
                <w:sz w:val="21"/>
                <w:szCs w:val="21"/>
                <w:lang w:bidi="ar"/>
              </w:rPr>
              <w:t>2023年</w:t>
            </w:r>
          </w:p>
        </w:tc>
        <w:tc>
          <w:tcPr>
            <w:tcW w:w="1493" w:type="dxa"/>
            <w:tcBorders>
              <w:top w:val="single" w:sz="12" w:space="0" w:color="000000"/>
              <w:left w:val="nil"/>
              <w:bottom w:val="single" w:sz="4" w:space="0" w:color="000000"/>
              <w:right w:val="nil"/>
            </w:tcBorders>
            <w:noWrap/>
            <w:vAlign w:val="center"/>
          </w:tcPr>
          <w:p w14:paraId="129C1DBD" w14:textId="77777777" w:rsidR="00000000" w:rsidRDefault="00000000">
            <w:pPr>
              <w:widowControl/>
              <w:snapToGrid w:val="0"/>
              <w:spacing w:line="360" w:lineRule="auto"/>
              <w:ind w:firstLine="0"/>
              <w:jc w:val="center"/>
              <w:textAlignment w:val="bottom"/>
              <w:rPr>
                <w:rFonts w:ascii="宋体" w:hAnsi="宋体" w:cs="宋体"/>
                <w:b/>
                <w:sz w:val="21"/>
                <w:szCs w:val="21"/>
              </w:rPr>
            </w:pPr>
            <w:r>
              <w:rPr>
                <w:rFonts w:ascii="宋体" w:hAnsi="宋体" w:cs="宋体" w:hint="eastAsia"/>
                <w:b/>
                <w:kern w:val="0"/>
                <w:sz w:val="21"/>
                <w:szCs w:val="21"/>
                <w:lang w:bidi="ar"/>
              </w:rPr>
              <w:t>2024年</w:t>
            </w:r>
          </w:p>
        </w:tc>
      </w:tr>
      <w:tr w:rsidR="00000000" w14:paraId="21EACB5A" w14:textId="77777777">
        <w:trPr>
          <w:jc w:val="center"/>
        </w:trPr>
        <w:tc>
          <w:tcPr>
            <w:tcW w:w="1176" w:type="dxa"/>
            <w:tcBorders>
              <w:top w:val="single" w:sz="4" w:space="0" w:color="000000"/>
              <w:left w:val="nil"/>
              <w:bottom w:val="nil"/>
              <w:right w:val="nil"/>
            </w:tcBorders>
            <w:noWrap/>
            <w:vAlign w:val="center"/>
          </w:tcPr>
          <w:p w14:paraId="0FAB30F8" w14:textId="77777777" w:rsidR="00000000" w:rsidRDefault="00000000">
            <w:pPr>
              <w:widowControl/>
              <w:snapToGrid w:val="0"/>
              <w:spacing w:line="360" w:lineRule="auto"/>
              <w:ind w:firstLine="0"/>
              <w:jc w:val="center"/>
              <w:textAlignment w:val="bottom"/>
              <w:rPr>
                <w:rFonts w:ascii="宋体" w:hAnsi="宋体" w:cs="宋体"/>
                <w:sz w:val="21"/>
                <w:szCs w:val="21"/>
              </w:rPr>
            </w:pPr>
            <w:r>
              <w:rPr>
                <w:rFonts w:ascii="宋体" w:hAnsi="宋体" w:cs="宋体" w:hint="eastAsia"/>
                <w:kern w:val="0"/>
                <w:sz w:val="21"/>
                <w:szCs w:val="21"/>
                <w:lang w:bidi="ar"/>
              </w:rPr>
              <w:t>A11</w:t>
            </w:r>
          </w:p>
        </w:tc>
        <w:tc>
          <w:tcPr>
            <w:tcW w:w="1493" w:type="dxa"/>
            <w:tcBorders>
              <w:top w:val="single" w:sz="4" w:space="0" w:color="000000"/>
              <w:left w:val="nil"/>
              <w:bottom w:val="nil"/>
              <w:right w:val="nil"/>
            </w:tcBorders>
            <w:noWrap/>
            <w:vAlign w:val="center"/>
          </w:tcPr>
          <w:p w14:paraId="358257D6" w14:textId="77777777" w:rsidR="00000000" w:rsidRDefault="00000000">
            <w:pPr>
              <w:widowControl/>
              <w:snapToGrid w:val="0"/>
              <w:spacing w:line="360" w:lineRule="auto"/>
              <w:ind w:firstLine="0"/>
              <w:jc w:val="center"/>
              <w:textAlignment w:val="bottom"/>
              <w:rPr>
                <w:rFonts w:ascii="宋体" w:hAnsi="宋体" w:cs="宋体"/>
                <w:sz w:val="21"/>
                <w:szCs w:val="21"/>
              </w:rPr>
            </w:pPr>
            <w:r>
              <w:rPr>
                <w:rFonts w:ascii="宋体" w:hAnsi="宋体" w:cs="宋体" w:hint="eastAsia"/>
                <w:kern w:val="0"/>
                <w:sz w:val="21"/>
                <w:szCs w:val="21"/>
                <w:lang w:bidi="ar"/>
              </w:rPr>
              <w:t>1.3980</w:t>
            </w:r>
          </w:p>
        </w:tc>
        <w:tc>
          <w:tcPr>
            <w:tcW w:w="1493" w:type="dxa"/>
            <w:tcBorders>
              <w:top w:val="single" w:sz="4" w:space="0" w:color="000000"/>
              <w:left w:val="nil"/>
              <w:bottom w:val="nil"/>
              <w:right w:val="nil"/>
            </w:tcBorders>
            <w:noWrap/>
            <w:vAlign w:val="center"/>
          </w:tcPr>
          <w:p w14:paraId="647079FE" w14:textId="77777777" w:rsidR="00000000" w:rsidRDefault="00000000">
            <w:pPr>
              <w:widowControl/>
              <w:snapToGrid w:val="0"/>
              <w:spacing w:line="360" w:lineRule="auto"/>
              <w:ind w:firstLine="0"/>
              <w:jc w:val="center"/>
              <w:textAlignment w:val="bottom"/>
              <w:rPr>
                <w:rFonts w:ascii="宋体" w:hAnsi="宋体" w:cs="宋体"/>
                <w:sz w:val="21"/>
                <w:szCs w:val="21"/>
              </w:rPr>
            </w:pPr>
            <w:r>
              <w:rPr>
                <w:rFonts w:ascii="宋体" w:hAnsi="宋体" w:cs="宋体" w:hint="eastAsia"/>
                <w:kern w:val="0"/>
                <w:sz w:val="21"/>
                <w:szCs w:val="21"/>
                <w:lang w:bidi="ar"/>
              </w:rPr>
              <w:t>1.2080</w:t>
            </w:r>
          </w:p>
        </w:tc>
        <w:tc>
          <w:tcPr>
            <w:tcW w:w="1493" w:type="dxa"/>
            <w:tcBorders>
              <w:top w:val="single" w:sz="4" w:space="0" w:color="000000"/>
              <w:left w:val="nil"/>
              <w:bottom w:val="nil"/>
              <w:right w:val="nil"/>
            </w:tcBorders>
            <w:noWrap/>
            <w:vAlign w:val="center"/>
          </w:tcPr>
          <w:p w14:paraId="4A04E987" w14:textId="77777777" w:rsidR="00000000" w:rsidRDefault="00000000">
            <w:pPr>
              <w:widowControl/>
              <w:snapToGrid w:val="0"/>
              <w:spacing w:line="360" w:lineRule="auto"/>
              <w:ind w:firstLine="0"/>
              <w:jc w:val="center"/>
              <w:textAlignment w:val="bottom"/>
              <w:rPr>
                <w:rFonts w:ascii="宋体" w:hAnsi="宋体" w:cs="宋体"/>
                <w:sz w:val="21"/>
                <w:szCs w:val="21"/>
              </w:rPr>
            </w:pPr>
            <w:r>
              <w:rPr>
                <w:rFonts w:ascii="宋体" w:hAnsi="宋体" w:cs="宋体" w:hint="eastAsia"/>
                <w:kern w:val="0"/>
                <w:sz w:val="21"/>
                <w:szCs w:val="21"/>
                <w:lang w:bidi="ar"/>
              </w:rPr>
              <w:t>1.0410</w:t>
            </w:r>
          </w:p>
        </w:tc>
        <w:tc>
          <w:tcPr>
            <w:tcW w:w="1493" w:type="dxa"/>
            <w:tcBorders>
              <w:top w:val="single" w:sz="4" w:space="0" w:color="000000"/>
              <w:left w:val="nil"/>
              <w:bottom w:val="nil"/>
              <w:right w:val="nil"/>
            </w:tcBorders>
            <w:noWrap/>
            <w:vAlign w:val="center"/>
          </w:tcPr>
          <w:p w14:paraId="397FBB3B" w14:textId="77777777" w:rsidR="00000000" w:rsidRDefault="00000000">
            <w:pPr>
              <w:widowControl/>
              <w:snapToGrid w:val="0"/>
              <w:spacing w:line="360" w:lineRule="auto"/>
              <w:ind w:firstLine="0"/>
              <w:jc w:val="center"/>
              <w:textAlignment w:val="bottom"/>
              <w:rPr>
                <w:rFonts w:ascii="宋体" w:hAnsi="宋体" w:cs="宋体"/>
                <w:sz w:val="21"/>
                <w:szCs w:val="21"/>
              </w:rPr>
            </w:pPr>
            <w:r>
              <w:rPr>
                <w:rFonts w:ascii="宋体" w:hAnsi="宋体" w:cs="宋体" w:hint="eastAsia"/>
                <w:kern w:val="0"/>
                <w:sz w:val="21"/>
                <w:szCs w:val="21"/>
                <w:lang w:bidi="ar"/>
              </w:rPr>
              <w:t>1.3920</w:t>
            </w:r>
          </w:p>
        </w:tc>
        <w:tc>
          <w:tcPr>
            <w:tcW w:w="1493" w:type="dxa"/>
            <w:tcBorders>
              <w:top w:val="single" w:sz="4" w:space="0" w:color="000000"/>
              <w:left w:val="nil"/>
              <w:bottom w:val="nil"/>
              <w:right w:val="nil"/>
            </w:tcBorders>
            <w:noWrap/>
            <w:vAlign w:val="center"/>
          </w:tcPr>
          <w:p w14:paraId="743EA271" w14:textId="77777777" w:rsidR="00000000" w:rsidRDefault="00000000">
            <w:pPr>
              <w:widowControl/>
              <w:snapToGrid w:val="0"/>
              <w:spacing w:line="360" w:lineRule="auto"/>
              <w:ind w:firstLine="0"/>
              <w:jc w:val="center"/>
              <w:textAlignment w:val="bottom"/>
              <w:rPr>
                <w:rFonts w:ascii="宋体" w:hAnsi="宋体" w:cs="宋体"/>
                <w:sz w:val="21"/>
                <w:szCs w:val="21"/>
              </w:rPr>
            </w:pPr>
            <w:r>
              <w:rPr>
                <w:rFonts w:ascii="宋体" w:hAnsi="宋体" w:cs="宋体" w:hint="eastAsia"/>
                <w:kern w:val="0"/>
                <w:sz w:val="21"/>
                <w:szCs w:val="21"/>
                <w:lang w:bidi="ar"/>
              </w:rPr>
              <w:t>1.5550</w:t>
            </w:r>
          </w:p>
        </w:tc>
      </w:tr>
      <w:tr w:rsidR="00000000" w14:paraId="509968E3" w14:textId="77777777">
        <w:trPr>
          <w:jc w:val="center"/>
        </w:trPr>
        <w:tc>
          <w:tcPr>
            <w:tcW w:w="1176" w:type="dxa"/>
            <w:tcBorders>
              <w:top w:val="nil"/>
              <w:left w:val="nil"/>
              <w:bottom w:val="nil"/>
              <w:right w:val="nil"/>
            </w:tcBorders>
            <w:noWrap/>
            <w:vAlign w:val="center"/>
          </w:tcPr>
          <w:p w14:paraId="478810BD" w14:textId="77777777" w:rsidR="00000000" w:rsidRDefault="00000000">
            <w:pPr>
              <w:widowControl/>
              <w:snapToGrid w:val="0"/>
              <w:spacing w:line="360" w:lineRule="auto"/>
              <w:ind w:firstLine="0"/>
              <w:jc w:val="center"/>
              <w:textAlignment w:val="bottom"/>
              <w:rPr>
                <w:rFonts w:ascii="宋体" w:hAnsi="宋体" w:cs="宋体"/>
                <w:sz w:val="21"/>
                <w:szCs w:val="21"/>
              </w:rPr>
            </w:pPr>
            <w:r>
              <w:rPr>
                <w:rFonts w:ascii="宋体" w:hAnsi="宋体" w:cs="宋体" w:hint="eastAsia"/>
                <w:kern w:val="0"/>
                <w:sz w:val="21"/>
                <w:szCs w:val="21"/>
                <w:lang w:bidi="ar"/>
              </w:rPr>
              <w:t>A12</w:t>
            </w:r>
          </w:p>
        </w:tc>
        <w:tc>
          <w:tcPr>
            <w:tcW w:w="1493" w:type="dxa"/>
            <w:tcBorders>
              <w:top w:val="nil"/>
              <w:left w:val="nil"/>
              <w:bottom w:val="nil"/>
              <w:right w:val="nil"/>
            </w:tcBorders>
            <w:noWrap/>
            <w:vAlign w:val="center"/>
          </w:tcPr>
          <w:p w14:paraId="49F702B8" w14:textId="77777777" w:rsidR="00000000" w:rsidRDefault="00000000">
            <w:pPr>
              <w:widowControl/>
              <w:snapToGrid w:val="0"/>
              <w:spacing w:line="360" w:lineRule="auto"/>
              <w:ind w:firstLine="0"/>
              <w:jc w:val="center"/>
              <w:textAlignment w:val="bottom"/>
              <w:rPr>
                <w:rFonts w:ascii="宋体" w:hAnsi="宋体" w:cs="宋体"/>
                <w:sz w:val="21"/>
                <w:szCs w:val="21"/>
              </w:rPr>
            </w:pPr>
            <w:r>
              <w:rPr>
                <w:rFonts w:ascii="宋体" w:hAnsi="宋体" w:cs="宋体" w:hint="eastAsia"/>
                <w:kern w:val="0"/>
                <w:sz w:val="21"/>
                <w:szCs w:val="21"/>
                <w:lang w:bidi="ar"/>
              </w:rPr>
              <w:t>1.0840</w:t>
            </w:r>
          </w:p>
        </w:tc>
        <w:tc>
          <w:tcPr>
            <w:tcW w:w="1493" w:type="dxa"/>
            <w:tcBorders>
              <w:top w:val="nil"/>
              <w:left w:val="nil"/>
              <w:bottom w:val="nil"/>
              <w:right w:val="nil"/>
            </w:tcBorders>
            <w:noWrap/>
            <w:vAlign w:val="center"/>
          </w:tcPr>
          <w:p w14:paraId="24302171" w14:textId="77777777" w:rsidR="00000000" w:rsidRDefault="00000000">
            <w:pPr>
              <w:widowControl/>
              <w:snapToGrid w:val="0"/>
              <w:spacing w:line="360" w:lineRule="auto"/>
              <w:ind w:firstLine="0"/>
              <w:jc w:val="center"/>
              <w:textAlignment w:val="bottom"/>
              <w:rPr>
                <w:rFonts w:ascii="宋体" w:hAnsi="宋体" w:cs="宋体"/>
                <w:sz w:val="21"/>
                <w:szCs w:val="21"/>
              </w:rPr>
            </w:pPr>
            <w:r>
              <w:rPr>
                <w:rFonts w:ascii="宋体" w:hAnsi="宋体" w:cs="宋体" w:hint="eastAsia"/>
                <w:kern w:val="0"/>
                <w:sz w:val="21"/>
                <w:szCs w:val="21"/>
                <w:lang w:bidi="ar"/>
              </w:rPr>
              <w:t>0.9630</w:t>
            </w:r>
          </w:p>
        </w:tc>
        <w:tc>
          <w:tcPr>
            <w:tcW w:w="1493" w:type="dxa"/>
            <w:tcBorders>
              <w:top w:val="nil"/>
              <w:left w:val="nil"/>
              <w:bottom w:val="nil"/>
              <w:right w:val="nil"/>
            </w:tcBorders>
            <w:noWrap/>
            <w:vAlign w:val="center"/>
          </w:tcPr>
          <w:p w14:paraId="657FA24C" w14:textId="77777777" w:rsidR="00000000" w:rsidRDefault="00000000">
            <w:pPr>
              <w:widowControl/>
              <w:snapToGrid w:val="0"/>
              <w:spacing w:line="360" w:lineRule="auto"/>
              <w:ind w:firstLine="0"/>
              <w:jc w:val="center"/>
              <w:textAlignment w:val="bottom"/>
              <w:rPr>
                <w:rFonts w:ascii="宋体" w:hAnsi="宋体" w:cs="宋体"/>
                <w:sz w:val="21"/>
                <w:szCs w:val="21"/>
              </w:rPr>
            </w:pPr>
            <w:r>
              <w:rPr>
                <w:rFonts w:ascii="宋体" w:hAnsi="宋体" w:cs="宋体" w:hint="eastAsia"/>
                <w:kern w:val="0"/>
                <w:sz w:val="21"/>
                <w:szCs w:val="21"/>
                <w:lang w:bidi="ar"/>
              </w:rPr>
              <w:t>0.8310</w:t>
            </w:r>
          </w:p>
        </w:tc>
        <w:tc>
          <w:tcPr>
            <w:tcW w:w="1493" w:type="dxa"/>
            <w:tcBorders>
              <w:top w:val="nil"/>
              <w:left w:val="nil"/>
              <w:bottom w:val="nil"/>
              <w:right w:val="nil"/>
            </w:tcBorders>
            <w:noWrap/>
            <w:vAlign w:val="center"/>
          </w:tcPr>
          <w:p w14:paraId="6C822AED" w14:textId="77777777" w:rsidR="00000000" w:rsidRDefault="00000000">
            <w:pPr>
              <w:widowControl/>
              <w:snapToGrid w:val="0"/>
              <w:spacing w:line="360" w:lineRule="auto"/>
              <w:ind w:firstLine="0"/>
              <w:jc w:val="center"/>
              <w:textAlignment w:val="bottom"/>
              <w:rPr>
                <w:rFonts w:ascii="宋体" w:hAnsi="宋体" w:cs="宋体"/>
                <w:sz w:val="21"/>
                <w:szCs w:val="21"/>
              </w:rPr>
            </w:pPr>
            <w:r>
              <w:rPr>
                <w:rFonts w:ascii="宋体" w:hAnsi="宋体" w:cs="宋体" w:hint="eastAsia"/>
                <w:kern w:val="0"/>
                <w:sz w:val="21"/>
                <w:szCs w:val="21"/>
                <w:lang w:bidi="ar"/>
              </w:rPr>
              <w:t>1.1770</w:t>
            </w:r>
          </w:p>
        </w:tc>
        <w:tc>
          <w:tcPr>
            <w:tcW w:w="1493" w:type="dxa"/>
            <w:tcBorders>
              <w:top w:val="nil"/>
              <w:left w:val="nil"/>
              <w:bottom w:val="nil"/>
              <w:right w:val="nil"/>
            </w:tcBorders>
            <w:noWrap/>
            <w:vAlign w:val="center"/>
          </w:tcPr>
          <w:p w14:paraId="58B5C6D3" w14:textId="77777777" w:rsidR="00000000" w:rsidRDefault="00000000">
            <w:pPr>
              <w:widowControl/>
              <w:snapToGrid w:val="0"/>
              <w:spacing w:line="360" w:lineRule="auto"/>
              <w:ind w:firstLine="0"/>
              <w:jc w:val="center"/>
              <w:textAlignment w:val="bottom"/>
              <w:rPr>
                <w:rFonts w:ascii="宋体" w:hAnsi="宋体" w:cs="宋体"/>
                <w:sz w:val="21"/>
                <w:szCs w:val="21"/>
              </w:rPr>
            </w:pPr>
            <w:r>
              <w:rPr>
                <w:rFonts w:ascii="宋体" w:hAnsi="宋体" w:cs="宋体" w:hint="eastAsia"/>
                <w:kern w:val="0"/>
                <w:sz w:val="21"/>
                <w:szCs w:val="21"/>
                <w:lang w:bidi="ar"/>
              </w:rPr>
              <w:t>1.3410</w:t>
            </w:r>
          </w:p>
        </w:tc>
      </w:tr>
      <w:tr w:rsidR="00000000" w14:paraId="1C1C1549" w14:textId="77777777">
        <w:trPr>
          <w:jc w:val="center"/>
        </w:trPr>
        <w:tc>
          <w:tcPr>
            <w:tcW w:w="1176" w:type="dxa"/>
            <w:tcBorders>
              <w:top w:val="nil"/>
              <w:left w:val="nil"/>
              <w:bottom w:val="nil"/>
              <w:right w:val="nil"/>
            </w:tcBorders>
            <w:noWrap/>
            <w:vAlign w:val="center"/>
          </w:tcPr>
          <w:p w14:paraId="2859BD4F" w14:textId="77777777" w:rsidR="00000000" w:rsidRDefault="00000000">
            <w:pPr>
              <w:widowControl/>
              <w:snapToGrid w:val="0"/>
              <w:spacing w:line="360" w:lineRule="auto"/>
              <w:ind w:firstLine="0"/>
              <w:jc w:val="center"/>
              <w:textAlignment w:val="bottom"/>
              <w:rPr>
                <w:rFonts w:ascii="宋体" w:hAnsi="宋体" w:cs="宋体"/>
                <w:sz w:val="21"/>
                <w:szCs w:val="21"/>
              </w:rPr>
            </w:pPr>
            <w:r>
              <w:rPr>
                <w:rFonts w:ascii="宋体" w:hAnsi="宋体" w:cs="宋体" w:hint="eastAsia"/>
                <w:kern w:val="0"/>
                <w:sz w:val="21"/>
                <w:szCs w:val="21"/>
                <w:lang w:bidi="ar"/>
              </w:rPr>
              <w:t>A13</w:t>
            </w:r>
          </w:p>
        </w:tc>
        <w:tc>
          <w:tcPr>
            <w:tcW w:w="1493" w:type="dxa"/>
            <w:tcBorders>
              <w:top w:val="nil"/>
              <w:left w:val="nil"/>
              <w:bottom w:val="nil"/>
              <w:right w:val="nil"/>
            </w:tcBorders>
            <w:noWrap/>
            <w:vAlign w:val="center"/>
          </w:tcPr>
          <w:p w14:paraId="15C0484F" w14:textId="77777777" w:rsidR="00000000" w:rsidRDefault="00000000">
            <w:pPr>
              <w:widowControl/>
              <w:snapToGrid w:val="0"/>
              <w:spacing w:line="360" w:lineRule="auto"/>
              <w:ind w:firstLine="0"/>
              <w:jc w:val="center"/>
              <w:textAlignment w:val="bottom"/>
              <w:rPr>
                <w:rFonts w:ascii="宋体" w:hAnsi="宋体" w:cs="宋体"/>
                <w:sz w:val="21"/>
                <w:szCs w:val="21"/>
              </w:rPr>
            </w:pPr>
            <w:r>
              <w:rPr>
                <w:rFonts w:ascii="宋体" w:hAnsi="宋体" w:cs="宋体" w:hint="eastAsia"/>
                <w:kern w:val="0"/>
                <w:sz w:val="21"/>
                <w:szCs w:val="21"/>
                <w:lang w:bidi="ar"/>
              </w:rPr>
              <w:t>1.0100</w:t>
            </w:r>
          </w:p>
        </w:tc>
        <w:tc>
          <w:tcPr>
            <w:tcW w:w="1493" w:type="dxa"/>
            <w:tcBorders>
              <w:top w:val="nil"/>
              <w:left w:val="nil"/>
              <w:bottom w:val="nil"/>
              <w:right w:val="nil"/>
            </w:tcBorders>
            <w:noWrap/>
            <w:vAlign w:val="center"/>
          </w:tcPr>
          <w:p w14:paraId="0CA2B28E" w14:textId="77777777" w:rsidR="00000000" w:rsidRDefault="00000000">
            <w:pPr>
              <w:widowControl/>
              <w:snapToGrid w:val="0"/>
              <w:spacing w:line="360" w:lineRule="auto"/>
              <w:ind w:firstLine="0"/>
              <w:jc w:val="center"/>
              <w:textAlignment w:val="bottom"/>
              <w:rPr>
                <w:rFonts w:ascii="宋体" w:hAnsi="宋体" w:cs="宋体"/>
                <w:sz w:val="21"/>
                <w:szCs w:val="21"/>
              </w:rPr>
            </w:pPr>
            <w:r>
              <w:rPr>
                <w:rFonts w:ascii="宋体" w:hAnsi="宋体" w:cs="宋体" w:hint="eastAsia"/>
                <w:kern w:val="0"/>
                <w:sz w:val="21"/>
                <w:szCs w:val="21"/>
                <w:lang w:bidi="ar"/>
              </w:rPr>
              <w:t>0.2925</w:t>
            </w:r>
          </w:p>
        </w:tc>
        <w:tc>
          <w:tcPr>
            <w:tcW w:w="1493" w:type="dxa"/>
            <w:tcBorders>
              <w:top w:val="nil"/>
              <w:left w:val="nil"/>
              <w:bottom w:val="nil"/>
              <w:right w:val="nil"/>
            </w:tcBorders>
            <w:noWrap/>
            <w:vAlign w:val="center"/>
          </w:tcPr>
          <w:p w14:paraId="58A8995F" w14:textId="77777777" w:rsidR="00000000" w:rsidRDefault="00000000">
            <w:pPr>
              <w:widowControl/>
              <w:snapToGrid w:val="0"/>
              <w:spacing w:line="360" w:lineRule="auto"/>
              <w:ind w:firstLine="0"/>
              <w:jc w:val="center"/>
              <w:textAlignment w:val="bottom"/>
              <w:rPr>
                <w:rFonts w:ascii="宋体" w:hAnsi="宋体" w:cs="宋体"/>
                <w:sz w:val="21"/>
                <w:szCs w:val="21"/>
              </w:rPr>
            </w:pPr>
            <w:r>
              <w:rPr>
                <w:rFonts w:ascii="宋体" w:hAnsi="宋体" w:cs="宋体" w:hint="eastAsia"/>
                <w:kern w:val="0"/>
                <w:sz w:val="21"/>
                <w:szCs w:val="21"/>
                <w:lang w:bidi="ar"/>
              </w:rPr>
              <w:t>0.0100</w:t>
            </w:r>
          </w:p>
        </w:tc>
        <w:tc>
          <w:tcPr>
            <w:tcW w:w="1493" w:type="dxa"/>
            <w:tcBorders>
              <w:top w:val="nil"/>
              <w:left w:val="nil"/>
              <w:bottom w:val="nil"/>
              <w:right w:val="nil"/>
            </w:tcBorders>
            <w:noWrap/>
            <w:vAlign w:val="center"/>
          </w:tcPr>
          <w:p w14:paraId="5710BCA8" w14:textId="77777777" w:rsidR="00000000" w:rsidRDefault="00000000">
            <w:pPr>
              <w:widowControl/>
              <w:snapToGrid w:val="0"/>
              <w:spacing w:line="360" w:lineRule="auto"/>
              <w:ind w:firstLine="0"/>
              <w:jc w:val="center"/>
              <w:textAlignment w:val="bottom"/>
              <w:rPr>
                <w:rFonts w:ascii="宋体" w:hAnsi="宋体" w:cs="宋体"/>
                <w:sz w:val="21"/>
                <w:szCs w:val="21"/>
              </w:rPr>
            </w:pPr>
            <w:r>
              <w:rPr>
                <w:rFonts w:ascii="宋体" w:hAnsi="宋体" w:cs="宋体" w:hint="eastAsia"/>
                <w:kern w:val="0"/>
                <w:sz w:val="21"/>
                <w:szCs w:val="21"/>
                <w:lang w:bidi="ar"/>
              </w:rPr>
              <w:t>0.4539</w:t>
            </w:r>
          </w:p>
        </w:tc>
        <w:tc>
          <w:tcPr>
            <w:tcW w:w="1493" w:type="dxa"/>
            <w:tcBorders>
              <w:top w:val="nil"/>
              <w:left w:val="nil"/>
              <w:bottom w:val="nil"/>
              <w:right w:val="nil"/>
            </w:tcBorders>
            <w:noWrap/>
            <w:vAlign w:val="center"/>
          </w:tcPr>
          <w:p w14:paraId="38226F7E" w14:textId="77777777" w:rsidR="00000000" w:rsidRDefault="00000000">
            <w:pPr>
              <w:widowControl/>
              <w:snapToGrid w:val="0"/>
              <w:spacing w:line="360" w:lineRule="auto"/>
              <w:ind w:firstLine="0"/>
              <w:jc w:val="center"/>
              <w:textAlignment w:val="bottom"/>
              <w:rPr>
                <w:rFonts w:ascii="宋体" w:hAnsi="宋体" w:cs="宋体"/>
                <w:sz w:val="21"/>
                <w:szCs w:val="21"/>
              </w:rPr>
            </w:pPr>
            <w:r>
              <w:rPr>
                <w:rFonts w:ascii="宋体" w:hAnsi="宋体" w:cs="宋体" w:hint="eastAsia"/>
                <w:kern w:val="0"/>
                <w:sz w:val="21"/>
                <w:szCs w:val="21"/>
                <w:lang w:bidi="ar"/>
              </w:rPr>
              <w:t>0.6647</w:t>
            </w:r>
          </w:p>
        </w:tc>
      </w:tr>
      <w:tr w:rsidR="00000000" w14:paraId="6D40F061" w14:textId="77777777">
        <w:trPr>
          <w:jc w:val="center"/>
        </w:trPr>
        <w:tc>
          <w:tcPr>
            <w:tcW w:w="1176" w:type="dxa"/>
            <w:tcBorders>
              <w:top w:val="nil"/>
              <w:left w:val="nil"/>
              <w:bottom w:val="single" w:sz="12" w:space="0" w:color="000000"/>
              <w:right w:val="nil"/>
            </w:tcBorders>
            <w:noWrap/>
            <w:vAlign w:val="center"/>
          </w:tcPr>
          <w:p w14:paraId="7C694332" w14:textId="77777777" w:rsidR="00000000" w:rsidRDefault="00000000">
            <w:pPr>
              <w:widowControl/>
              <w:snapToGrid w:val="0"/>
              <w:spacing w:line="360" w:lineRule="auto"/>
              <w:ind w:firstLine="0"/>
              <w:jc w:val="center"/>
              <w:textAlignment w:val="bottom"/>
              <w:rPr>
                <w:rFonts w:ascii="宋体" w:hAnsi="宋体" w:cs="宋体"/>
                <w:sz w:val="21"/>
                <w:szCs w:val="21"/>
              </w:rPr>
            </w:pPr>
            <w:r>
              <w:rPr>
                <w:rFonts w:ascii="宋体" w:hAnsi="宋体" w:cs="宋体" w:hint="eastAsia"/>
                <w:kern w:val="0"/>
                <w:sz w:val="21"/>
                <w:szCs w:val="21"/>
                <w:lang w:bidi="ar"/>
              </w:rPr>
              <w:t>A14</w:t>
            </w:r>
          </w:p>
        </w:tc>
        <w:tc>
          <w:tcPr>
            <w:tcW w:w="1493" w:type="dxa"/>
            <w:tcBorders>
              <w:top w:val="nil"/>
              <w:left w:val="nil"/>
              <w:bottom w:val="single" w:sz="12" w:space="0" w:color="000000"/>
              <w:right w:val="nil"/>
            </w:tcBorders>
            <w:noWrap/>
            <w:vAlign w:val="center"/>
          </w:tcPr>
          <w:p w14:paraId="6D43BF69" w14:textId="77777777" w:rsidR="00000000" w:rsidRDefault="00000000">
            <w:pPr>
              <w:widowControl/>
              <w:snapToGrid w:val="0"/>
              <w:spacing w:line="360" w:lineRule="auto"/>
              <w:ind w:firstLine="0"/>
              <w:jc w:val="center"/>
              <w:textAlignment w:val="bottom"/>
              <w:rPr>
                <w:rFonts w:ascii="宋体" w:hAnsi="宋体" w:cs="宋体"/>
                <w:sz w:val="21"/>
                <w:szCs w:val="21"/>
              </w:rPr>
            </w:pPr>
            <w:r>
              <w:rPr>
                <w:rFonts w:ascii="宋体" w:hAnsi="宋体" w:cs="宋体" w:hint="eastAsia"/>
                <w:kern w:val="0"/>
                <w:sz w:val="21"/>
                <w:szCs w:val="21"/>
                <w:lang w:bidi="ar"/>
              </w:rPr>
              <w:t>1.0100</w:t>
            </w:r>
          </w:p>
        </w:tc>
        <w:tc>
          <w:tcPr>
            <w:tcW w:w="1493" w:type="dxa"/>
            <w:tcBorders>
              <w:top w:val="nil"/>
              <w:left w:val="nil"/>
              <w:bottom w:val="single" w:sz="12" w:space="0" w:color="000000"/>
              <w:right w:val="nil"/>
            </w:tcBorders>
            <w:noWrap/>
            <w:vAlign w:val="center"/>
          </w:tcPr>
          <w:p w14:paraId="5B130EDC" w14:textId="77777777" w:rsidR="00000000" w:rsidRDefault="00000000">
            <w:pPr>
              <w:widowControl/>
              <w:snapToGrid w:val="0"/>
              <w:spacing w:line="360" w:lineRule="auto"/>
              <w:ind w:firstLine="0"/>
              <w:jc w:val="center"/>
              <w:textAlignment w:val="bottom"/>
              <w:rPr>
                <w:rFonts w:ascii="宋体" w:hAnsi="宋体" w:cs="宋体"/>
                <w:sz w:val="21"/>
                <w:szCs w:val="21"/>
              </w:rPr>
            </w:pPr>
            <w:r>
              <w:rPr>
                <w:rFonts w:ascii="宋体" w:hAnsi="宋体" w:cs="宋体" w:hint="eastAsia"/>
                <w:kern w:val="0"/>
                <w:sz w:val="21"/>
                <w:szCs w:val="21"/>
                <w:lang w:bidi="ar"/>
              </w:rPr>
              <w:t>0.2660</w:t>
            </w:r>
          </w:p>
        </w:tc>
        <w:tc>
          <w:tcPr>
            <w:tcW w:w="1493" w:type="dxa"/>
            <w:tcBorders>
              <w:top w:val="nil"/>
              <w:left w:val="nil"/>
              <w:bottom w:val="single" w:sz="12" w:space="0" w:color="000000"/>
              <w:right w:val="nil"/>
            </w:tcBorders>
            <w:noWrap/>
            <w:vAlign w:val="center"/>
          </w:tcPr>
          <w:p w14:paraId="052E0789" w14:textId="77777777" w:rsidR="00000000" w:rsidRDefault="00000000">
            <w:pPr>
              <w:widowControl/>
              <w:snapToGrid w:val="0"/>
              <w:spacing w:line="360" w:lineRule="auto"/>
              <w:ind w:firstLine="0"/>
              <w:jc w:val="center"/>
              <w:textAlignment w:val="bottom"/>
              <w:rPr>
                <w:rFonts w:ascii="宋体" w:hAnsi="宋体" w:cs="宋体"/>
                <w:sz w:val="21"/>
                <w:szCs w:val="21"/>
              </w:rPr>
            </w:pPr>
            <w:r>
              <w:rPr>
                <w:rFonts w:ascii="宋体" w:hAnsi="宋体" w:cs="宋体" w:hint="eastAsia"/>
                <w:kern w:val="0"/>
                <w:sz w:val="21"/>
                <w:szCs w:val="21"/>
                <w:lang w:bidi="ar"/>
              </w:rPr>
              <w:t>0.0100</w:t>
            </w:r>
          </w:p>
        </w:tc>
        <w:tc>
          <w:tcPr>
            <w:tcW w:w="1493" w:type="dxa"/>
            <w:tcBorders>
              <w:top w:val="nil"/>
              <w:left w:val="nil"/>
              <w:bottom w:val="single" w:sz="12" w:space="0" w:color="000000"/>
              <w:right w:val="nil"/>
            </w:tcBorders>
            <w:noWrap/>
            <w:vAlign w:val="center"/>
          </w:tcPr>
          <w:p w14:paraId="51E3BEAD" w14:textId="77777777" w:rsidR="00000000" w:rsidRDefault="00000000">
            <w:pPr>
              <w:widowControl/>
              <w:snapToGrid w:val="0"/>
              <w:spacing w:line="360" w:lineRule="auto"/>
              <w:ind w:firstLine="0"/>
              <w:jc w:val="center"/>
              <w:textAlignment w:val="bottom"/>
              <w:rPr>
                <w:rFonts w:ascii="宋体" w:hAnsi="宋体" w:cs="宋体"/>
                <w:sz w:val="21"/>
                <w:szCs w:val="21"/>
              </w:rPr>
            </w:pPr>
            <w:r>
              <w:rPr>
                <w:rFonts w:ascii="宋体" w:hAnsi="宋体" w:cs="宋体" w:hint="eastAsia"/>
                <w:kern w:val="0"/>
                <w:sz w:val="21"/>
                <w:szCs w:val="21"/>
                <w:lang w:bidi="ar"/>
              </w:rPr>
              <w:t>0.4206</w:t>
            </w:r>
          </w:p>
        </w:tc>
        <w:tc>
          <w:tcPr>
            <w:tcW w:w="1493" w:type="dxa"/>
            <w:tcBorders>
              <w:top w:val="nil"/>
              <w:left w:val="nil"/>
              <w:bottom w:val="single" w:sz="12" w:space="0" w:color="000000"/>
              <w:right w:val="nil"/>
            </w:tcBorders>
            <w:noWrap/>
            <w:vAlign w:val="center"/>
          </w:tcPr>
          <w:p w14:paraId="2916DD9F" w14:textId="77777777" w:rsidR="00000000" w:rsidRDefault="00000000">
            <w:pPr>
              <w:widowControl/>
              <w:snapToGrid w:val="0"/>
              <w:spacing w:line="360" w:lineRule="auto"/>
              <w:ind w:firstLine="0"/>
              <w:jc w:val="center"/>
              <w:textAlignment w:val="bottom"/>
              <w:rPr>
                <w:rFonts w:ascii="宋体" w:hAnsi="宋体" w:cs="宋体"/>
                <w:sz w:val="21"/>
                <w:szCs w:val="21"/>
              </w:rPr>
            </w:pPr>
            <w:r>
              <w:rPr>
                <w:rFonts w:ascii="宋体" w:hAnsi="宋体" w:cs="宋体" w:hint="eastAsia"/>
                <w:kern w:val="0"/>
                <w:sz w:val="21"/>
                <w:szCs w:val="21"/>
                <w:lang w:bidi="ar"/>
              </w:rPr>
              <w:t>0.6332</w:t>
            </w:r>
          </w:p>
        </w:tc>
      </w:tr>
    </w:tbl>
    <w:p w14:paraId="6F52AE59" w14:textId="77777777" w:rsidR="00000000" w:rsidRDefault="00000000">
      <w:pPr>
        <w:pStyle w:val="afd"/>
        <w:ind w:firstLine="486"/>
        <w:rPr>
          <w:rFonts w:cs="宋体" w:hint="eastAsia"/>
          <w:color w:val="auto"/>
        </w:rPr>
      </w:pPr>
      <w:r>
        <w:rPr>
          <w:rFonts w:cs="宋体" w:hint="eastAsia"/>
          <w:color w:val="auto"/>
        </w:rPr>
        <w:t>步骤三：进行熵值与熵权计算。针对筹资风险下的二级指标，分别计算其熵值与熵权。计算得出的结果详见表5-5。</w:t>
      </w:r>
    </w:p>
    <w:p w14:paraId="51F788F0" w14:textId="77777777" w:rsidR="00000000" w:rsidRDefault="00000000">
      <w:pPr>
        <w:autoSpaceDE w:val="0"/>
        <w:autoSpaceDN w:val="0"/>
        <w:adjustRightInd w:val="0"/>
        <w:spacing w:beforeLines="50" w:before="207" w:afterLines="50" w:after="207" w:line="400" w:lineRule="exact"/>
        <w:ind w:firstLine="0"/>
        <w:jc w:val="center"/>
        <w:rPr>
          <w:rFonts w:ascii="宋体" w:hAnsi="宋体" w:cs="宋体"/>
          <w:sz w:val="21"/>
          <w:szCs w:val="21"/>
        </w:rPr>
      </w:pPr>
      <w:r>
        <w:rPr>
          <w:rFonts w:ascii="宋体" w:hAnsi="宋体" w:cs="宋体" w:hint="eastAsia"/>
          <w:sz w:val="21"/>
          <w:szCs w:val="21"/>
        </w:rPr>
        <w:t>表5-5 M公司2020-2024年筹资风险二级指标的熵值和熵权</w:t>
      </w:r>
    </w:p>
    <w:tbl>
      <w:tblPr>
        <w:tblW w:w="8639" w:type="dxa"/>
        <w:jc w:val="center"/>
        <w:tblInd w:w="0" w:type="dxa"/>
        <w:tblCellMar>
          <w:top w:w="80" w:type="dxa"/>
          <w:left w:w="128" w:type="dxa"/>
          <w:bottom w:w="80" w:type="dxa"/>
          <w:right w:w="128" w:type="dxa"/>
        </w:tblCellMar>
        <w:tblLook w:val="0000" w:firstRow="0" w:lastRow="0" w:firstColumn="0" w:lastColumn="0" w:noHBand="0" w:noVBand="0"/>
      </w:tblPr>
      <w:tblGrid>
        <w:gridCol w:w="2397"/>
        <w:gridCol w:w="3121"/>
        <w:gridCol w:w="3121"/>
      </w:tblGrid>
      <w:tr w:rsidR="00000000" w14:paraId="17BD180A" w14:textId="77777777">
        <w:trPr>
          <w:jc w:val="center"/>
        </w:trPr>
        <w:tc>
          <w:tcPr>
            <w:tcW w:w="2397" w:type="dxa"/>
            <w:tcBorders>
              <w:top w:val="single" w:sz="12" w:space="0" w:color="000000"/>
              <w:left w:val="nil"/>
              <w:bottom w:val="single" w:sz="4" w:space="0" w:color="000000"/>
              <w:right w:val="nil"/>
            </w:tcBorders>
            <w:noWrap/>
            <w:vAlign w:val="center"/>
          </w:tcPr>
          <w:p w14:paraId="204D3BBA" w14:textId="77777777" w:rsidR="00000000" w:rsidRDefault="00000000">
            <w:pPr>
              <w:widowControl/>
              <w:snapToGrid w:val="0"/>
              <w:spacing w:line="360" w:lineRule="auto"/>
              <w:ind w:firstLine="0"/>
              <w:jc w:val="center"/>
              <w:textAlignment w:val="center"/>
              <w:rPr>
                <w:rFonts w:ascii="宋体" w:hAnsi="宋体" w:cs="宋体"/>
                <w:b/>
                <w:bCs/>
                <w:sz w:val="21"/>
                <w:szCs w:val="21"/>
              </w:rPr>
            </w:pPr>
            <w:r>
              <w:rPr>
                <w:rFonts w:ascii="宋体" w:hAnsi="宋体" w:cs="宋体" w:hint="eastAsia"/>
                <w:b/>
                <w:bCs/>
                <w:kern w:val="0"/>
                <w:sz w:val="21"/>
                <w:szCs w:val="21"/>
                <w:lang w:bidi="ar"/>
              </w:rPr>
              <w:t>项</w:t>
            </w:r>
          </w:p>
        </w:tc>
        <w:tc>
          <w:tcPr>
            <w:tcW w:w="3121" w:type="dxa"/>
            <w:tcBorders>
              <w:top w:val="single" w:sz="12" w:space="0" w:color="000000"/>
              <w:left w:val="nil"/>
              <w:bottom w:val="single" w:sz="4" w:space="0" w:color="000000"/>
              <w:right w:val="nil"/>
            </w:tcBorders>
            <w:noWrap/>
            <w:vAlign w:val="center"/>
          </w:tcPr>
          <w:p w14:paraId="4DF90E8F" w14:textId="77777777" w:rsidR="00000000" w:rsidRDefault="00000000">
            <w:pPr>
              <w:widowControl/>
              <w:snapToGrid w:val="0"/>
              <w:spacing w:line="360" w:lineRule="auto"/>
              <w:ind w:firstLine="0"/>
              <w:jc w:val="center"/>
              <w:textAlignment w:val="center"/>
              <w:rPr>
                <w:rFonts w:ascii="宋体" w:hAnsi="宋体" w:cs="宋体"/>
                <w:b/>
                <w:bCs/>
                <w:sz w:val="21"/>
                <w:szCs w:val="21"/>
              </w:rPr>
            </w:pPr>
            <w:r>
              <w:rPr>
                <w:rFonts w:ascii="宋体" w:hAnsi="宋体" w:cs="宋体" w:hint="eastAsia"/>
                <w:b/>
                <w:bCs/>
                <w:kern w:val="0"/>
                <w:sz w:val="21"/>
                <w:szCs w:val="21"/>
                <w:lang w:bidi="ar"/>
              </w:rPr>
              <w:t>熵值</w:t>
            </w:r>
          </w:p>
        </w:tc>
        <w:tc>
          <w:tcPr>
            <w:tcW w:w="3121" w:type="dxa"/>
            <w:tcBorders>
              <w:top w:val="single" w:sz="12" w:space="0" w:color="000000"/>
              <w:left w:val="nil"/>
              <w:bottom w:val="single" w:sz="4" w:space="0" w:color="000000"/>
              <w:right w:val="nil"/>
            </w:tcBorders>
            <w:noWrap/>
            <w:vAlign w:val="center"/>
          </w:tcPr>
          <w:p w14:paraId="66B0626F" w14:textId="77777777" w:rsidR="00000000" w:rsidRDefault="00000000">
            <w:pPr>
              <w:widowControl/>
              <w:snapToGrid w:val="0"/>
              <w:spacing w:line="360" w:lineRule="auto"/>
              <w:ind w:firstLine="0"/>
              <w:jc w:val="center"/>
              <w:textAlignment w:val="center"/>
              <w:rPr>
                <w:rFonts w:ascii="宋体" w:hAnsi="宋体" w:cs="宋体"/>
                <w:b/>
                <w:bCs/>
                <w:sz w:val="21"/>
                <w:szCs w:val="21"/>
              </w:rPr>
            </w:pPr>
            <w:r>
              <w:rPr>
                <w:rFonts w:ascii="宋体" w:hAnsi="宋体" w:cs="宋体" w:hint="eastAsia"/>
                <w:b/>
                <w:bCs/>
                <w:sz w:val="21"/>
                <w:szCs w:val="21"/>
              </w:rPr>
              <w:t>熵权</w:t>
            </w:r>
          </w:p>
        </w:tc>
      </w:tr>
      <w:tr w:rsidR="00000000" w14:paraId="05935537" w14:textId="77777777">
        <w:trPr>
          <w:jc w:val="center"/>
        </w:trPr>
        <w:tc>
          <w:tcPr>
            <w:tcW w:w="2397" w:type="dxa"/>
            <w:tcBorders>
              <w:top w:val="single" w:sz="4" w:space="0" w:color="000000"/>
              <w:left w:val="nil"/>
              <w:bottom w:val="nil"/>
              <w:right w:val="nil"/>
            </w:tcBorders>
            <w:noWrap/>
            <w:vAlign w:val="center"/>
          </w:tcPr>
          <w:p w14:paraId="4C4FF7B2" w14:textId="77777777" w:rsidR="00000000" w:rsidRDefault="00000000">
            <w:pPr>
              <w:widowControl/>
              <w:snapToGrid w:val="0"/>
              <w:spacing w:line="360" w:lineRule="auto"/>
              <w:ind w:firstLine="0"/>
              <w:jc w:val="center"/>
              <w:textAlignment w:val="center"/>
              <w:rPr>
                <w:rFonts w:ascii="宋体" w:hAnsi="宋体" w:cs="宋体"/>
                <w:sz w:val="21"/>
                <w:szCs w:val="21"/>
              </w:rPr>
            </w:pPr>
            <w:r>
              <w:rPr>
                <w:rFonts w:ascii="宋体" w:hAnsi="宋体" w:cs="宋体" w:hint="eastAsia"/>
                <w:kern w:val="0"/>
                <w:sz w:val="21"/>
                <w:szCs w:val="21"/>
                <w:lang w:bidi="ar"/>
              </w:rPr>
              <w:t>A11</w:t>
            </w:r>
          </w:p>
        </w:tc>
        <w:tc>
          <w:tcPr>
            <w:tcW w:w="3121" w:type="dxa"/>
            <w:tcBorders>
              <w:top w:val="single" w:sz="4" w:space="0" w:color="000000"/>
              <w:left w:val="nil"/>
              <w:bottom w:val="nil"/>
              <w:right w:val="nil"/>
            </w:tcBorders>
            <w:noWrap/>
            <w:vAlign w:val="center"/>
          </w:tcPr>
          <w:p w14:paraId="32DE4D1E" w14:textId="77777777" w:rsidR="00000000" w:rsidRDefault="00000000">
            <w:pPr>
              <w:widowControl/>
              <w:snapToGrid w:val="0"/>
              <w:spacing w:line="360" w:lineRule="auto"/>
              <w:ind w:firstLine="0"/>
              <w:jc w:val="center"/>
              <w:textAlignment w:val="center"/>
              <w:rPr>
                <w:rFonts w:ascii="宋体" w:hAnsi="宋体" w:cs="宋体"/>
                <w:sz w:val="21"/>
                <w:szCs w:val="21"/>
              </w:rPr>
            </w:pPr>
            <w:r>
              <w:rPr>
                <w:rFonts w:ascii="宋体" w:hAnsi="宋体" w:cs="宋体" w:hint="eastAsia"/>
                <w:kern w:val="0"/>
                <w:sz w:val="21"/>
                <w:szCs w:val="21"/>
                <w:lang w:bidi="ar"/>
              </w:rPr>
              <w:t>0.9943</w:t>
            </w:r>
          </w:p>
        </w:tc>
        <w:tc>
          <w:tcPr>
            <w:tcW w:w="3121" w:type="dxa"/>
            <w:tcBorders>
              <w:top w:val="single" w:sz="4" w:space="0" w:color="000000"/>
              <w:left w:val="nil"/>
              <w:bottom w:val="nil"/>
              <w:right w:val="nil"/>
            </w:tcBorders>
            <w:noWrap/>
            <w:vAlign w:val="center"/>
          </w:tcPr>
          <w:p w14:paraId="15414F7E" w14:textId="77777777" w:rsidR="00000000" w:rsidRDefault="00000000">
            <w:pPr>
              <w:widowControl/>
              <w:snapToGrid w:val="0"/>
              <w:spacing w:line="360" w:lineRule="auto"/>
              <w:ind w:firstLine="0"/>
              <w:jc w:val="center"/>
              <w:textAlignment w:val="center"/>
              <w:rPr>
                <w:rFonts w:ascii="宋体" w:hAnsi="宋体" w:cs="宋体"/>
                <w:sz w:val="21"/>
                <w:szCs w:val="21"/>
              </w:rPr>
            </w:pPr>
            <w:r>
              <w:rPr>
                <w:rFonts w:ascii="宋体" w:hAnsi="宋体" w:cs="宋体" w:hint="eastAsia"/>
                <w:kern w:val="0"/>
                <w:sz w:val="21"/>
                <w:szCs w:val="21"/>
                <w:lang w:bidi="ar"/>
              </w:rPr>
              <w:t>0.0144</w:t>
            </w:r>
          </w:p>
        </w:tc>
      </w:tr>
      <w:tr w:rsidR="00000000" w14:paraId="1255A42C" w14:textId="77777777">
        <w:trPr>
          <w:jc w:val="center"/>
        </w:trPr>
        <w:tc>
          <w:tcPr>
            <w:tcW w:w="2397" w:type="dxa"/>
            <w:tcBorders>
              <w:top w:val="nil"/>
              <w:left w:val="nil"/>
              <w:bottom w:val="nil"/>
              <w:right w:val="nil"/>
            </w:tcBorders>
            <w:noWrap/>
            <w:vAlign w:val="center"/>
          </w:tcPr>
          <w:p w14:paraId="0038DA8D" w14:textId="77777777" w:rsidR="00000000" w:rsidRDefault="00000000">
            <w:pPr>
              <w:widowControl/>
              <w:snapToGrid w:val="0"/>
              <w:spacing w:line="360" w:lineRule="auto"/>
              <w:ind w:firstLine="0"/>
              <w:jc w:val="center"/>
              <w:textAlignment w:val="center"/>
              <w:rPr>
                <w:rFonts w:ascii="宋体" w:hAnsi="宋体" w:cs="宋体"/>
                <w:sz w:val="21"/>
                <w:szCs w:val="21"/>
              </w:rPr>
            </w:pPr>
            <w:r>
              <w:rPr>
                <w:rFonts w:ascii="宋体" w:hAnsi="宋体" w:cs="宋体" w:hint="eastAsia"/>
                <w:kern w:val="0"/>
                <w:sz w:val="21"/>
                <w:szCs w:val="21"/>
                <w:lang w:bidi="ar"/>
              </w:rPr>
              <w:t>A12</w:t>
            </w:r>
          </w:p>
        </w:tc>
        <w:tc>
          <w:tcPr>
            <w:tcW w:w="3121" w:type="dxa"/>
            <w:tcBorders>
              <w:top w:val="nil"/>
              <w:left w:val="nil"/>
              <w:bottom w:val="nil"/>
              <w:right w:val="nil"/>
            </w:tcBorders>
            <w:noWrap/>
            <w:vAlign w:val="center"/>
          </w:tcPr>
          <w:p w14:paraId="20251636" w14:textId="77777777" w:rsidR="00000000" w:rsidRDefault="00000000">
            <w:pPr>
              <w:widowControl/>
              <w:snapToGrid w:val="0"/>
              <w:spacing w:line="360" w:lineRule="auto"/>
              <w:ind w:firstLine="0"/>
              <w:jc w:val="center"/>
              <w:textAlignment w:val="center"/>
              <w:rPr>
                <w:rFonts w:ascii="宋体" w:hAnsi="宋体" w:cs="宋体"/>
                <w:sz w:val="21"/>
                <w:szCs w:val="21"/>
              </w:rPr>
            </w:pPr>
            <w:r>
              <w:rPr>
                <w:rFonts w:ascii="宋体" w:hAnsi="宋体" w:cs="宋体" w:hint="eastAsia"/>
                <w:kern w:val="0"/>
                <w:sz w:val="21"/>
                <w:szCs w:val="21"/>
                <w:lang w:bidi="ar"/>
              </w:rPr>
              <w:t>0.9918</w:t>
            </w:r>
          </w:p>
        </w:tc>
        <w:tc>
          <w:tcPr>
            <w:tcW w:w="3121" w:type="dxa"/>
            <w:tcBorders>
              <w:top w:val="nil"/>
              <w:left w:val="nil"/>
              <w:bottom w:val="nil"/>
              <w:right w:val="nil"/>
            </w:tcBorders>
            <w:noWrap/>
            <w:vAlign w:val="center"/>
          </w:tcPr>
          <w:p w14:paraId="49D1D7EE" w14:textId="77777777" w:rsidR="00000000" w:rsidRDefault="00000000">
            <w:pPr>
              <w:widowControl/>
              <w:snapToGrid w:val="0"/>
              <w:spacing w:line="360" w:lineRule="auto"/>
              <w:ind w:firstLine="0"/>
              <w:jc w:val="center"/>
              <w:textAlignment w:val="center"/>
              <w:rPr>
                <w:rFonts w:ascii="宋体" w:hAnsi="宋体" w:cs="宋体"/>
                <w:sz w:val="21"/>
                <w:szCs w:val="21"/>
              </w:rPr>
            </w:pPr>
            <w:r>
              <w:rPr>
                <w:rFonts w:ascii="宋体" w:hAnsi="宋体" w:cs="宋体" w:hint="eastAsia"/>
                <w:kern w:val="0"/>
                <w:sz w:val="21"/>
                <w:szCs w:val="21"/>
                <w:lang w:bidi="ar"/>
              </w:rPr>
              <w:t>0.0207</w:t>
            </w:r>
          </w:p>
        </w:tc>
      </w:tr>
      <w:tr w:rsidR="00000000" w14:paraId="024FC64B" w14:textId="77777777">
        <w:trPr>
          <w:jc w:val="center"/>
        </w:trPr>
        <w:tc>
          <w:tcPr>
            <w:tcW w:w="2397" w:type="dxa"/>
            <w:tcBorders>
              <w:top w:val="nil"/>
              <w:left w:val="nil"/>
              <w:bottom w:val="nil"/>
              <w:right w:val="nil"/>
            </w:tcBorders>
            <w:noWrap/>
            <w:vAlign w:val="center"/>
          </w:tcPr>
          <w:p w14:paraId="7A87F63C" w14:textId="77777777" w:rsidR="00000000" w:rsidRDefault="00000000">
            <w:pPr>
              <w:widowControl/>
              <w:snapToGrid w:val="0"/>
              <w:spacing w:line="360" w:lineRule="auto"/>
              <w:ind w:firstLine="0"/>
              <w:jc w:val="center"/>
              <w:textAlignment w:val="center"/>
              <w:rPr>
                <w:rFonts w:ascii="宋体" w:hAnsi="宋体" w:cs="宋体"/>
                <w:sz w:val="21"/>
                <w:szCs w:val="21"/>
              </w:rPr>
            </w:pPr>
            <w:r>
              <w:rPr>
                <w:rFonts w:ascii="宋体" w:hAnsi="宋体" w:cs="宋体" w:hint="eastAsia"/>
                <w:kern w:val="0"/>
                <w:sz w:val="21"/>
                <w:szCs w:val="21"/>
                <w:lang w:bidi="ar"/>
              </w:rPr>
              <w:t>A13</w:t>
            </w:r>
          </w:p>
        </w:tc>
        <w:tc>
          <w:tcPr>
            <w:tcW w:w="3121" w:type="dxa"/>
            <w:tcBorders>
              <w:top w:val="nil"/>
              <w:left w:val="nil"/>
              <w:bottom w:val="nil"/>
              <w:right w:val="nil"/>
            </w:tcBorders>
            <w:noWrap/>
            <w:vAlign w:val="center"/>
          </w:tcPr>
          <w:p w14:paraId="4CFE5C39" w14:textId="77777777" w:rsidR="00000000" w:rsidRDefault="00000000">
            <w:pPr>
              <w:widowControl/>
              <w:snapToGrid w:val="0"/>
              <w:spacing w:line="360" w:lineRule="auto"/>
              <w:ind w:firstLine="0"/>
              <w:jc w:val="center"/>
              <w:textAlignment w:val="center"/>
              <w:rPr>
                <w:rFonts w:ascii="宋体" w:hAnsi="宋体" w:cs="宋体"/>
                <w:sz w:val="21"/>
                <w:szCs w:val="21"/>
              </w:rPr>
            </w:pPr>
            <w:r>
              <w:rPr>
                <w:rFonts w:ascii="宋体" w:hAnsi="宋体" w:cs="宋体" w:hint="eastAsia"/>
                <w:kern w:val="0"/>
                <w:sz w:val="21"/>
                <w:szCs w:val="21"/>
                <w:lang w:bidi="ar"/>
              </w:rPr>
              <w:t>0.8141</w:t>
            </w:r>
          </w:p>
        </w:tc>
        <w:tc>
          <w:tcPr>
            <w:tcW w:w="3121" w:type="dxa"/>
            <w:tcBorders>
              <w:top w:val="nil"/>
              <w:left w:val="nil"/>
              <w:bottom w:val="nil"/>
              <w:right w:val="nil"/>
            </w:tcBorders>
            <w:noWrap/>
            <w:vAlign w:val="center"/>
          </w:tcPr>
          <w:p w14:paraId="5524DD6F" w14:textId="77777777" w:rsidR="00000000" w:rsidRDefault="00000000">
            <w:pPr>
              <w:widowControl/>
              <w:snapToGrid w:val="0"/>
              <w:spacing w:line="360" w:lineRule="auto"/>
              <w:ind w:firstLine="0"/>
              <w:jc w:val="center"/>
              <w:textAlignment w:val="center"/>
              <w:rPr>
                <w:rFonts w:ascii="宋体" w:hAnsi="宋体" w:cs="宋体"/>
                <w:sz w:val="21"/>
                <w:szCs w:val="21"/>
              </w:rPr>
            </w:pPr>
            <w:r>
              <w:rPr>
                <w:rFonts w:ascii="宋体" w:hAnsi="宋体" w:cs="宋体" w:hint="eastAsia"/>
                <w:kern w:val="0"/>
                <w:sz w:val="21"/>
                <w:szCs w:val="21"/>
                <w:lang w:bidi="ar"/>
              </w:rPr>
              <w:t>0.4707</w:t>
            </w:r>
          </w:p>
        </w:tc>
      </w:tr>
      <w:tr w:rsidR="00000000" w14:paraId="2CE742F8" w14:textId="77777777">
        <w:trPr>
          <w:jc w:val="center"/>
        </w:trPr>
        <w:tc>
          <w:tcPr>
            <w:tcW w:w="2397" w:type="dxa"/>
            <w:tcBorders>
              <w:top w:val="nil"/>
              <w:left w:val="nil"/>
              <w:bottom w:val="single" w:sz="12" w:space="0" w:color="000000"/>
              <w:right w:val="nil"/>
            </w:tcBorders>
            <w:noWrap/>
            <w:vAlign w:val="center"/>
          </w:tcPr>
          <w:p w14:paraId="4976CBFD" w14:textId="77777777" w:rsidR="00000000" w:rsidRDefault="00000000">
            <w:pPr>
              <w:widowControl/>
              <w:snapToGrid w:val="0"/>
              <w:spacing w:line="360" w:lineRule="auto"/>
              <w:ind w:firstLine="0"/>
              <w:jc w:val="center"/>
              <w:textAlignment w:val="center"/>
              <w:rPr>
                <w:rFonts w:ascii="宋体" w:hAnsi="宋体" w:cs="宋体"/>
                <w:sz w:val="21"/>
                <w:szCs w:val="21"/>
              </w:rPr>
            </w:pPr>
            <w:r>
              <w:rPr>
                <w:rFonts w:ascii="宋体" w:hAnsi="宋体" w:cs="宋体" w:hint="eastAsia"/>
                <w:kern w:val="0"/>
                <w:sz w:val="21"/>
                <w:szCs w:val="21"/>
                <w:lang w:bidi="ar"/>
              </w:rPr>
              <w:t>A14</w:t>
            </w:r>
          </w:p>
        </w:tc>
        <w:tc>
          <w:tcPr>
            <w:tcW w:w="3121" w:type="dxa"/>
            <w:tcBorders>
              <w:top w:val="nil"/>
              <w:left w:val="nil"/>
              <w:bottom w:val="single" w:sz="12" w:space="0" w:color="000000"/>
              <w:right w:val="nil"/>
            </w:tcBorders>
            <w:noWrap/>
            <w:vAlign w:val="center"/>
          </w:tcPr>
          <w:p w14:paraId="6D7C9136" w14:textId="77777777" w:rsidR="00000000" w:rsidRDefault="00000000">
            <w:pPr>
              <w:widowControl/>
              <w:snapToGrid w:val="0"/>
              <w:spacing w:line="360" w:lineRule="auto"/>
              <w:ind w:firstLine="0"/>
              <w:jc w:val="center"/>
              <w:textAlignment w:val="center"/>
              <w:rPr>
                <w:rFonts w:ascii="宋体" w:hAnsi="宋体" w:cs="宋体"/>
                <w:sz w:val="21"/>
                <w:szCs w:val="21"/>
              </w:rPr>
            </w:pPr>
            <w:r>
              <w:rPr>
                <w:rFonts w:ascii="宋体" w:hAnsi="宋体" w:cs="宋体" w:hint="eastAsia"/>
                <w:kern w:val="0"/>
                <w:sz w:val="21"/>
                <w:szCs w:val="21"/>
                <w:lang w:bidi="ar"/>
              </w:rPr>
              <w:t>0.8049</w:t>
            </w:r>
          </w:p>
        </w:tc>
        <w:tc>
          <w:tcPr>
            <w:tcW w:w="3121" w:type="dxa"/>
            <w:tcBorders>
              <w:top w:val="nil"/>
              <w:left w:val="nil"/>
              <w:bottom w:val="single" w:sz="12" w:space="0" w:color="000000"/>
              <w:right w:val="nil"/>
            </w:tcBorders>
            <w:noWrap/>
            <w:vAlign w:val="center"/>
          </w:tcPr>
          <w:p w14:paraId="5EDBAF77" w14:textId="77777777" w:rsidR="00000000" w:rsidRDefault="00000000">
            <w:pPr>
              <w:widowControl/>
              <w:snapToGrid w:val="0"/>
              <w:spacing w:line="360" w:lineRule="auto"/>
              <w:ind w:firstLine="0"/>
              <w:jc w:val="center"/>
              <w:textAlignment w:val="center"/>
              <w:rPr>
                <w:rFonts w:ascii="宋体" w:hAnsi="宋体" w:cs="宋体"/>
                <w:sz w:val="21"/>
                <w:szCs w:val="21"/>
              </w:rPr>
            </w:pPr>
            <w:r>
              <w:rPr>
                <w:rFonts w:ascii="宋体" w:hAnsi="宋体" w:cs="宋体" w:hint="eastAsia"/>
                <w:kern w:val="0"/>
                <w:sz w:val="21"/>
                <w:szCs w:val="21"/>
                <w:lang w:bidi="ar"/>
              </w:rPr>
              <w:t>0.4940</w:t>
            </w:r>
          </w:p>
        </w:tc>
      </w:tr>
    </w:tbl>
    <w:p w14:paraId="3F00FCA9" w14:textId="77777777" w:rsidR="00000000" w:rsidRDefault="00000000">
      <w:pPr>
        <w:pStyle w:val="afd"/>
        <w:ind w:firstLine="486"/>
        <w:rPr>
          <w:rFonts w:cs="宋体" w:hint="eastAsia"/>
          <w:color w:val="auto"/>
        </w:rPr>
      </w:pPr>
      <w:r>
        <w:rPr>
          <w:rFonts w:cs="宋体" w:hint="eastAsia"/>
          <w:color w:val="auto"/>
        </w:rPr>
        <w:t>步骤四：构建偿债能力加权规范矩阵，计算正负理想解。根据步骤二构建的标准化矩阵和步骤三计算的权数，计算M公司筹资风险各二级指标的正负理想解。如5-6所示。</w:t>
      </w:r>
    </w:p>
    <w:p w14:paraId="23E9ADB2" w14:textId="77777777" w:rsidR="00000000" w:rsidRDefault="00000000">
      <w:pPr>
        <w:autoSpaceDE w:val="0"/>
        <w:autoSpaceDN w:val="0"/>
        <w:adjustRightInd w:val="0"/>
        <w:spacing w:beforeLines="50" w:before="207" w:afterLines="50" w:after="207" w:line="400" w:lineRule="exact"/>
        <w:ind w:firstLine="0"/>
        <w:jc w:val="center"/>
        <w:rPr>
          <w:rFonts w:ascii="宋体" w:hAnsi="宋体" w:cs="宋体"/>
          <w:sz w:val="21"/>
          <w:szCs w:val="21"/>
        </w:rPr>
      </w:pPr>
      <w:r>
        <w:rPr>
          <w:rFonts w:ascii="宋体" w:hAnsi="宋体" w:cs="宋体" w:hint="eastAsia"/>
          <w:sz w:val="21"/>
          <w:szCs w:val="21"/>
        </w:rPr>
        <w:t>表5-6 M公司2020-2024年筹资风险二级指标正负理想解</w:t>
      </w:r>
    </w:p>
    <w:tbl>
      <w:tblPr>
        <w:tblW w:w="8639" w:type="dxa"/>
        <w:jc w:val="center"/>
        <w:tblInd w:w="0" w:type="dxa"/>
        <w:tblCellMar>
          <w:top w:w="80" w:type="dxa"/>
          <w:left w:w="128" w:type="dxa"/>
          <w:bottom w:w="80" w:type="dxa"/>
          <w:right w:w="128" w:type="dxa"/>
        </w:tblCellMar>
        <w:tblLook w:val="0000" w:firstRow="0" w:lastRow="0" w:firstColumn="0" w:lastColumn="0" w:noHBand="0" w:noVBand="0"/>
      </w:tblPr>
      <w:tblGrid>
        <w:gridCol w:w="1956"/>
        <w:gridCol w:w="3242"/>
        <w:gridCol w:w="3441"/>
      </w:tblGrid>
      <w:tr w:rsidR="00000000" w14:paraId="646A1DDB" w14:textId="77777777">
        <w:trPr>
          <w:jc w:val="center"/>
        </w:trPr>
        <w:tc>
          <w:tcPr>
            <w:tcW w:w="1956" w:type="dxa"/>
            <w:tcBorders>
              <w:top w:val="single" w:sz="12" w:space="0" w:color="000000"/>
              <w:left w:val="nil"/>
              <w:bottom w:val="single" w:sz="4" w:space="0" w:color="000000"/>
              <w:right w:val="nil"/>
            </w:tcBorders>
            <w:noWrap/>
            <w:vAlign w:val="center"/>
          </w:tcPr>
          <w:p w14:paraId="56B95862" w14:textId="77777777" w:rsidR="00000000" w:rsidRDefault="00000000">
            <w:pPr>
              <w:widowControl/>
              <w:snapToGrid w:val="0"/>
              <w:spacing w:line="360" w:lineRule="auto"/>
              <w:ind w:firstLine="0"/>
              <w:jc w:val="center"/>
              <w:textAlignment w:val="center"/>
              <w:rPr>
                <w:rFonts w:ascii="宋体" w:hAnsi="宋体" w:cs="宋体"/>
                <w:b/>
                <w:bCs/>
                <w:sz w:val="21"/>
                <w:szCs w:val="21"/>
              </w:rPr>
            </w:pPr>
            <w:r>
              <w:rPr>
                <w:rFonts w:ascii="宋体" w:hAnsi="宋体" w:cs="宋体" w:hint="eastAsia"/>
                <w:b/>
                <w:bCs/>
                <w:kern w:val="0"/>
                <w:sz w:val="21"/>
                <w:szCs w:val="21"/>
                <w:lang w:bidi="ar"/>
              </w:rPr>
              <w:t>项</w:t>
            </w:r>
          </w:p>
        </w:tc>
        <w:tc>
          <w:tcPr>
            <w:tcW w:w="3242" w:type="dxa"/>
            <w:tcBorders>
              <w:top w:val="single" w:sz="12" w:space="0" w:color="000000"/>
              <w:left w:val="nil"/>
              <w:bottom w:val="single" w:sz="4" w:space="0" w:color="000000"/>
              <w:right w:val="nil"/>
            </w:tcBorders>
            <w:noWrap/>
            <w:vAlign w:val="center"/>
          </w:tcPr>
          <w:p w14:paraId="1F8095D3" w14:textId="77777777" w:rsidR="00000000" w:rsidRDefault="00000000">
            <w:pPr>
              <w:widowControl/>
              <w:snapToGrid w:val="0"/>
              <w:spacing w:line="360" w:lineRule="auto"/>
              <w:ind w:firstLine="0"/>
              <w:jc w:val="center"/>
              <w:textAlignment w:val="center"/>
              <w:rPr>
                <w:rFonts w:ascii="宋体" w:hAnsi="宋体" w:cs="宋体"/>
                <w:b/>
                <w:bCs/>
                <w:sz w:val="21"/>
                <w:szCs w:val="21"/>
              </w:rPr>
            </w:pPr>
            <w:r>
              <w:rPr>
                <w:rFonts w:ascii="宋体" w:hAnsi="宋体" w:cs="宋体" w:hint="eastAsia"/>
                <w:b/>
                <w:bCs/>
                <w:kern w:val="0"/>
                <w:sz w:val="21"/>
                <w:szCs w:val="21"/>
                <w:lang w:bidi="ar"/>
              </w:rPr>
              <w:t>正理想解A</w:t>
            </w:r>
          </w:p>
        </w:tc>
        <w:tc>
          <w:tcPr>
            <w:tcW w:w="3441" w:type="dxa"/>
            <w:tcBorders>
              <w:top w:val="single" w:sz="12" w:space="0" w:color="000000"/>
              <w:left w:val="nil"/>
              <w:bottom w:val="single" w:sz="4" w:space="0" w:color="000000"/>
              <w:right w:val="nil"/>
            </w:tcBorders>
            <w:noWrap/>
            <w:vAlign w:val="center"/>
          </w:tcPr>
          <w:p w14:paraId="23007A8C" w14:textId="77777777" w:rsidR="00000000" w:rsidRDefault="00000000">
            <w:pPr>
              <w:widowControl/>
              <w:snapToGrid w:val="0"/>
              <w:spacing w:line="360" w:lineRule="auto"/>
              <w:ind w:firstLine="0"/>
              <w:jc w:val="center"/>
              <w:textAlignment w:val="center"/>
              <w:rPr>
                <w:rFonts w:ascii="宋体" w:hAnsi="宋体" w:cs="宋体"/>
                <w:b/>
                <w:bCs/>
                <w:sz w:val="21"/>
                <w:szCs w:val="21"/>
              </w:rPr>
            </w:pPr>
            <w:r>
              <w:rPr>
                <w:rFonts w:ascii="宋体" w:hAnsi="宋体" w:cs="宋体" w:hint="eastAsia"/>
                <w:b/>
                <w:bCs/>
                <w:kern w:val="0"/>
                <w:sz w:val="21"/>
                <w:szCs w:val="21"/>
                <w:lang w:bidi="ar"/>
              </w:rPr>
              <w:t>负理想解A-</w:t>
            </w:r>
          </w:p>
        </w:tc>
      </w:tr>
      <w:tr w:rsidR="00000000" w14:paraId="3A4CA64B" w14:textId="77777777">
        <w:trPr>
          <w:jc w:val="center"/>
        </w:trPr>
        <w:tc>
          <w:tcPr>
            <w:tcW w:w="1956" w:type="dxa"/>
            <w:tcBorders>
              <w:top w:val="single" w:sz="4" w:space="0" w:color="000000"/>
              <w:left w:val="nil"/>
              <w:bottom w:val="nil"/>
              <w:right w:val="nil"/>
            </w:tcBorders>
            <w:noWrap/>
            <w:vAlign w:val="center"/>
          </w:tcPr>
          <w:p w14:paraId="560841F5" w14:textId="77777777" w:rsidR="00000000" w:rsidRDefault="00000000">
            <w:pPr>
              <w:widowControl/>
              <w:snapToGrid w:val="0"/>
              <w:spacing w:line="360" w:lineRule="auto"/>
              <w:ind w:firstLine="0"/>
              <w:jc w:val="center"/>
              <w:textAlignment w:val="center"/>
              <w:rPr>
                <w:rFonts w:ascii="宋体" w:hAnsi="宋体" w:cs="宋体"/>
                <w:sz w:val="21"/>
                <w:szCs w:val="21"/>
              </w:rPr>
            </w:pPr>
            <w:r>
              <w:rPr>
                <w:rFonts w:ascii="宋体" w:hAnsi="宋体" w:cs="宋体" w:hint="eastAsia"/>
                <w:kern w:val="0"/>
                <w:sz w:val="21"/>
                <w:szCs w:val="21"/>
                <w:lang w:bidi="ar"/>
              </w:rPr>
              <w:t>A11</w:t>
            </w:r>
          </w:p>
        </w:tc>
        <w:tc>
          <w:tcPr>
            <w:tcW w:w="3242" w:type="dxa"/>
            <w:tcBorders>
              <w:top w:val="single" w:sz="4" w:space="0" w:color="000000"/>
              <w:left w:val="nil"/>
              <w:bottom w:val="nil"/>
              <w:right w:val="nil"/>
            </w:tcBorders>
            <w:noWrap/>
            <w:vAlign w:val="center"/>
          </w:tcPr>
          <w:p w14:paraId="15D74752" w14:textId="77777777" w:rsidR="00000000" w:rsidRDefault="00000000">
            <w:pPr>
              <w:widowControl/>
              <w:snapToGrid w:val="0"/>
              <w:spacing w:line="360" w:lineRule="auto"/>
              <w:ind w:firstLine="0"/>
              <w:jc w:val="center"/>
              <w:textAlignment w:val="center"/>
              <w:rPr>
                <w:rFonts w:ascii="宋体" w:hAnsi="宋体" w:cs="宋体"/>
                <w:sz w:val="21"/>
                <w:szCs w:val="21"/>
              </w:rPr>
            </w:pPr>
            <w:r>
              <w:rPr>
                <w:rFonts w:ascii="宋体" w:hAnsi="宋体" w:cs="宋体" w:hint="eastAsia"/>
                <w:kern w:val="0"/>
                <w:sz w:val="21"/>
                <w:szCs w:val="21"/>
                <w:lang w:bidi="ar"/>
              </w:rPr>
              <w:t>0.023</w:t>
            </w:r>
          </w:p>
        </w:tc>
        <w:tc>
          <w:tcPr>
            <w:tcW w:w="3441" w:type="dxa"/>
            <w:tcBorders>
              <w:top w:val="single" w:sz="4" w:space="0" w:color="000000"/>
              <w:left w:val="nil"/>
              <w:bottom w:val="nil"/>
              <w:right w:val="nil"/>
            </w:tcBorders>
            <w:noWrap/>
            <w:vAlign w:val="center"/>
          </w:tcPr>
          <w:p w14:paraId="7ED7DD2B" w14:textId="77777777" w:rsidR="00000000" w:rsidRDefault="00000000">
            <w:pPr>
              <w:widowControl/>
              <w:snapToGrid w:val="0"/>
              <w:spacing w:line="360" w:lineRule="auto"/>
              <w:ind w:firstLine="0"/>
              <w:jc w:val="center"/>
              <w:textAlignment w:val="center"/>
              <w:rPr>
                <w:rFonts w:ascii="宋体" w:hAnsi="宋体" w:cs="宋体"/>
                <w:sz w:val="21"/>
                <w:szCs w:val="21"/>
              </w:rPr>
            </w:pPr>
            <w:r>
              <w:rPr>
                <w:rFonts w:ascii="宋体" w:hAnsi="宋体" w:cs="宋体" w:hint="eastAsia"/>
                <w:kern w:val="0"/>
                <w:sz w:val="21"/>
                <w:szCs w:val="21"/>
                <w:lang w:bidi="ar"/>
              </w:rPr>
              <w:t>0.015</w:t>
            </w:r>
          </w:p>
        </w:tc>
      </w:tr>
      <w:tr w:rsidR="00000000" w14:paraId="0F298710" w14:textId="77777777">
        <w:trPr>
          <w:jc w:val="center"/>
        </w:trPr>
        <w:tc>
          <w:tcPr>
            <w:tcW w:w="1956" w:type="dxa"/>
            <w:tcBorders>
              <w:top w:val="nil"/>
              <w:left w:val="nil"/>
              <w:bottom w:val="nil"/>
              <w:right w:val="nil"/>
            </w:tcBorders>
            <w:noWrap/>
            <w:vAlign w:val="center"/>
          </w:tcPr>
          <w:p w14:paraId="299465D6" w14:textId="77777777" w:rsidR="00000000" w:rsidRDefault="00000000">
            <w:pPr>
              <w:widowControl/>
              <w:snapToGrid w:val="0"/>
              <w:spacing w:line="360" w:lineRule="auto"/>
              <w:ind w:firstLine="0"/>
              <w:jc w:val="center"/>
              <w:textAlignment w:val="center"/>
              <w:rPr>
                <w:rFonts w:ascii="宋体" w:hAnsi="宋体" w:cs="宋体"/>
                <w:sz w:val="21"/>
                <w:szCs w:val="21"/>
              </w:rPr>
            </w:pPr>
            <w:r>
              <w:rPr>
                <w:rFonts w:ascii="宋体" w:hAnsi="宋体" w:cs="宋体" w:hint="eastAsia"/>
                <w:kern w:val="0"/>
                <w:sz w:val="21"/>
                <w:szCs w:val="21"/>
                <w:lang w:bidi="ar"/>
              </w:rPr>
              <w:t>A12</w:t>
            </w:r>
          </w:p>
        </w:tc>
        <w:tc>
          <w:tcPr>
            <w:tcW w:w="3242" w:type="dxa"/>
            <w:tcBorders>
              <w:top w:val="nil"/>
              <w:left w:val="nil"/>
              <w:bottom w:val="nil"/>
              <w:right w:val="nil"/>
            </w:tcBorders>
            <w:noWrap/>
            <w:vAlign w:val="center"/>
          </w:tcPr>
          <w:p w14:paraId="3D138D5F" w14:textId="77777777" w:rsidR="00000000" w:rsidRDefault="00000000">
            <w:pPr>
              <w:widowControl/>
              <w:snapToGrid w:val="0"/>
              <w:spacing w:line="360" w:lineRule="auto"/>
              <w:ind w:firstLine="0"/>
              <w:jc w:val="center"/>
              <w:textAlignment w:val="center"/>
              <w:rPr>
                <w:rFonts w:ascii="宋体" w:hAnsi="宋体" w:cs="宋体"/>
                <w:sz w:val="21"/>
                <w:szCs w:val="21"/>
              </w:rPr>
            </w:pPr>
            <w:r>
              <w:rPr>
                <w:rFonts w:ascii="宋体" w:hAnsi="宋体" w:cs="宋体" w:hint="eastAsia"/>
                <w:kern w:val="0"/>
                <w:sz w:val="21"/>
                <w:szCs w:val="21"/>
                <w:lang w:bidi="ar"/>
              </w:rPr>
              <w:t>0.028</w:t>
            </w:r>
          </w:p>
        </w:tc>
        <w:tc>
          <w:tcPr>
            <w:tcW w:w="3441" w:type="dxa"/>
            <w:tcBorders>
              <w:top w:val="nil"/>
              <w:left w:val="nil"/>
              <w:bottom w:val="nil"/>
              <w:right w:val="nil"/>
            </w:tcBorders>
            <w:noWrap/>
            <w:vAlign w:val="center"/>
          </w:tcPr>
          <w:p w14:paraId="32234C0E" w14:textId="77777777" w:rsidR="00000000" w:rsidRDefault="00000000">
            <w:pPr>
              <w:widowControl/>
              <w:snapToGrid w:val="0"/>
              <w:spacing w:line="360" w:lineRule="auto"/>
              <w:ind w:firstLine="0"/>
              <w:jc w:val="center"/>
              <w:textAlignment w:val="center"/>
              <w:rPr>
                <w:rFonts w:ascii="宋体" w:hAnsi="宋体" w:cs="宋体"/>
                <w:sz w:val="21"/>
                <w:szCs w:val="21"/>
              </w:rPr>
            </w:pPr>
            <w:r>
              <w:rPr>
                <w:rFonts w:ascii="宋体" w:hAnsi="宋体" w:cs="宋体" w:hint="eastAsia"/>
                <w:kern w:val="0"/>
                <w:sz w:val="21"/>
                <w:szCs w:val="21"/>
                <w:lang w:bidi="ar"/>
              </w:rPr>
              <w:t>0.017</w:t>
            </w:r>
          </w:p>
        </w:tc>
      </w:tr>
      <w:tr w:rsidR="00000000" w14:paraId="0DEB0385" w14:textId="77777777">
        <w:trPr>
          <w:jc w:val="center"/>
        </w:trPr>
        <w:tc>
          <w:tcPr>
            <w:tcW w:w="1956" w:type="dxa"/>
            <w:tcBorders>
              <w:top w:val="nil"/>
              <w:left w:val="nil"/>
              <w:bottom w:val="nil"/>
              <w:right w:val="nil"/>
            </w:tcBorders>
            <w:noWrap/>
            <w:vAlign w:val="center"/>
          </w:tcPr>
          <w:p w14:paraId="472F1959" w14:textId="77777777" w:rsidR="00000000" w:rsidRDefault="00000000">
            <w:pPr>
              <w:widowControl/>
              <w:snapToGrid w:val="0"/>
              <w:spacing w:line="360" w:lineRule="auto"/>
              <w:ind w:firstLine="0"/>
              <w:jc w:val="center"/>
              <w:textAlignment w:val="center"/>
              <w:rPr>
                <w:rFonts w:ascii="宋体" w:hAnsi="宋体" w:cs="宋体"/>
                <w:sz w:val="21"/>
                <w:szCs w:val="21"/>
              </w:rPr>
            </w:pPr>
            <w:r>
              <w:rPr>
                <w:rFonts w:ascii="宋体" w:hAnsi="宋体" w:cs="宋体" w:hint="eastAsia"/>
                <w:kern w:val="0"/>
                <w:sz w:val="21"/>
                <w:szCs w:val="21"/>
                <w:lang w:bidi="ar"/>
              </w:rPr>
              <w:t>A13</w:t>
            </w:r>
          </w:p>
        </w:tc>
        <w:tc>
          <w:tcPr>
            <w:tcW w:w="3242" w:type="dxa"/>
            <w:tcBorders>
              <w:top w:val="nil"/>
              <w:left w:val="nil"/>
              <w:bottom w:val="nil"/>
              <w:right w:val="nil"/>
            </w:tcBorders>
            <w:noWrap/>
            <w:vAlign w:val="center"/>
          </w:tcPr>
          <w:p w14:paraId="74EC4F6F" w14:textId="77777777" w:rsidR="00000000" w:rsidRDefault="00000000">
            <w:pPr>
              <w:widowControl/>
              <w:snapToGrid w:val="0"/>
              <w:spacing w:line="360" w:lineRule="auto"/>
              <w:ind w:firstLine="0"/>
              <w:jc w:val="center"/>
              <w:textAlignment w:val="center"/>
              <w:rPr>
                <w:rFonts w:ascii="宋体" w:hAnsi="宋体" w:cs="宋体"/>
                <w:sz w:val="21"/>
                <w:szCs w:val="21"/>
              </w:rPr>
            </w:pPr>
            <w:r>
              <w:rPr>
                <w:rFonts w:ascii="宋体" w:hAnsi="宋体" w:cs="宋体" w:hint="eastAsia"/>
                <w:kern w:val="0"/>
                <w:sz w:val="21"/>
                <w:szCs w:val="21"/>
                <w:lang w:bidi="ar"/>
              </w:rPr>
              <w:t>0.475</w:t>
            </w:r>
          </w:p>
        </w:tc>
        <w:tc>
          <w:tcPr>
            <w:tcW w:w="3441" w:type="dxa"/>
            <w:tcBorders>
              <w:top w:val="nil"/>
              <w:left w:val="nil"/>
              <w:bottom w:val="nil"/>
              <w:right w:val="nil"/>
            </w:tcBorders>
            <w:noWrap/>
            <w:vAlign w:val="center"/>
          </w:tcPr>
          <w:p w14:paraId="28B048F1" w14:textId="77777777" w:rsidR="00000000" w:rsidRDefault="00000000">
            <w:pPr>
              <w:widowControl/>
              <w:snapToGrid w:val="0"/>
              <w:spacing w:line="360" w:lineRule="auto"/>
              <w:ind w:firstLine="0"/>
              <w:jc w:val="center"/>
              <w:textAlignment w:val="center"/>
              <w:rPr>
                <w:rFonts w:ascii="宋体" w:hAnsi="宋体" w:cs="宋体"/>
                <w:sz w:val="21"/>
                <w:szCs w:val="21"/>
              </w:rPr>
            </w:pPr>
            <w:r>
              <w:rPr>
                <w:rFonts w:ascii="宋体" w:hAnsi="宋体" w:cs="宋体" w:hint="eastAsia"/>
                <w:kern w:val="0"/>
                <w:sz w:val="21"/>
                <w:szCs w:val="21"/>
                <w:lang w:bidi="ar"/>
              </w:rPr>
              <w:t>0.005</w:t>
            </w:r>
          </w:p>
        </w:tc>
      </w:tr>
      <w:tr w:rsidR="00000000" w14:paraId="73B13612" w14:textId="77777777">
        <w:trPr>
          <w:jc w:val="center"/>
        </w:trPr>
        <w:tc>
          <w:tcPr>
            <w:tcW w:w="1956" w:type="dxa"/>
            <w:tcBorders>
              <w:top w:val="nil"/>
              <w:left w:val="nil"/>
              <w:bottom w:val="single" w:sz="12" w:space="0" w:color="000000"/>
              <w:right w:val="nil"/>
            </w:tcBorders>
            <w:noWrap/>
            <w:vAlign w:val="center"/>
          </w:tcPr>
          <w:p w14:paraId="0BF2C11D" w14:textId="77777777" w:rsidR="00000000" w:rsidRDefault="00000000">
            <w:pPr>
              <w:widowControl/>
              <w:snapToGrid w:val="0"/>
              <w:spacing w:line="360" w:lineRule="auto"/>
              <w:ind w:firstLine="0"/>
              <w:jc w:val="center"/>
              <w:textAlignment w:val="center"/>
              <w:rPr>
                <w:rFonts w:ascii="宋体" w:hAnsi="宋体" w:cs="宋体"/>
                <w:sz w:val="21"/>
                <w:szCs w:val="21"/>
              </w:rPr>
            </w:pPr>
            <w:r>
              <w:rPr>
                <w:rFonts w:ascii="宋体" w:hAnsi="宋体" w:cs="宋体" w:hint="eastAsia"/>
                <w:kern w:val="0"/>
                <w:sz w:val="21"/>
                <w:szCs w:val="21"/>
                <w:lang w:bidi="ar"/>
              </w:rPr>
              <w:t>A14</w:t>
            </w:r>
          </w:p>
        </w:tc>
        <w:tc>
          <w:tcPr>
            <w:tcW w:w="3242" w:type="dxa"/>
            <w:tcBorders>
              <w:top w:val="nil"/>
              <w:left w:val="nil"/>
              <w:bottom w:val="single" w:sz="12" w:space="0" w:color="000000"/>
              <w:right w:val="nil"/>
            </w:tcBorders>
            <w:noWrap/>
            <w:vAlign w:val="center"/>
          </w:tcPr>
          <w:p w14:paraId="7AE7270F" w14:textId="77777777" w:rsidR="00000000" w:rsidRDefault="00000000">
            <w:pPr>
              <w:widowControl/>
              <w:snapToGrid w:val="0"/>
              <w:spacing w:line="360" w:lineRule="auto"/>
              <w:ind w:firstLine="0"/>
              <w:jc w:val="center"/>
              <w:textAlignment w:val="center"/>
              <w:rPr>
                <w:rFonts w:ascii="宋体" w:hAnsi="宋体" w:cs="宋体"/>
                <w:sz w:val="21"/>
                <w:szCs w:val="21"/>
              </w:rPr>
            </w:pPr>
            <w:r>
              <w:rPr>
                <w:rFonts w:ascii="宋体" w:hAnsi="宋体" w:cs="宋体" w:hint="eastAsia"/>
                <w:kern w:val="0"/>
                <w:sz w:val="21"/>
                <w:szCs w:val="21"/>
                <w:lang w:bidi="ar"/>
              </w:rPr>
              <w:t>0.499</w:t>
            </w:r>
          </w:p>
        </w:tc>
        <w:tc>
          <w:tcPr>
            <w:tcW w:w="3441" w:type="dxa"/>
            <w:tcBorders>
              <w:top w:val="nil"/>
              <w:left w:val="nil"/>
              <w:bottom w:val="single" w:sz="12" w:space="0" w:color="000000"/>
              <w:right w:val="nil"/>
            </w:tcBorders>
            <w:noWrap/>
            <w:vAlign w:val="center"/>
          </w:tcPr>
          <w:p w14:paraId="10D26D21" w14:textId="77777777" w:rsidR="00000000" w:rsidRDefault="00000000">
            <w:pPr>
              <w:widowControl/>
              <w:snapToGrid w:val="0"/>
              <w:spacing w:line="360" w:lineRule="auto"/>
              <w:ind w:firstLine="0"/>
              <w:jc w:val="center"/>
              <w:textAlignment w:val="center"/>
              <w:rPr>
                <w:rFonts w:ascii="宋体" w:hAnsi="宋体" w:cs="宋体"/>
                <w:sz w:val="21"/>
                <w:szCs w:val="21"/>
              </w:rPr>
            </w:pPr>
            <w:r>
              <w:rPr>
                <w:rFonts w:ascii="宋体" w:hAnsi="宋体" w:cs="宋体" w:hint="eastAsia"/>
                <w:kern w:val="0"/>
                <w:sz w:val="21"/>
                <w:szCs w:val="21"/>
                <w:lang w:bidi="ar"/>
              </w:rPr>
              <w:t>0.005</w:t>
            </w:r>
          </w:p>
        </w:tc>
      </w:tr>
    </w:tbl>
    <w:p w14:paraId="70743B62" w14:textId="77777777" w:rsidR="00000000" w:rsidRDefault="00000000">
      <w:pPr>
        <w:pStyle w:val="afd"/>
        <w:ind w:firstLine="486"/>
        <w:rPr>
          <w:rFonts w:cs="宋体" w:hint="eastAsia"/>
          <w:color w:val="auto"/>
        </w:rPr>
      </w:pPr>
      <w:r>
        <w:rPr>
          <w:rFonts w:cs="宋体" w:hint="eastAsia"/>
          <w:color w:val="auto"/>
        </w:rPr>
        <w:t>步骤五：计算欧氏距离与相对贴近度。依据相关公式，分别计算筹资风险下各二级指标到正理想解与负理想解的距离，并进一步计算其相对贴近度。具体计算结果详见表5-7。</w:t>
      </w:r>
    </w:p>
    <w:p w14:paraId="36171FB4" w14:textId="77777777" w:rsidR="00000000" w:rsidRDefault="00000000">
      <w:pPr>
        <w:autoSpaceDE w:val="0"/>
        <w:autoSpaceDN w:val="0"/>
        <w:adjustRightInd w:val="0"/>
        <w:spacing w:beforeLines="50" w:before="207" w:afterLines="50" w:after="207" w:line="400" w:lineRule="exact"/>
        <w:ind w:firstLine="0"/>
        <w:jc w:val="center"/>
        <w:rPr>
          <w:rFonts w:ascii="宋体" w:hAnsi="宋体" w:cs="宋体"/>
          <w:sz w:val="21"/>
          <w:szCs w:val="21"/>
        </w:rPr>
      </w:pPr>
      <w:r>
        <w:rPr>
          <w:rFonts w:ascii="宋体" w:hAnsi="宋体" w:cs="宋体" w:hint="eastAsia"/>
          <w:sz w:val="21"/>
          <w:szCs w:val="21"/>
        </w:rPr>
        <w:lastRenderedPageBreak/>
        <w:t>表5-7 M公司2020-2024年筹资风险二级指标至理想解的距离及相对贴进度</w:t>
      </w:r>
    </w:p>
    <w:tbl>
      <w:tblPr>
        <w:tblW w:w="8639" w:type="dxa"/>
        <w:jc w:val="center"/>
        <w:tblInd w:w="0" w:type="dxa"/>
        <w:tblBorders>
          <w:top w:val="single" w:sz="12" w:space="0" w:color="000000"/>
          <w:bottom w:val="single" w:sz="12" w:space="0" w:color="000000"/>
        </w:tblBorders>
        <w:tblCellMar>
          <w:top w:w="56" w:type="dxa"/>
          <w:left w:w="96" w:type="dxa"/>
          <w:bottom w:w="56" w:type="dxa"/>
          <w:right w:w="96" w:type="dxa"/>
        </w:tblCellMar>
        <w:tblLook w:val="0000" w:firstRow="0" w:lastRow="0" w:firstColumn="0" w:lastColumn="0" w:noHBand="0" w:noVBand="0"/>
      </w:tblPr>
      <w:tblGrid>
        <w:gridCol w:w="1629"/>
        <w:gridCol w:w="1964"/>
        <w:gridCol w:w="2094"/>
        <w:gridCol w:w="1704"/>
        <w:gridCol w:w="1248"/>
      </w:tblGrid>
      <w:tr w:rsidR="00000000" w14:paraId="7381AF32" w14:textId="77777777">
        <w:trPr>
          <w:jc w:val="center"/>
        </w:trPr>
        <w:tc>
          <w:tcPr>
            <w:tcW w:w="1629" w:type="dxa"/>
            <w:tcBorders>
              <w:bottom w:val="single" w:sz="6" w:space="0" w:color="000000"/>
            </w:tcBorders>
            <w:noWrap/>
            <w:vAlign w:val="center"/>
          </w:tcPr>
          <w:p w14:paraId="30281508" w14:textId="77777777" w:rsidR="00000000" w:rsidRDefault="00000000">
            <w:pPr>
              <w:keepNext/>
              <w:keepLines/>
              <w:widowControl/>
              <w:snapToGrid w:val="0"/>
              <w:spacing w:line="360" w:lineRule="auto"/>
              <w:ind w:firstLine="0"/>
              <w:jc w:val="center"/>
              <w:textAlignment w:val="center"/>
              <w:rPr>
                <w:rFonts w:ascii="宋体" w:hAnsi="宋体" w:cs="宋体"/>
                <w:b/>
                <w:bCs/>
                <w:sz w:val="21"/>
                <w:szCs w:val="21"/>
              </w:rPr>
            </w:pPr>
            <w:r>
              <w:rPr>
                <w:rFonts w:ascii="宋体" w:hAnsi="宋体" w:cs="宋体" w:hint="eastAsia"/>
                <w:b/>
                <w:bCs/>
                <w:kern w:val="0"/>
                <w:sz w:val="21"/>
                <w:szCs w:val="21"/>
                <w:lang w:bidi="ar"/>
              </w:rPr>
              <w:t>项</w:t>
            </w:r>
          </w:p>
        </w:tc>
        <w:tc>
          <w:tcPr>
            <w:tcW w:w="1964" w:type="dxa"/>
            <w:tcBorders>
              <w:bottom w:val="single" w:sz="6" w:space="0" w:color="000000"/>
            </w:tcBorders>
            <w:noWrap/>
            <w:vAlign w:val="center"/>
          </w:tcPr>
          <w:p w14:paraId="0CBBA92E" w14:textId="77777777" w:rsidR="00000000" w:rsidRDefault="00000000">
            <w:pPr>
              <w:keepNext/>
              <w:keepLines/>
              <w:widowControl/>
              <w:snapToGrid w:val="0"/>
              <w:spacing w:line="360" w:lineRule="auto"/>
              <w:ind w:firstLine="0"/>
              <w:jc w:val="center"/>
              <w:textAlignment w:val="center"/>
              <w:rPr>
                <w:rFonts w:ascii="宋体" w:hAnsi="宋体" w:cs="宋体"/>
                <w:b/>
                <w:bCs/>
                <w:sz w:val="21"/>
                <w:szCs w:val="21"/>
              </w:rPr>
            </w:pPr>
            <w:r>
              <w:rPr>
                <w:rFonts w:ascii="宋体" w:hAnsi="宋体" w:cs="宋体" w:hint="eastAsia"/>
                <w:b/>
                <w:bCs/>
                <w:kern w:val="0"/>
                <w:sz w:val="21"/>
                <w:szCs w:val="21"/>
                <w:lang w:bidi="ar"/>
              </w:rPr>
              <w:t>正理想解距离D</w:t>
            </w:r>
          </w:p>
        </w:tc>
        <w:tc>
          <w:tcPr>
            <w:tcW w:w="2094" w:type="dxa"/>
            <w:tcBorders>
              <w:bottom w:val="single" w:sz="6" w:space="0" w:color="000000"/>
            </w:tcBorders>
            <w:noWrap/>
            <w:vAlign w:val="center"/>
          </w:tcPr>
          <w:p w14:paraId="1655F1F3" w14:textId="77777777" w:rsidR="00000000" w:rsidRDefault="00000000">
            <w:pPr>
              <w:keepNext/>
              <w:keepLines/>
              <w:widowControl/>
              <w:snapToGrid w:val="0"/>
              <w:spacing w:line="360" w:lineRule="auto"/>
              <w:ind w:firstLine="0"/>
              <w:jc w:val="center"/>
              <w:textAlignment w:val="center"/>
              <w:rPr>
                <w:rFonts w:ascii="宋体" w:hAnsi="宋体" w:cs="宋体"/>
                <w:b/>
                <w:bCs/>
                <w:sz w:val="21"/>
                <w:szCs w:val="21"/>
              </w:rPr>
            </w:pPr>
            <w:r>
              <w:rPr>
                <w:rFonts w:ascii="宋体" w:hAnsi="宋体" w:cs="宋体" w:hint="eastAsia"/>
                <w:b/>
                <w:bCs/>
                <w:kern w:val="0"/>
                <w:sz w:val="21"/>
                <w:szCs w:val="21"/>
                <w:lang w:bidi="ar"/>
              </w:rPr>
              <w:t>负理想解距离D-</w:t>
            </w:r>
          </w:p>
        </w:tc>
        <w:tc>
          <w:tcPr>
            <w:tcW w:w="1704" w:type="dxa"/>
            <w:tcBorders>
              <w:bottom w:val="single" w:sz="6" w:space="0" w:color="000000"/>
            </w:tcBorders>
            <w:noWrap/>
            <w:vAlign w:val="center"/>
          </w:tcPr>
          <w:p w14:paraId="7A2FBF81" w14:textId="77777777" w:rsidR="00000000" w:rsidRDefault="00000000">
            <w:pPr>
              <w:keepNext/>
              <w:keepLines/>
              <w:widowControl/>
              <w:snapToGrid w:val="0"/>
              <w:spacing w:line="360" w:lineRule="auto"/>
              <w:ind w:firstLine="0"/>
              <w:jc w:val="center"/>
              <w:textAlignment w:val="center"/>
              <w:rPr>
                <w:rFonts w:ascii="宋体" w:hAnsi="宋体" w:cs="宋体"/>
                <w:b/>
                <w:bCs/>
                <w:sz w:val="21"/>
                <w:szCs w:val="21"/>
              </w:rPr>
            </w:pPr>
            <w:r>
              <w:rPr>
                <w:rFonts w:ascii="宋体" w:hAnsi="宋体" w:cs="宋体" w:hint="eastAsia"/>
                <w:b/>
                <w:bCs/>
                <w:kern w:val="0"/>
                <w:sz w:val="21"/>
                <w:szCs w:val="21"/>
                <w:lang w:bidi="ar"/>
              </w:rPr>
              <w:t>相对贴近度C</w:t>
            </w:r>
          </w:p>
        </w:tc>
        <w:tc>
          <w:tcPr>
            <w:tcW w:w="1248" w:type="dxa"/>
            <w:tcBorders>
              <w:bottom w:val="single" w:sz="6" w:space="0" w:color="000000"/>
            </w:tcBorders>
            <w:noWrap/>
            <w:vAlign w:val="center"/>
          </w:tcPr>
          <w:p w14:paraId="14D2BBF7" w14:textId="77777777" w:rsidR="00000000" w:rsidRDefault="00000000">
            <w:pPr>
              <w:keepNext/>
              <w:keepLines/>
              <w:widowControl/>
              <w:snapToGrid w:val="0"/>
              <w:spacing w:line="360" w:lineRule="auto"/>
              <w:ind w:firstLine="0"/>
              <w:jc w:val="center"/>
              <w:textAlignment w:val="center"/>
              <w:rPr>
                <w:rFonts w:ascii="宋体" w:hAnsi="宋体" w:cs="宋体"/>
                <w:b/>
                <w:bCs/>
                <w:sz w:val="21"/>
                <w:szCs w:val="21"/>
              </w:rPr>
            </w:pPr>
            <w:r>
              <w:rPr>
                <w:rFonts w:ascii="宋体" w:hAnsi="宋体" w:cs="宋体" w:hint="eastAsia"/>
                <w:b/>
                <w:bCs/>
                <w:kern w:val="0"/>
                <w:sz w:val="21"/>
                <w:szCs w:val="21"/>
                <w:lang w:bidi="ar"/>
              </w:rPr>
              <w:t>排序结果</w:t>
            </w:r>
          </w:p>
        </w:tc>
      </w:tr>
      <w:tr w:rsidR="00000000" w14:paraId="7B98E879" w14:textId="77777777">
        <w:trPr>
          <w:jc w:val="center"/>
        </w:trPr>
        <w:tc>
          <w:tcPr>
            <w:tcW w:w="1629" w:type="dxa"/>
            <w:tcBorders>
              <w:top w:val="single" w:sz="6" w:space="0" w:color="000000"/>
            </w:tcBorders>
            <w:noWrap/>
            <w:vAlign w:val="center"/>
          </w:tcPr>
          <w:p w14:paraId="512B0168" w14:textId="77777777" w:rsidR="00000000" w:rsidRDefault="00000000">
            <w:pPr>
              <w:keepNext/>
              <w:keepLines/>
              <w:widowControl/>
              <w:snapToGrid w:val="0"/>
              <w:spacing w:line="360" w:lineRule="auto"/>
              <w:ind w:firstLine="0"/>
              <w:jc w:val="center"/>
              <w:textAlignment w:val="center"/>
              <w:rPr>
                <w:rFonts w:ascii="宋体" w:hAnsi="宋体" w:cs="宋体"/>
                <w:sz w:val="21"/>
                <w:szCs w:val="21"/>
              </w:rPr>
            </w:pPr>
            <w:r>
              <w:rPr>
                <w:rFonts w:ascii="宋体" w:hAnsi="宋体" w:cs="宋体" w:hint="eastAsia"/>
                <w:sz w:val="21"/>
                <w:szCs w:val="21"/>
              </w:rPr>
              <w:t>2020年</w:t>
            </w:r>
          </w:p>
        </w:tc>
        <w:tc>
          <w:tcPr>
            <w:tcW w:w="1964" w:type="dxa"/>
            <w:tcBorders>
              <w:top w:val="single" w:sz="6" w:space="0" w:color="000000"/>
            </w:tcBorders>
            <w:noWrap/>
            <w:vAlign w:val="center"/>
          </w:tcPr>
          <w:p w14:paraId="79E1D083" w14:textId="77777777" w:rsidR="00000000" w:rsidRDefault="00000000">
            <w:pPr>
              <w:keepNext/>
              <w:keepLines/>
              <w:widowControl/>
              <w:snapToGrid w:val="0"/>
              <w:spacing w:line="360" w:lineRule="auto"/>
              <w:ind w:firstLine="0"/>
              <w:jc w:val="center"/>
              <w:textAlignment w:val="center"/>
              <w:rPr>
                <w:rFonts w:ascii="宋体" w:hAnsi="宋体" w:cs="宋体"/>
                <w:sz w:val="21"/>
                <w:szCs w:val="21"/>
              </w:rPr>
            </w:pPr>
            <w:r>
              <w:rPr>
                <w:rFonts w:ascii="宋体" w:hAnsi="宋体" w:cs="宋体" w:hint="eastAsia"/>
                <w:kern w:val="0"/>
                <w:sz w:val="21"/>
                <w:szCs w:val="21"/>
                <w:lang w:bidi="ar"/>
              </w:rPr>
              <w:t>0.006</w:t>
            </w:r>
          </w:p>
        </w:tc>
        <w:tc>
          <w:tcPr>
            <w:tcW w:w="2094" w:type="dxa"/>
            <w:tcBorders>
              <w:top w:val="single" w:sz="6" w:space="0" w:color="000000"/>
            </w:tcBorders>
            <w:noWrap/>
            <w:vAlign w:val="center"/>
          </w:tcPr>
          <w:p w14:paraId="67093AB5" w14:textId="77777777" w:rsidR="00000000" w:rsidRDefault="00000000">
            <w:pPr>
              <w:keepNext/>
              <w:keepLines/>
              <w:widowControl/>
              <w:snapToGrid w:val="0"/>
              <w:spacing w:line="360" w:lineRule="auto"/>
              <w:ind w:firstLine="0"/>
              <w:jc w:val="center"/>
              <w:textAlignment w:val="center"/>
              <w:rPr>
                <w:rFonts w:ascii="宋体" w:hAnsi="宋体" w:cs="宋体"/>
                <w:sz w:val="21"/>
                <w:szCs w:val="21"/>
              </w:rPr>
            </w:pPr>
            <w:r>
              <w:rPr>
                <w:rFonts w:ascii="宋体" w:hAnsi="宋体" w:cs="宋体" w:hint="eastAsia"/>
                <w:kern w:val="0"/>
                <w:sz w:val="21"/>
                <w:szCs w:val="21"/>
                <w:lang w:bidi="ar"/>
              </w:rPr>
              <w:t>0.682</w:t>
            </w:r>
          </w:p>
        </w:tc>
        <w:tc>
          <w:tcPr>
            <w:tcW w:w="1704" w:type="dxa"/>
            <w:tcBorders>
              <w:top w:val="single" w:sz="6" w:space="0" w:color="000000"/>
            </w:tcBorders>
            <w:noWrap/>
            <w:vAlign w:val="center"/>
          </w:tcPr>
          <w:p w14:paraId="681E1B2D" w14:textId="77777777" w:rsidR="00000000" w:rsidRDefault="00000000">
            <w:pPr>
              <w:keepNext/>
              <w:keepLines/>
              <w:widowControl/>
              <w:snapToGrid w:val="0"/>
              <w:spacing w:line="360" w:lineRule="auto"/>
              <w:ind w:firstLine="0"/>
              <w:jc w:val="center"/>
              <w:textAlignment w:val="center"/>
              <w:rPr>
                <w:rFonts w:ascii="宋体" w:hAnsi="宋体" w:cs="宋体"/>
                <w:sz w:val="21"/>
                <w:szCs w:val="21"/>
              </w:rPr>
            </w:pPr>
            <w:r>
              <w:rPr>
                <w:rFonts w:ascii="宋体" w:hAnsi="宋体" w:cs="宋体" w:hint="eastAsia"/>
                <w:kern w:val="0"/>
                <w:sz w:val="21"/>
                <w:szCs w:val="21"/>
                <w:lang w:bidi="ar"/>
              </w:rPr>
              <w:t>0.992</w:t>
            </w:r>
          </w:p>
        </w:tc>
        <w:tc>
          <w:tcPr>
            <w:tcW w:w="1248" w:type="dxa"/>
            <w:tcBorders>
              <w:top w:val="single" w:sz="6" w:space="0" w:color="000000"/>
            </w:tcBorders>
            <w:noWrap/>
            <w:vAlign w:val="center"/>
          </w:tcPr>
          <w:p w14:paraId="66057CFD" w14:textId="77777777" w:rsidR="00000000" w:rsidRDefault="00000000">
            <w:pPr>
              <w:keepNext/>
              <w:keepLines/>
              <w:widowControl/>
              <w:snapToGrid w:val="0"/>
              <w:spacing w:line="360" w:lineRule="auto"/>
              <w:ind w:firstLine="0"/>
              <w:jc w:val="center"/>
              <w:textAlignment w:val="center"/>
              <w:rPr>
                <w:rFonts w:ascii="宋体" w:hAnsi="宋体" w:cs="宋体"/>
                <w:sz w:val="21"/>
                <w:szCs w:val="21"/>
              </w:rPr>
            </w:pPr>
            <w:r>
              <w:rPr>
                <w:rFonts w:ascii="宋体" w:hAnsi="宋体" w:cs="宋体" w:hint="eastAsia"/>
                <w:kern w:val="0"/>
                <w:sz w:val="21"/>
                <w:szCs w:val="21"/>
                <w:lang w:bidi="ar"/>
              </w:rPr>
              <w:t>1</w:t>
            </w:r>
          </w:p>
        </w:tc>
      </w:tr>
      <w:tr w:rsidR="00000000" w14:paraId="7E0B04F7" w14:textId="77777777">
        <w:trPr>
          <w:jc w:val="center"/>
        </w:trPr>
        <w:tc>
          <w:tcPr>
            <w:tcW w:w="1629" w:type="dxa"/>
            <w:noWrap/>
            <w:vAlign w:val="center"/>
          </w:tcPr>
          <w:p w14:paraId="341B5FBF" w14:textId="77777777" w:rsidR="00000000" w:rsidRDefault="00000000">
            <w:pPr>
              <w:keepNext/>
              <w:keepLines/>
              <w:widowControl/>
              <w:snapToGrid w:val="0"/>
              <w:spacing w:line="360" w:lineRule="auto"/>
              <w:ind w:firstLine="0"/>
              <w:jc w:val="center"/>
              <w:textAlignment w:val="center"/>
              <w:rPr>
                <w:rFonts w:ascii="宋体" w:hAnsi="宋体" w:cs="宋体"/>
                <w:sz w:val="21"/>
                <w:szCs w:val="21"/>
              </w:rPr>
            </w:pPr>
            <w:r>
              <w:rPr>
                <w:rFonts w:ascii="宋体" w:hAnsi="宋体" w:cs="宋体" w:hint="eastAsia"/>
                <w:kern w:val="0"/>
                <w:sz w:val="21"/>
                <w:szCs w:val="21"/>
                <w:lang w:bidi="ar"/>
              </w:rPr>
              <w:t>2021年</w:t>
            </w:r>
          </w:p>
        </w:tc>
        <w:tc>
          <w:tcPr>
            <w:tcW w:w="1964" w:type="dxa"/>
            <w:noWrap/>
            <w:vAlign w:val="center"/>
          </w:tcPr>
          <w:p w14:paraId="1934EA8C" w14:textId="77777777" w:rsidR="00000000" w:rsidRDefault="00000000">
            <w:pPr>
              <w:keepNext/>
              <w:keepLines/>
              <w:widowControl/>
              <w:snapToGrid w:val="0"/>
              <w:spacing w:line="360" w:lineRule="auto"/>
              <w:ind w:firstLine="0"/>
              <w:jc w:val="center"/>
              <w:textAlignment w:val="center"/>
              <w:rPr>
                <w:rFonts w:ascii="宋体" w:hAnsi="宋体" w:cs="宋体"/>
                <w:sz w:val="21"/>
                <w:szCs w:val="21"/>
              </w:rPr>
            </w:pPr>
            <w:r>
              <w:rPr>
                <w:rFonts w:ascii="宋体" w:hAnsi="宋体" w:cs="宋体" w:hint="eastAsia"/>
                <w:kern w:val="0"/>
                <w:sz w:val="21"/>
                <w:szCs w:val="21"/>
                <w:lang w:bidi="ar"/>
              </w:rPr>
              <w:t>0.499</w:t>
            </w:r>
          </w:p>
        </w:tc>
        <w:tc>
          <w:tcPr>
            <w:tcW w:w="2094" w:type="dxa"/>
            <w:noWrap/>
            <w:vAlign w:val="center"/>
          </w:tcPr>
          <w:p w14:paraId="1E16AD44" w14:textId="77777777" w:rsidR="00000000" w:rsidRDefault="00000000">
            <w:pPr>
              <w:keepNext/>
              <w:keepLines/>
              <w:widowControl/>
              <w:snapToGrid w:val="0"/>
              <w:spacing w:line="360" w:lineRule="auto"/>
              <w:ind w:firstLine="0"/>
              <w:jc w:val="center"/>
              <w:textAlignment w:val="center"/>
              <w:rPr>
                <w:rFonts w:ascii="宋体" w:hAnsi="宋体" w:cs="宋体"/>
                <w:sz w:val="21"/>
                <w:szCs w:val="21"/>
              </w:rPr>
            </w:pPr>
            <w:r>
              <w:rPr>
                <w:rFonts w:ascii="宋体" w:hAnsi="宋体" w:cs="宋体" w:hint="eastAsia"/>
                <w:kern w:val="0"/>
                <w:sz w:val="21"/>
                <w:szCs w:val="21"/>
                <w:lang w:bidi="ar"/>
              </w:rPr>
              <w:t>0.184</w:t>
            </w:r>
          </w:p>
        </w:tc>
        <w:tc>
          <w:tcPr>
            <w:tcW w:w="1704" w:type="dxa"/>
            <w:noWrap/>
            <w:vAlign w:val="center"/>
          </w:tcPr>
          <w:p w14:paraId="6701CA37" w14:textId="77777777" w:rsidR="00000000" w:rsidRDefault="00000000">
            <w:pPr>
              <w:keepNext/>
              <w:keepLines/>
              <w:widowControl/>
              <w:snapToGrid w:val="0"/>
              <w:spacing w:line="360" w:lineRule="auto"/>
              <w:ind w:firstLine="0"/>
              <w:jc w:val="center"/>
              <w:textAlignment w:val="center"/>
              <w:rPr>
                <w:rFonts w:ascii="宋体" w:hAnsi="宋体" w:cs="宋体"/>
                <w:sz w:val="21"/>
                <w:szCs w:val="21"/>
              </w:rPr>
            </w:pPr>
            <w:r>
              <w:rPr>
                <w:rFonts w:ascii="宋体" w:hAnsi="宋体" w:cs="宋体" w:hint="eastAsia"/>
                <w:kern w:val="0"/>
                <w:sz w:val="21"/>
                <w:szCs w:val="21"/>
                <w:lang w:bidi="ar"/>
              </w:rPr>
              <w:t>0.269</w:t>
            </w:r>
          </w:p>
        </w:tc>
        <w:tc>
          <w:tcPr>
            <w:tcW w:w="1248" w:type="dxa"/>
            <w:noWrap/>
            <w:vAlign w:val="center"/>
          </w:tcPr>
          <w:p w14:paraId="4AB788E1" w14:textId="77777777" w:rsidR="00000000" w:rsidRDefault="00000000">
            <w:pPr>
              <w:keepNext/>
              <w:keepLines/>
              <w:widowControl/>
              <w:snapToGrid w:val="0"/>
              <w:spacing w:line="360" w:lineRule="auto"/>
              <w:ind w:firstLine="0"/>
              <w:jc w:val="center"/>
              <w:textAlignment w:val="center"/>
              <w:rPr>
                <w:rFonts w:ascii="宋体" w:hAnsi="宋体" w:cs="宋体"/>
                <w:sz w:val="21"/>
                <w:szCs w:val="21"/>
              </w:rPr>
            </w:pPr>
            <w:r>
              <w:rPr>
                <w:rFonts w:ascii="宋体" w:hAnsi="宋体" w:cs="宋体" w:hint="eastAsia"/>
                <w:kern w:val="0"/>
                <w:sz w:val="21"/>
                <w:szCs w:val="21"/>
                <w:lang w:bidi="ar"/>
              </w:rPr>
              <w:t>4</w:t>
            </w:r>
          </w:p>
        </w:tc>
      </w:tr>
      <w:tr w:rsidR="00000000" w14:paraId="7DB52190" w14:textId="77777777">
        <w:trPr>
          <w:jc w:val="center"/>
        </w:trPr>
        <w:tc>
          <w:tcPr>
            <w:tcW w:w="1629" w:type="dxa"/>
            <w:noWrap/>
            <w:vAlign w:val="center"/>
          </w:tcPr>
          <w:p w14:paraId="07CA60C9" w14:textId="77777777" w:rsidR="00000000" w:rsidRDefault="00000000">
            <w:pPr>
              <w:keepNext/>
              <w:keepLines/>
              <w:widowControl/>
              <w:snapToGrid w:val="0"/>
              <w:spacing w:line="360" w:lineRule="auto"/>
              <w:ind w:firstLine="0"/>
              <w:jc w:val="center"/>
              <w:textAlignment w:val="center"/>
              <w:rPr>
                <w:rFonts w:ascii="宋体" w:hAnsi="宋体" w:cs="宋体"/>
                <w:sz w:val="21"/>
                <w:szCs w:val="21"/>
              </w:rPr>
            </w:pPr>
            <w:r>
              <w:rPr>
                <w:rFonts w:ascii="宋体" w:hAnsi="宋体" w:cs="宋体" w:hint="eastAsia"/>
                <w:kern w:val="0"/>
                <w:sz w:val="21"/>
                <w:szCs w:val="21"/>
                <w:lang w:bidi="ar"/>
              </w:rPr>
              <w:t>2022年</w:t>
            </w:r>
          </w:p>
        </w:tc>
        <w:tc>
          <w:tcPr>
            <w:tcW w:w="1964" w:type="dxa"/>
            <w:noWrap/>
            <w:vAlign w:val="center"/>
          </w:tcPr>
          <w:p w14:paraId="79EFA59B" w14:textId="77777777" w:rsidR="00000000" w:rsidRDefault="00000000">
            <w:pPr>
              <w:keepNext/>
              <w:keepLines/>
              <w:widowControl/>
              <w:snapToGrid w:val="0"/>
              <w:spacing w:line="360" w:lineRule="auto"/>
              <w:ind w:firstLine="0"/>
              <w:jc w:val="center"/>
              <w:textAlignment w:val="center"/>
              <w:rPr>
                <w:rFonts w:ascii="宋体" w:hAnsi="宋体" w:cs="宋体"/>
                <w:sz w:val="21"/>
                <w:szCs w:val="21"/>
              </w:rPr>
            </w:pPr>
            <w:r>
              <w:rPr>
                <w:rFonts w:ascii="宋体" w:hAnsi="宋体" w:cs="宋体" w:hint="eastAsia"/>
                <w:kern w:val="0"/>
                <w:sz w:val="21"/>
                <w:szCs w:val="21"/>
                <w:lang w:bidi="ar"/>
              </w:rPr>
              <w:t>0.682</w:t>
            </w:r>
          </w:p>
        </w:tc>
        <w:tc>
          <w:tcPr>
            <w:tcW w:w="2094" w:type="dxa"/>
            <w:noWrap/>
            <w:vAlign w:val="center"/>
          </w:tcPr>
          <w:p w14:paraId="79B11A0D" w14:textId="77777777" w:rsidR="00000000" w:rsidRDefault="00000000">
            <w:pPr>
              <w:keepNext/>
              <w:keepLines/>
              <w:widowControl/>
              <w:snapToGrid w:val="0"/>
              <w:spacing w:line="360" w:lineRule="auto"/>
              <w:ind w:firstLine="0"/>
              <w:jc w:val="center"/>
              <w:textAlignment w:val="center"/>
              <w:rPr>
                <w:rFonts w:ascii="宋体" w:hAnsi="宋体" w:cs="宋体"/>
                <w:sz w:val="21"/>
                <w:szCs w:val="21"/>
              </w:rPr>
            </w:pPr>
            <w:r>
              <w:rPr>
                <w:rFonts w:ascii="宋体" w:hAnsi="宋体" w:cs="宋体" w:hint="eastAsia"/>
                <w:kern w:val="0"/>
                <w:sz w:val="21"/>
                <w:szCs w:val="21"/>
                <w:lang w:bidi="ar"/>
              </w:rPr>
              <w:t>0.000</w:t>
            </w:r>
          </w:p>
        </w:tc>
        <w:tc>
          <w:tcPr>
            <w:tcW w:w="1704" w:type="dxa"/>
            <w:noWrap/>
            <w:vAlign w:val="center"/>
          </w:tcPr>
          <w:p w14:paraId="1A41508C" w14:textId="77777777" w:rsidR="00000000" w:rsidRDefault="00000000">
            <w:pPr>
              <w:keepNext/>
              <w:keepLines/>
              <w:widowControl/>
              <w:snapToGrid w:val="0"/>
              <w:spacing w:line="360" w:lineRule="auto"/>
              <w:ind w:firstLine="0"/>
              <w:jc w:val="center"/>
              <w:textAlignment w:val="center"/>
              <w:rPr>
                <w:rFonts w:ascii="宋体" w:hAnsi="宋体" w:cs="宋体"/>
                <w:sz w:val="21"/>
                <w:szCs w:val="21"/>
              </w:rPr>
            </w:pPr>
            <w:r>
              <w:rPr>
                <w:rFonts w:ascii="宋体" w:hAnsi="宋体" w:cs="宋体" w:hint="eastAsia"/>
                <w:kern w:val="0"/>
                <w:sz w:val="21"/>
                <w:szCs w:val="21"/>
                <w:lang w:bidi="ar"/>
              </w:rPr>
              <w:t>0.000</w:t>
            </w:r>
          </w:p>
        </w:tc>
        <w:tc>
          <w:tcPr>
            <w:tcW w:w="1248" w:type="dxa"/>
            <w:noWrap/>
            <w:vAlign w:val="center"/>
          </w:tcPr>
          <w:p w14:paraId="56BBCD05" w14:textId="77777777" w:rsidR="00000000" w:rsidRDefault="00000000">
            <w:pPr>
              <w:keepNext/>
              <w:keepLines/>
              <w:widowControl/>
              <w:snapToGrid w:val="0"/>
              <w:spacing w:line="360" w:lineRule="auto"/>
              <w:ind w:firstLine="0"/>
              <w:jc w:val="center"/>
              <w:textAlignment w:val="center"/>
              <w:rPr>
                <w:rFonts w:ascii="宋体" w:hAnsi="宋体" w:cs="宋体"/>
                <w:sz w:val="21"/>
                <w:szCs w:val="21"/>
              </w:rPr>
            </w:pPr>
            <w:r>
              <w:rPr>
                <w:rFonts w:ascii="宋体" w:hAnsi="宋体" w:cs="宋体" w:hint="eastAsia"/>
                <w:kern w:val="0"/>
                <w:sz w:val="21"/>
                <w:szCs w:val="21"/>
                <w:lang w:bidi="ar"/>
              </w:rPr>
              <w:t>5</w:t>
            </w:r>
          </w:p>
        </w:tc>
      </w:tr>
      <w:tr w:rsidR="00000000" w14:paraId="56B490C2" w14:textId="77777777">
        <w:trPr>
          <w:jc w:val="center"/>
        </w:trPr>
        <w:tc>
          <w:tcPr>
            <w:tcW w:w="1629" w:type="dxa"/>
            <w:noWrap/>
            <w:vAlign w:val="center"/>
          </w:tcPr>
          <w:p w14:paraId="28D58EF8" w14:textId="77777777" w:rsidR="00000000" w:rsidRDefault="00000000">
            <w:pPr>
              <w:keepNext/>
              <w:keepLines/>
              <w:widowControl/>
              <w:snapToGrid w:val="0"/>
              <w:spacing w:line="360" w:lineRule="auto"/>
              <w:ind w:firstLine="0"/>
              <w:jc w:val="center"/>
              <w:textAlignment w:val="center"/>
              <w:rPr>
                <w:rFonts w:ascii="宋体" w:hAnsi="宋体" w:cs="宋体"/>
                <w:sz w:val="21"/>
                <w:szCs w:val="21"/>
              </w:rPr>
            </w:pPr>
            <w:r>
              <w:rPr>
                <w:rFonts w:ascii="宋体" w:hAnsi="宋体" w:cs="宋体" w:hint="eastAsia"/>
                <w:kern w:val="0"/>
                <w:sz w:val="21"/>
                <w:szCs w:val="21"/>
                <w:lang w:bidi="ar"/>
              </w:rPr>
              <w:t>2023年</w:t>
            </w:r>
          </w:p>
        </w:tc>
        <w:tc>
          <w:tcPr>
            <w:tcW w:w="1964" w:type="dxa"/>
            <w:noWrap/>
            <w:vAlign w:val="center"/>
          </w:tcPr>
          <w:p w14:paraId="23DA8B19" w14:textId="77777777" w:rsidR="00000000" w:rsidRDefault="00000000">
            <w:pPr>
              <w:keepNext/>
              <w:keepLines/>
              <w:widowControl/>
              <w:snapToGrid w:val="0"/>
              <w:spacing w:line="360" w:lineRule="auto"/>
              <w:ind w:firstLine="0"/>
              <w:jc w:val="center"/>
              <w:textAlignment w:val="center"/>
              <w:rPr>
                <w:rFonts w:ascii="宋体" w:hAnsi="宋体" w:cs="宋体"/>
                <w:sz w:val="21"/>
                <w:szCs w:val="21"/>
              </w:rPr>
            </w:pPr>
            <w:r>
              <w:rPr>
                <w:rFonts w:ascii="宋体" w:hAnsi="宋体" w:cs="宋体" w:hint="eastAsia"/>
                <w:kern w:val="0"/>
                <w:sz w:val="21"/>
                <w:szCs w:val="21"/>
                <w:lang w:bidi="ar"/>
              </w:rPr>
              <w:t>0.392</w:t>
            </w:r>
          </w:p>
        </w:tc>
        <w:tc>
          <w:tcPr>
            <w:tcW w:w="2094" w:type="dxa"/>
            <w:noWrap/>
            <w:vAlign w:val="center"/>
          </w:tcPr>
          <w:p w14:paraId="1217111B" w14:textId="77777777" w:rsidR="00000000" w:rsidRDefault="00000000">
            <w:pPr>
              <w:keepNext/>
              <w:keepLines/>
              <w:widowControl/>
              <w:snapToGrid w:val="0"/>
              <w:spacing w:line="360" w:lineRule="auto"/>
              <w:ind w:firstLine="0"/>
              <w:jc w:val="center"/>
              <w:textAlignment w:val="center"/>
              <w:rPr>
                <w:rFonts w:ascii="宋体" w:hAnsi="宋体" w:cs="宋体"/>
                <w:sz w:val="21"/>
                <w:szCs w:val="21"/>
              </w:rPr>
            </w:pPr>
            <w:r>
              <w:rPr>
                <w:rFonts w:ascii="宋体" w:hAnsi="宋体" w:cs="宋体" w:hint="eastAsia"/>
                <w:kern w:val="0"/>
                <w:sz w:val="21"/>
                <w:szCs w:val="21"/>
                <w:lang w:bidi="ar"/>
              </w:rPr>
              <w:t>0.291</w:t>
            </w:r>
          </w:p>
        </w:tc>
        <w:tc>
          <w:tcPr>
            <w:tcW w:w="1704" w:type="dxa"/>
            <w:noWrap/>
            <w:vAlign w:val="center"/>
          </w:tcPr>
          <w:p w14:paraId="19F7F62D" w14:textId="77777777" w:rsidR="00000000" w:rsidRDefault="00000000">
            <w:pPr>
              <w:keepNext/>
              <w:keepLines/>
              <w:widowControl/>
              <w:snapToGrid w:val="0"/>
              <w:spacing w:line="360" w:lineRule="auto"/>
              <w:ind w:firstLine="0"/>
              <w:jc w:val="center"/>
              <w:textAlignment w:val="center"/>
              <w:rPr>
                <w:rFonts w:ascii="宋体" w:hAnsi="宋体" w:cs="宋体"/>
                <w:sz w:val="21"/>
                <w:szCs w:val="21"/>
              </w:rPr>
            </w:pPr>
            <w:r>
              <w:rPr>
                <w:rFonts w:ascii="宋体" w:hAnsi="宋体" w:cs="宋体" w:hint="eastAsia"/>
                <w:kern w:val="0"/>
                <w:sz w:val="21"/>
                <w:szCs w:val="21"/>
                <w:lang w:bidi="ar"/>
              </w:rPr>
              <w:t>0.427</w:t>
            </w:r>
          </w:p>
        </w:tc>
        <w:tc>
          <w:tcPr>
            <w:tcW w:w="1248" w:type="dxa"/>
            <w:noWrap/>
            <w:vAlign w:val="center"/>
          </w:tcPr>
          <w:p w14:paraId="58ABED1F" w14:textId="77777777" w:rsidR="00000000" w:rsidRDefault="00000000">
            <w:pPr>
              <w:keepNext/>
              <w:keepLines/>
              <w:widowControl/>
              <w:snapToGrid w:val="0"/>
              <w:spacing w:line="360" w:lineRule="auto"/>
              <w:ind w:firstLine="0"/>
              <w:jc w:val="center"/>
              <w:textAlignment w:val="center"/>
              <w:rPr>
                <w:rFonts w:ascii="宋体" w:hAnsi="宋体" w:cs="宋体"/>
                <w:sz w:val="21"/>
                <w:szCs w:val="21"/>
              </w:rPr>
            </w:pPr>
            <w:r>
              <w:rPr>
                <w:rFonts w:ascii="宋体" w:hAnsi="宋体" w:cs="宋体" w:hint="eastAsia"/>
                <w:kern w:val="0"/>
                <w:sz w:val="21"/>
                <w:szCs w:val="21"/>
                <w:lang w:bidi="ar"/>
              </w:rPr>
              <w:t>3</w:t>
            </w:r>
          </w:p>
        </w:tc>
      </w:tr>
      <w:tr w:rsidR="00000000" w14:paraId="7E9E5384" w14:textId="77777777">
        <w:trPr>
          <w:jc w:val="center"/>
        </w:trPr>
        <w:tc>
          <w:tcPr>
            <w:tcW w:w="1629" w:type="dxa"/>
            <w:noWrap/>
            <w:vAlign w:val="center"/>
          </w:tcPr>
          <w:p w14:paraId="68223BCA" w14:textId="77777777" w:rsidR="00000000" w:rsidRDefault="00000000">
            <w:pPr>
              <w:keepNext/>
              <w:keepLines/>
              <w:widowControl/>
              <w:snapToGrid w:val="0"/>
              <w:spacing w:line="360" w:lineRule="auto"/>
              <w:ind w:firstLine="0"/>
              <w:jc w:val="center"/>
              <w:textAlignment w:val="center"/>
              <w:rPr>
                <w:rFonts w:ascii="宋体" w:hAnsi="宋体" w:cs="宋体"/>
                <w:sz w:val="21"/>
                <w:szCs w:val="21"/>
              </w:rPr>
            </w:pPr>
            <w:r>
              <w:rPr>
                <w:rFonts w:ascii="宋体" w:hAnsi="宋体" w:cs="宋体" w:hint="eastAsia"/>
                <w:kern w:val="0"/>
                <w:sz w:val="21"/>
                <w:szCs w:val="21"/>
                <w:lang w:bidi="ar"/>
              </w:rPr>
              <w:t>2024年</w:t>
            </w:r>
          </w:p>
        </w:tc>
        <w:tc>
          <w:tcPr>
            <w:tcW w:w="1964" w:type="dxa"/>
            <w:noWrap/>
            <w:vAlign w:val="center"/>
          </w:tcPr>
          <w:p w14:paraId="045CA202" w14:textId="77777777" w:rsidR="00000000" w:rsidRDefault="00000000">
            <w:pPr>
              <w:keepNext/>
              <w:keepLines/>
              <w:widowControl/>
              <w:snapToGrid w:val="0"/>
              <w:spacing w:line="360" w:lineRule="auto"/>
              <w:ind w:firstLine="0"/>
              <w:jc w:val="center"/>
              <w:textAlignment w:val="center"/>
              <w:rPr>
                <w:rFonts w:ascii="宋体" w:hAnsi="宋体" w:cs="宋体"/>
                <w:sz w:val="21"/>
                <w:szCs w:val="21"/>
              </w:rPr>
            </w:pPr>
            <w:r>
              <w:rPr>
                <w:rFonts w:ascii="宋体" w:hAnsi="宋体" w:cs="宋体" w:hint="eastAsia"/>
                <w:kern w:val="0"/>
                <w:sz w:val="21"/>
                <w:szCs w:val="21"/>
                <w:lang w:bidi="ar"/>
              </w:rPr>
              <w:t>0.247</w:t>
            </w:r>
          </w:p>
        </w:tc>
        <w:tc>
          <w:tcPr>
            <w:tcW w:w="2094" w:type="dxa"/>
            <w:noWrap/>
            <w:vAlign w:val="center"/>
          </w:tcPr>
          <w:p w14:paraId="70BFD03C" w14:textId="77777777" w:rsidR="00000000" w:rsidRDefault="00000000">
            <w:pPr>
              <w:keepNext/>
              <w:keepLines/>
              <w:widowControl/>
              <w:snapToGrid w:val="0"/>
              <w:spacing w:line="360" w:lineRule="auto"/>
              <w:ind w:firstLine="0"/>
              <w:jc w:val="center"/>
              <w:textAlignment w:val="center"/>
              <w:rPr>
                <w:rFonts w:ascii="宋体" w:hAnsi="宋体" w:cs="宋体"/>
                <w:sz w:val="21"/>
                <w:szCs w:val="21"/>
              </w:rPr>
            </w:pPr>
            <w:r>
              <w:rPr>
                <w:rFonts w:ascii="宋体" w:hAnsi="宋体" w:cs="宋体" w:hint="eastAsia"/>
                <w:kern w:val="0"/>
                <w:sz w:val="21"/>
                <w:szCs w:val="21"/>
                <w:lang w:bidi="ar"/>
              </w:rPr>
              <w:t>0.436</w:t>
            </w:r>
          </w:p>
        </w:tc>
        <w:tc>
          <w:tcPr>
            <w:tcW w:w="1704" w:type="dxa"/>
            <w:noWrap/>
            <w:vAlign w:val="center"/>
          </w:tcPr>
          <w:p w14:paraId="09A47FC4" w14:textId="77777777" w:rsidR="00000000" w:rsidRDefault="00000000">
            <w:pPr>
              <w:keepNext/>
              <w:keepLines/>
              <w:widowControl/>
              <w:snapToGrid w:val="0"/>
              <w:spacing w:line="360" w:lineRule="auto"/>
              <w:ind w:firstLine="0"/>
              <w:jc w:val="center"/>
              <w:textAlignment w:val="center"/>
              <w:rPr>
                <w:rFonts w:ascii="宋体" w:hAnsi="宋体" w:cs="宋体"/>
                <w:sz w:val="21"/>
                <w:szCs w:val="21"/>
              </w:rPr>
            </w:pPr>
            <w:r>
              <w:rPr>
                <w:rFonts w:ascii="宋体" w:hAnsi="宋体" w:cs="宋体" w:hint="eastAsia"/>
                <w:kern w:val="0"/>
                <w:sz w:val="21"/>
                <w:szCs w:val="21"/>
                <w:lang w:bidi="ar"/>
              </w:rPr>
              <w:t>0.638</w:t>
            </w:r>
          </w:p>
        </w:tc>
        <w:tc>
          <w:tcPr>
            <w:tcW w:w="1248" w:type="dxa"/>
            <w:noWrap/>
            <w:vAlign w:val="center"/>
          </w:tcPr>
          <w:p w14:paraId="06C64053" w14:textId="77777777" w:rsidR="00000000" w:rsidRDefault="00000000">
            <w:pPr>
              <w:keepNext/>
              <w:keepLines/>
              <w:widowControl/>
              <w:snapToGrid w:val="0"/>
              <w:spacing w:line="360" w:lineRule="auto"/>
              <w:ind w:firstLine="0"/>
              <w:jc w:val="center"/>
              <w:textAlignment w:val="center"/>
              <w:rPr>
                <w:rFonts w:ascii="宋体" w:hAnsi="宋体" w:cs="宋体"/>
                <w:sz w:val="21"/>
                <w:szCs w:val="21"/>
              </w:rPr>
            </w:pPr>
            <w:r>
              <w:rPr>
                <w:rFonts w:ascii="宋体" w:hAnsi="宋体" w:cs="宋体" w:hint="eastAsia"/>
                <w:kern w:val="0"/>
                <w:sz w:val="21"/>
                <w:szCs w:val="21"/>
                <w:lang w:bidi="ar"/>
              </w:rPr>
              <w:t>2</w:t>
            </w:r>
          </w:p>
        </w:tc>
      </w:tr>
    </w:tbl>
    <w:p w14:paraId="1AF6E4F8" w14:textId="77777777" w:rsidR="00000000" w:rsidRDefault="00000000">
      <w:pPr>
        <w:pStyle w:val="afd"/>
        <w:ind w:firstLine="486"/>
        <w:rPr>
          <w:rFonts w:cs="宋体" w:hint="eastAsia"/>
          <w:color w:val="auto"/>
        </w:rPr>
      </w:pPr>
      <w:r>
        <w:rPr>
          <w:rFonts w:cs="宋体" w:hint="eastAsia"/>
          <w:color w:val="auto"/>
        </w:rPr>
        <w:t>根据以上计算，本文可以确定M公司2020-2024年筹集资金风险下二级指标到理想解的距离和相对贴近度。同理，投资风险、营运风险和收益分配风险在另外三个层面继续按照上述步骤进行评价。具体计算情况如表5-8所示。</w:t>
      </w:r>
    </w:p>
    <w:p w14:paraId="0CBAB4DF" w14:textId="77777777" w:rsidR="00000000" w:rsidRDefault="00000000">
      <w:pPr>
        <w:autoSpaceDE w:val="0"/>
        <w:autoSpaceDN w:val="0"/>
        <w:adjustRightInd w:val="0"/>
        <w:spacing w:beforeLines="50" w:before="207" w:afterLines="50" w:after="207" w:line="400" w:lineRule="exact"/>
        <w:ind w:firstLine="0"/>
        <w:jc w:val="center"/>
        <w:rPr>
          <w:rFonts w:ascii="宋体" w:hAnsi="宋体" w:cs="宋体"/>
          <w:sz w:val="21"/>
          <w:szCs w:val="21"/>
        </w:rPr>
      </w:pPr>
      <w:r>
        <w:rPr>
          <w:rFonts w:ascii="宋体" w:hAnsi="宋体" w:cs="宋体" w:hint="eastAsia"/>
          <w:sz w:val="21"/>
          <w:szCs w:val="21"/>
        </w:rPr>
        <w:t>表5-8 M公司2020-2024年各二级指标的熵值和熵权</w:t>
      </w:r>
    </w:p>
    <w:tbl>
      <w:tblPr>
        <w:tblW w:w="8632" w:type="dxa"/>
        <w:tblInd w:w="-64" w:type="dxa"/>
        <w:tblCellMar>
          <w:top w:w="32" w:type="dxa"/>
          <w:left w:w="64" w:type="dxa"/>
          <w:bottom w:w="32" w:type="dxa"/>
          <w:right w:w="64" w:type="dxa"/>
        </w:tblCellMar>
        <w:tblLook w:val="0000" w:firstRow="0" w:lastRow="0" w:firstColumn="0" w:lastColumn="0" w:noHBand="0" w:noVBand="0"/>
      </w:tblPr>
      <w:tblGrid>
        <w:gridCol w:w="2086"/>
        <w:gridCol w:w="2977"/>
        <w:gridCol w:w="1784"/>
        <w:gridCol w:w="1785"/>
      </w:tblGrid>
      <w:tr w:rsidR="00000000" w14:paraId="63B25AD0" w14:textId="77777777">
        <w:tc>
          <w:tcPr>
            <w:tcW w:w="2086" w:type="dxa"/>
            <w:tcBorders>
              <w:top w:val="single" w:sz="12" w:space="0" w:color="000000"/>
              <w:left w:val="nil"/>
              <w:bottom w:val="single" w:sz="4" w:space="0" w:color="000000"/>
              <w:right w:val="nil"/>
            </w:tcBorders>
            <w:noWrap/>
            <w:vAlign w:val="center"/>
          </w:tcPr>
          <w:p w14:paraId="71B97A05" w14:textId="77777777" w:rsidR="00000000" w:rsidRDefault="00000000">
            <w:pPr>
              <w:widowControl/>
              <w:snapToGrid w:val="0"/>
              <w:spacing w:line="360" w:lineRule="auto"/>
              <w:ind w:firstLine="0"/>
              <w:jc w:val="center"/>
              <w:textAlignment w:val="center"/>
              <w:rPr>
                <w:rFonts w:ascii="宋体" w:hAnsi="宋体" w:cs="宋体"/>
                <w:b/>
                <w:bCs/>
                <w:sz w:val="21"/>
                <w:szCs w:val="21"/>
              </w:rPr>
            </w:pPr>
            <w:r>
              <w:rPr>
                <w:rFonts w:ascii="宋体" w:hAnsi="宋体" w:cs="宋体" w:hint="eastAsia"/>
                <w:b/>
                <w:bCs/>
                <w:kern w:val="0"/>
                <w:sz w:val="21"/>
                <w:szCs w:val="21"/>
                <w:lang w:bidi="ar"/>
              </w:rPr>
              <w:t>一级指标</w:t>
            </w:r>
          </w:p>
        </w:tc>
        <w:tc>
          <w:tcPr>
            <w:tcW w:w="2977" w:type="dxa"/>
            <w:tcBorders>
              <w:top w:val="single" w:sz="12" w:space="0" w:color="000000"/>
              <w:left w:val="nil"/>
              <w:bottom w:val="single" w:sz="4" w:space="0" w:color="000000"/>
              <w:right w:val="nil"/>
            </w:tcBorders>
            <w:noWrap/>
            <w:vAlign w:val="center"/>
          </w:tcPr>
          <w:p w14:paraId="738AF5B1" w14:textId="77777777" w:rsidR="00000000" w:rsidRDefault="00000000">
            <w:pPr>
              <w:widowControl/>
              <w:snapToGrid w:val="0"/>
              <w:spacing w:line="360" w:lineRule="auto"/>
              <w:ind w:firstLine="0"/>
              <w:jc w:val="center"/>
              <w:textAlignment w:val="center"/>
              <w:rPr>
                <w:rFonts w:ascii="宋体" w:hAnsi="宋体" w:cs="宋体"/>
                <w:b/>
                <w:bCs/>
                <w:sz w:val="21"/>
                <w:szCs w:val="21"/>
              </w:rPr>
            </w:pPr>
            <w:r>
              <w:rPr>
                <w:rFonts w:ascii="宋体" w:hAnsi="宋体" w:cs="宋体" w:hint="eastAsia"/>
                <w:b/>
                <w:bCs/>
                <w:kern w:val="0"/>
                <w:sz w:val="21"/>
                <w:szCs w:val="21"/>
                <w:lang w:bidi="ar"/>
              </w:rPr>
              <w:t>二级指标</w:t>
            </w:r>
          </w:p>
        </w:tc>
        <w:tc>
          <w:tcPr>
            <w:tcW w:w="1784" w:type="dxa"/>
            <w:tcBorders>
              <w:top w:val="single" w:sz="12" w:space="0" w:color="000000"/>
              <w:left w:val="nil"/>
              <w:bottom w:val="single" w:sz="4" w:space="0" w:color="000000"/>
              <w:right w:val="nil"/>
            </w:tcBorders>
            <w:noWrap/>
            <w:vAlign w:val="center"/>
          </w:tcPr>
          <w:p w14:paraId="35008C73" w14:textId="77777777" w:rsidR="00000000" w:rsidRDefault="00000000">
            <w:pPr>
              <w:widowControl/>
              <w:snapToGrid w:val="0"/>
              <w:spacing w:line="360" w:lineRule="auto"/>
              <w:ind w:firstLine="0"/>
              <w:jc w:val="center"/>
              <w:textAlignment w:val="center"/>
              <w:rPr>
                <w:rFonts w:ascii="宋体" w:hAnsi="宋体" w:cs="宋体"/>
                <w:b/>
                <w:bCs/>
                <w:sz w:val="21"/>
                <w:szCs w:val="21"/>
              </w:rPr>
            </w:pPr>
            <w:r>
              <w:rPr>
                <w:rFonts w:ascii="宋体" w:hAnsi="宋体" w:cs="宋体" w:hint="eastAsia"/>
                <w:b/>
                <w:bCs/>
                <w:kern w:val="0"/>
                <w:sz w:val="21"/>
                <w:szCs w:val="21"/>
                <w:lang w:bidi="ar"/>
              </w:rPr>
              <w:t>熵值</w:t>
            </w:r>
          </w:p>
        </w:tc>
        <w:tc>
          <w:tcPr>
            <w:tcW w:w="1785" w:type="dxa"/>
            <w:tcBorders>
              <w:top w:val="single" w:sz="12" w:space="0" w:color="000000"/>
              <w:left w:val="nil"/>
              <w:bottom w:val="single" w:sz="4" w:space="0" w:color="000000"/>
              <w:right w:val="nil"/>
            </w:tcBorders>
            <w:noWrap/>
            <w:vAlign w:val="center"/>
          </w:tcPr>
          <w:p w14:paraId="7118E912" w14:textId="77777777" w:rsidR="00000000" w:rsidRDefault="00000000">
            <w:pPr>
              <w:widowControl/>
              <w:snapToGrid w:val="0"/>
              <w:spacing w:line="360" w:lineRule="auto"/>
              <w:ind w:firstLine="0"/>
              <w:jc w:val="center"/>
              <w:textAlignment w:val="center"/>
              <w:rPr>
                <w:rFonts w:ascii="宋体" w:hAnsi="宋体" w:cs="宋体"/>
                <w:b/>
                <w:bCs/>
                <w:sz w:val="21"/>
                <w:szCs w:val="21"/>
              </w:rPr>
            </w:pPr>
            <w:r>
              <w:rPr>
                <w:rFonts w:ascii="宋体" w:hAnsi="宋体" w:cs="宋体" w:hint="eastAsia"/>
                <w:b/>
                <w:bCs/>
                <w:kern w:val="0"/>
                <w:sz w:val="21"/>
                <w:szCs w:val="21"/>
                <w:lang w:bidi="ar"/>
              </w:rPr>
              <w:t>熵权</w:t>
            </w:r>
          </w:p>
        </w:tc>
      </w:tr>
      <w:tr w:rsidR="00000000" w14:paraId="1B6B6F12" w14:textId="77777777">
        <w:tc>
          <w:tcPr>
            <w:tcW w:w="2086" w:type="dxa"/>
            <w:vMerge w:val="restart"/>
            <w:tcBorders>
              <w:top w:val="single" w:sz="4" w:space="0" w:color="000000"/>
              <w:left w:val="nil"/>
              <w:bottom w:val="nil"/>
              <w:right w:val="nil"/>
            </w:tcBorders>
            <w:noWrap/>
            <w:vAlign w:val="center"/>
          </w:tcPr>
          <w:p w14:paraId="4C52C064" w14:textId="77777777" w:rsidR="00000000" w:rsidRDefault="00000000">
            <w:pPr>
              <w:widowControl/>
              <w:snapToGrid w:val="0"/>
              <w:spacing w:line="360" w:lineRule="auto"/>
              <w:ind w:firstLine="0"/>
              <w:jc w:val="center"/>
              <w:textAlignment w:val="center"/>
              <w:rPr>
                <w:rFonts w:ascii="宋体" w:hAnsi="宋体" w:cs="宋体"/>
                <w:sz w:val="21"/>
                <w:szCs w:val="21"/>
              </w:rPr>
            </w:pPr>
            <w:r>
              <w:rPr>
                <w:rFonts w:ascii="宋体" w:hAnsi="宋体" w:cs="宋体" w:hint="eastAsia"/>
                <w:kern w:val="0"/>
                <w:sz w:val="21"/>
                <w:szCs w:val="21"/>
                <w:lang w:bidi="ar"/>
              </w:rPr>
              <w:t>筹资风险</w:t>
            </w:r>
          </w:p>
        </w:tc>
        <w:tc>
          <w:tcPr>
            <w:tcW w:w="2977" w:type="dxa"/>
            <w:tcBorders>
              <w:top w:val="single" w:sz="4" w:space="0" w:color="000000"/>
              <w:left w:val="nil"/>
              <w:bottom w:val="nil"/>
              <w:right w:val="nil"/>
            </w:tcBorders>
            <w:noWrap/>
            <w:vAlign w:val="center"/>
          </w:tcPr>
          <w:p w14:paraId="1DABAC93" w14:textId="77777777" w:rsidR="00000000" w:rsidRDefault="00000000">
            <w:pPr>
              <w:widowControl/>
              <w:snapToGrid w:val="0"/>
              <w:spacing w:line="360" w:lineRule="auto"/>
              <w:ind w:firstLine="0"/>
              <w:jc w:val="center"/>
              <w:textAlignment w:val="center"/>
              <w:rPr>
                <w:rFonts w:ascii="宋体" w:hAnsi="宋体" w:cs="宋体"/>
                <w:sz w:val="21"/>
                <w:szCs w:val="21"/>
              </w:rPr>
            </w:pPr>
            <w:r>
              <w:rPr>
                <w:rFonts w:ascii="宋体" w:hAnsi="宋体" w:cs="宋体" w:hint="eastAsia"/>
                <w:kern w:val="0"/>
                <w:sz w:val="21"/>
                <w:szCs w:val="21"/>
                <w:lang w:bidi="ar"/>
              </w:rPr>
              <w:t>流动比率</w:t>
            </w:r>
          </w:p>
        </w:tc>
        <w:tc>
          <w:tcPr>
            <w:tcW w:w="1784" w:type="dxa"/>
            <w:tcBorders>
              <w:top w:val="single" w:sz="4" w:space="0" w:color="000000"/>
              <w:left w:val="nil"/>
              <w:bottom w:val="nil"/>
              <w:right w:val="nil"/>
            </w:tcBorders>
            <w:noWrap/>
            <w:vAlign w:val="center"/>
          </w:tcPr>
          <w:p w14:paraId="5E083A9F" w14:textId="77777777" w:rsidR="00000000" w:rsidRDefault="00000000">
            <w:pPr>
              <w:widowControl/>
              <w:snapToGrid w:val="0"/>
              <w:spacing w:line="360" w:lineRule="auto"/>
              <w:ind w:firstLine="0"/>
              <w:jc w:val="center"/>
              <w:textAlignment w:val="center"/>
              <w:rPr>
                <w:rFonts w:ascii="宋体" w:hAnsi="宋体" w:cs="宋体"/>
                <w:sz w:val="21"/>
                <w:szCs w:val="21"/>
              </w:rPr>
            </w:pPr>
            <w:r>
              <w:rPr>
                <w:rFonts w:ascii="宋体" w:hAnsi="宋体" w:cs="宋体" w:hint="eastAsia"/>
                <w:kern w:val="0"/>
                <w:sz w:val="21"/>
                <w:szCs w:val="21"/>
                <w:lang w:bidi="ar"/>
              </w:rPr>
              <w:t>0.9943</w:t>
            </w:r>
          </w:p>
        </w:tc>
        <w:tc>
          <w:tcPr>
            <w:tcW w:w="1785" w:type="dxa"/>
            <w:tcBorders>
              <w:top w:val="single" w:sz="4" w:space="0" w:color="000000"/>
              <w:left w:val="nil"/>
              <w:bottom w:val="nil"/>
              <w:right w:val="nil"/>
            </w:tcBorders>
            <w:noWrap/>
            <w:vAlign w:val="center"/>
          </w:tcPr>
          <w:p w14:paraId="7CBDE0F1" w14:textId="77777777" w:rsidR="00000000" w:rsidRDefault="00000000">
            <w:pPr>
              <w:widowControl/>
              <w:snapToGrid w:val="0"/>
              <w:spacing w:line="360" w:lineRule="auto"/>
              <w:ind w:firstLine="0"/>
              <w:jc w:val="center"/>
              <w:textAlignment w:val="center"/>
              <w:rPr>
                <w:rFonts w:ascii="宋体" w:hAnsi="宋体" w:cs="宋体"/>
                <w:sz w:val="21"/>
                <w:szCs w:val="21"/>
              </w:rPr>
            </w:pPr>
            <w:r>
              <w:rPr>
                <w:rFonts w:ascii="宋体" w:hAnsi="宋体" w:cs="宋体" w:hint="eastAsia"/>
                <w:kern w:val="0"/>
                <w:sz w:val="21"/>
                <w:szCs w:val="21"/>
                <w:lang w:bidi="ar"/>
              </w:rPr>
              <w:t>0.0145</w:t>
            </w:r>
          </w:p>
        </w:tc>
      </w:tr>
      <w:tr w:rsidR="00000000" w14:paraId="42BCBA63" w14:textId="77777777">
        <w:tc>
          <w:tcPr>
            <w:tcW w:w="2086" w:type="dxa"/>
            <w:vMerge/>
            <w:tcBorders>
              <w:top w:val="nil"/>
              <w:left w:val="nil"/>
              <w:bottom w:val="nil"/>
              <w:right w:val="nil"/>
            </w:tcBorders>
            <w:noWrap/>
            <w:vAlign w:val="center"/>
          </w:tcPr>
          <w:p w14:paraId="0390C036" w14:textId="77777777" w:rsidR="00000000" w:rsidRDefault="00000000">
            <w:pPr>
              <w:snapToGrid w:val="0"/>
              <w:spacing w:line="360" w:lineRule="auto"/>
              <w:ind w:firstLine="0"/>
              <w:jc w:val="center"/>
              <w:rPr>
                <w:rFonts w:ascii="宋体" w:hAnsi="宋体" w:cs="宋体"/>
                <w:sz w:val="21"/>
                <w:szCs w:val="21"/>
              </w:rPr>
            </w:pPr>
          </w:p>
        </w:tc>
        <w:tc>
          <w:tcPr>
            <w:tcW w:w="2977" w:type="dxa"/>
            <w:tcBorders>
              <w:top w:val="nil"/>
              <w:left w:val="nil"/>
              <w:bottom w:val="nil"/>
              <w:right w:val="nil"/>
            </w:tcBorders>
            <w:noWrap/>
            <w:vAlign w:val="center"/>
          </w:tcPr>
          <w:p w14:paraId="632A93B5" w14:textId="77777777" w:rsidR="00000000" w:rsidRDefault="00000000">
            <w:pPr>
              <w:widowControl/>
              <w:snapToGrid w:val="0"/>
              <w:spacing w:line="360" w:lineRule="auto"/>
              <w:ind w:firstLine="0"/>
              <w:jc w:val="center"/>
              <w:textAlignment w:val="center"/>
              <w:rPr>
                <w:rFonts w:ascii="宋体" w:hAnsi="宋体" w:cs="宋体"/>
                <w:sz w:val="21"/>
                <w:szCs w:val="21"/>
              </w:rPr>
            </w:pPr>
            <w:r>
              <w:rPr>
                <w:rFonts w:ascii="宋体" w:hAnsi="宋体" w:cs="宋体" w:hint="eastAsia"/>
                <w:kern w:val="0"/>
                <w:sz w:val="21"/>
                <w:szCs w:val="21"/>
                <w:lang w:bidi="ar"/>
              </w:rPr>
              <w:t>速动比率</w:t>
            </w:r>
          </w:p>
        </w:tc>
        <w:tc>
          <w:tcPr>
            <w:tcW w:w="1784" w:type="dxa"/>
            <w:tcBorders>
              <w:top w:val="nil"/>
              <w:left w:val="nil"/>
              <w:bottom w:val="nil"/>
              <w:right w:val="nil"/>
            </w:tcBorders>
            <w:noWrap/>
            <w:vAlign w:val="center"/>
          </w:tcPr>
          <w:p w14:paraId="73717A84" w14:textId="77777777" w:rsidR="00000000" w:rsidRDefault="00000000">
            <w:pPr>
              <w:widowControl/>
              <w:snapToGrid w:val="0"/>
              <w:spacing w:line="360" w:lineRule="auto"/>
              <w:ind w:firstLine="0"/>
              <w:jc w:val="center"/>
              <w:textAlignment w:val="center"/>
              <w:rPr>
                <w:rFonts w:ascii="宋体" w:hAnsi="宋体" w:cs="宋体"/>
                <w:sz w:val="21"/>
                <w:szCs w:val="21"/>
              </w:rPr>
            </w:pPr>
            <w:r>
              <w:rPr>
                <w:rFonts w:ascii="宋体" w:hAnsi="宋体" w:cs="宋体" w:hint="eastAsia"/>
                <w:kern w:val="0"/>
                <w:sz w:val="21"/>
                <w:szCs w:val="21"/>
                <w:lang w:bidi="ar"/>
              </w:rPr>
              <w:t>0.9918</w:t>
            </w:r>
          </w:p>
        </w:tc>
        <w:tc>
          <w:tcPr>
            <w:tcW w:w="1785" w:type="dxa"/>
            <w:tcBorders>
              <w:top w:val="nil"/>
              <w:left w:val="nil"/>
              <w:bottom w:val="nil"/>
              <w:right w:val="nil"/>
            </w:tcBorders>
            <w:noWrap/>
            <w:vAlign w:val="center"/>
          </w:tcPr>
          <w:p w14:paraId="63760C24" w14:textId="77777777" w:rsidR="00000000" w:rsidRDefault="00000000">
            <w:pPr>
              <w:widowControl/>
              <w:snapToGrid w:val="0"/>
              <w:spacing w:line="360" w:lineRule="auto"/>
              <w:ind w:firstLine="0"/>
              <w:jc w:val="center"/>
              <w:textAlignment w:val="center"/>
              <w:rPr>
                <w:rFonts w:ascii="宋体" w:hAnsi="宋体" w:cs="宋体"/>
                <w:sz w:val="21"/>
                <w:szCs w:val="21"/>
              </w:rPr>
            </w:pPr>
            <w:r>
              <w:rPr>
                <w:rFonts w:ascii="宋体" w:hAnsi="宋体" w:cs="宋体" w:hint="eastAsia"/>
                <w:kern w:val="0"/>
                <w:sz w:val="21"/>
                <w:szCs w:val="21"/>
                <w:lang w:bidi="ar"/>
              </w:rPr>
              <w:t>0.0208</w:t>
            </w:r>
          </w:p>
        </w:tc>
      </w:tr>
      <w:tr w:rsidR="00000000" w14:paraId="663BB944" w14:textId="77777777">
        <w:tc>
          <w:tcPr>
            <w:tcW w:w="2086" w:type="dxa"/>
            <w:vMerge/>
            <w:tcBorders>
              <w:top w:val="nil"/>
              <w:left w:val="nil"/>
              <w:bottom w:val="nil"/>
              <w:right w:val="nil"/>
            </w:tcBorders>
            <w:noWrap/>
            <w:vAlign w:val="center"/>
          </w:tcPr>
          <w:p w14:paraId="5D4744B9" w14:textId="77777777" w:rsidR="00000000" w:rsidRDefault="00000000">
            <w:pPr>
              <w:snapToGrid w:val="0"/>
              <w:spacing w:line="360" w:lineRule="auto"/>
              <w:ind w:firstLine="0"/>
              <w:jc w:val="center"/>
              <w:rPr>
                <w:rFonts w:ascii="宋体" w:hAnsi="宋体" w:cs="宋体"/>
                <w:sz w:val="21"/>
                <w:szCs w:val="21"/>
              </w:rPr>
            </w:pPr>
          </w:p>
        </w:tc>
        <w:tc>
          <w:tcPr>
            <w:tcW w:w="2977" w:type="dxa"/>
            <w:tcBorders>
              <w:top w:val="nil"/>
              <w:left w:val="nil"/>
              <w:bottom w:val="nil"/>
              <w:right w:val="nil"/>
            </w:tcBorders>
            <w:noWrap/>
            <w:vAlign w:val="center"/>
          </w:tcPr>
          <w:p w14:paraId="12246878" w14:textId="77777777" w:rsidR="00000000" w:rsidRDefault="00000000">
            <w:pPr>
              <w:widowControl/>
              <w:snapToGrid w:val="0"/>
              <w:spacing w:line="360" w:lineRule="auto"/>
              <w:ind w:firstLine="0"/>
              <w:jc w:val="center"/>
              <w:textAlignment w:val="center"/>
              <w:rPr>
                <w:rFonts w:ascii="宋体" w:hAnsi="宋体" w:cs="宋体"/>
                <w:sz w:val="21"/>
                <w:szCs w:val="21"/>
              </w:rPr>
            </w:pPr>
            <w:r>
              <w:rPr>
                <w:rFonts w:ascii="宋体" w:hAnsi="宋体" w:cs="宋体" w:hint="eastAsia"/>
                <w:kern w:val="0"/>
                <w:sz w:val="21"/>
                <w:szCs w:val="21"/>
                <w:lang w:bidi="ar"/>
              </w:rPr>
              <w:t>产权比率</w:t>
            </w:r>
          </w:p>
        </w:tc>
        <w:tc>
          <w:tcPr>
            <w:tcW w:w="1784" w:type="dxa"/>
            <w:tcBorders>
              <w:top w:val="nil"/>
              <w:left w:val="nil"/>
              <w:bottom w:val="nil"/>
              <w:right w:val="nil"/>
            </w:tcBorders>
            <w:noWrap/>
            <w:vAlign w:val="center"/>
          </w:tcPr>
          <w:p w14:paraId="19C86F5B" w14:textId="77777777" w:rsidR="00000000" w:rsidRDefault="00000000">
            <w:pPr>
              <w:widowControl/>
              <w:snapToGrid w:val="0"/>
              <w:spacing w:line="360" w:lineRule="auto"/>
              <w:ind w:firstLine="0"/>
              <w:jc w:val="center"/>
              <w:textAlignment w:val="center"/>
              <w:rPr>
                <w:rFonts w:ascii="宋体" w:hAnsi="宋体" w:cs="宋体"/>
                <w:sz w:val="21"/>
                <w:szCs w:val="21"/>
              </w:rPr>
            </w:pPr>
            <w:r>
              <w:rPr>
                <w:rFonts w:ascii="宋体" w:hAnsi="宋体" w:cs="宋体" w:hint="eastAsia"/>
                <w:kern w:val="0"/>
                <w:sz w:val="21"/>
                <w:szCs w:val="21"/>
                <w:lang w:bidi="ar"/>
              </w:rPr>
              <w:t>0.8141</w:t>
            </w:r>
          </w:p>
        </w:tc>
        <w:tc>
          <w:tcPr>
            <w:tcW w:w="1785" w:type="dxa"/>
            <w:tcBorders>
              <w:top w:val="nil"/>
              <w:left w:val="nil"/>
              <w:bottom w:val="nil"/>
              <w:right w:val="nil"/>
            </w:tcBorders>
            <w:noWrap/>
            <w:vAlign w:val="center"/>
          </w:tcPr>
          <w:p w14:paraId="3964AC88" w14:textId="77777777" w:rsidR="00000000" w:rsidRDefault="00000000">
            <w:pPr>
              <w:widowControl/>
              <w:snapToGrid w:val="0"/>
              <w:spacing w:line="360" w:lineRule="auto"/>
              <w:ind w:firstLine="0"/>
              <w:jc w:val="center"/>
              <w:textAlignment w:val="center"/>
              <w:rPr>
                <w:rFonts w:ascii="宋体" w:hAnsi="宋体" w:cs="宋体"/>
                <w:sz w:val="21"/>
                <w:szCs w:val="21"/>
              </w:rPr>
            </w:pPr>
            <w:r>
              <w:rPr>
                <w:rFonts w:ascii="宋体" w:hAnsi="宋体" w:cs="宋体" w:hint="eastAsia"/>
                <w:kern w:val="0"/>
                <w:sz w:val="21"/>
                <w:szCs w:val="21"/>
                <w:lang w:bidi="ar"/>
              </w:rPr>
              <w:t>0.4707</w:t>
            </w:r>
          </w:p>
        </w:tc>
      </w:tr>
      <w:tr w:rsidR="00000000" w14:paraId="0BD1ECCE" w14:textId="77777777">
        <w:tc>
          <w:tcPr>
            <w:tcW w:w="2086" w:type="dxa"/>
            <w:vMerge/>
            <w:tcBorders>
              <w:top w:val="nil"/>
              <w:left w:val="nil"/>
              <w:bottom w:val="nil"/>
              <w:right w:val="nil"/>
            </w:tcBorders>
            <w:noWrap/>
            <w:vAlign w:val="center"/>
          </w:tcPr>
          <w:p w14:paraId="1C3F5A12" w14:textId="77777777" w:rsidR="00000000" w:rsidRDefault="00000000">
            <w:pPr>
              <w:snapToGrid w:val="0"/>
              <w:spacing w:line="360" w:lineRule="auto"/>
              <w:ind w:firstLine="0"/>
              <w:jc w:val="center"/>
              <w:rPr>
                <w:rFonts w:ascii="宋体" w:hAnsi="宋体" w:cs="宋体"/>
                <w:sz w:val="21"/>
                <w:szCs w:val="21"/>
              </w:rPr>
            </w:pPr>
          </w:p>
        </w:tc>
        <w:tc>
          <w:tcPr>
            <w:tcW w:w="2977" w:type="dxa"/>
            <w:tcBorders>
              <w:top w:val="nil"/>
              <w:left w:val="nil"/>
              <w:bottom w:val="nil"/>
              <w:right w:val="nil"/>
            </w:tcBorders>
            <w:noWrap/>
            <w:vAlign w:val="center"/>
          </w:tcPr>
          <w:p w14:paraId="456F1B63" w14:textId="77777777" w:rsidR="00000000" w:rsidRDefault="00000000">
            <w:pPr>
              <w:widowControl/>
              <w:snapToGrid w:val="0"/>
              <w:spacing w:line="360" w:lineRule="auto"/>
              <w:ind w:firstLine="0"/>
              <w:jc w:val="center"/>
              <w:textAlignment w:val="center"/>
              <w:rPr>
                <w:rFonts w:ascii="宋体" w:hAnsi="宋体" w:cs="宋体"/>
                <w:sz w:val="21"/>
                <w:szCs w:val="21"/>
              </w:rPr>
            </w:pPr>
            <w:r>
              <w:rPr>
                <w:rFonts w:ascii="宋体" w:hAnsi="宋体" w:cs="宋体" w:hint="eastAsia"/>
                <w:kern w:val="0"/>
                <w:sz w:val="21"/>
                <w:szCs w:val="21"/>
                <w:lang w:bidi="ar"/>
              </w:rPr>
              <w:t>资产负债率</w:t>
            </w:r>
          </w:p>
        </w:tc>
        <w:tc>
          <w:tcPr>
            <w:tcW w:w="1784" w:type="dxa"/>
            <w:tcBorders>
              <w:top w:val="nil"/>
              <w:left w:val="nil"/>
              <w:bottom w:val="nil"/>
              <w:right w:val="nil"/>
            </w:tcBorders>
            <w:noWrap/>
            <w:vAlign w:val="center"/>
          </w:tcPr>
          <w:p w14:paraId="527A7D4E" w14:textId="77777777" w:rsidR="00000000" w:rsidRDefault="00000000">
            <w:pPr>
              <w:widowControl/>
              <w:snapToGrid w:val="0"/>
              <w:spacing w:line="360" w:lineRule="auto"/>
              <w:ind w:firstLine="0"/>
              <w:jc w:val="center"/>
              <w:textAlignment w:val="center"/>
              <w:rPr>
                <w:rFonts w:ascii="宋体" w:hAnsi="宋体" w:cs="宋体"/>
                <w:sz w:val="21"/>
                <w:szCs w:val="21"/>
              </w:rPr>
            </w:pPr>
            <w:r>
              <w:rPr>
                <w:rFonts w:ascii="宋体" w:hAnsi="宋体" w:cs="宋体" w:hint="eastAsia"/>
                <w:kern w:val="0"/>
                <w:sz w:val="21"/>
                <w:szCs w:val="21"/>
                <w:lang w:bidi="ar"/>
              </w:rPr>
              <w:t>0.8049</w:t>
            </w:r>
          </w:p>
        </w:tc>
        <w:tc>
          <w:tcPr>
            <w:tcW w:w="1785" w:type="dxa"/>
            <w:tcBorders>
              <w:top w:val="nil"/>
              <w:left w:val="nil"/>
              <w:bottom w:val="nil"/>
              <w:right w:val="nil"/>
            </w:tcBorders>
            <w:noWrap/>
            <w:vAlign w:val="center"/>
          </w:tcPr>
          <w:p w14:paraId="4025F918" w14:textId="77777777" w:rsidR="00000000" w:rsidRDefault="00000000">
            <w:pPr>
              <w:widowControl/>
              <w:snapToGrid w:val="0"/>
              <w:spacing w:line="360" w:lineRule="auto"/>
              <w:ind w:firstLine="0"/>
              <w:jc w:val="center"/>
              <w:textAlignment w:val="center"/>
              <w:rPr>
                <w:rFonts w:ascii="宋体" w:hAnsi="宋体" w:cs="宋体"/>
                <w:sz w:val="21"/>
                <w:szCs w:val="21"/>
              </w:rPr>
            </w:pPr>
            <w:r>
              <w:rPr>
                <w:rFonts w:ascii="宋体" w:hAnsi="宋体" w:cs="宋体" w:hint="eastAsia"/>
                <w:kern w:val="0"/>
                <w:sz w:val="21"/>
                <w:szCs w:val="21"/>
                <w:lang w:bidi="ar"/>
              </w:rPr>
              <w:t>0.4940</w:t>
            </w:r>
          </w:p>
        </w:tc>
      </w:tr>
      <w:tr w:rsidR="00000000" w14:paraId="72E4A3D7" w14:textId="77777777">
        <w:tc>
          <w:tcPr>
            <w:tcW w:w="2086" w:type="dxa"/>
            <w:vMerge w:val="restart"/>
            <w:tcBorders>
              <w:top w:val="nil"/>
              <w:left w:val="nil"/>
              <w:bottom w:val="nil"/>
              <w:right w:val="nil"/>
            </w:tcBorders>
            <w:noWrap/>
            <w:vAlign w:val="center"/>
          </w:tcPr>
          <w:p w14:paraId="0F766192" w14:textId="77777777" w:rsidR="00000000" w:rsidRDefault="00000000">
            <w:pPr>
              <w:widowControl/>
              <w:snapToGrid w:val="0"/>
              <w:spacing w:line="360" w:lineRule="auto"/>
              <w:ind w:firstLine="0"/>
              <w:jc w:val="center"/>
              <w:textAlignment w:val="center"/>
              <w:rPr>
                <w:rFonts w:ascii="宋体" w:hAnsi="宋体" w:cs="宋体"/>
                <w:sz w:val="21"/>
                <w:szCs w:val="21"/>
              </w:rPr>
            </w:pPr>
            <w:r>
              <w:rPr>
                <w:rFonts w:ascii="宋体" w:hAnsi="宋体" w:cs="宋体" w:hint="eastAsia"/>
                <w:kern w:val="0"/>
                <w:sz w:val="21"/>
                <w:szCs w:val="21"/>
                <w:lang w:bidi="ar"/>
              </w:rPr>
              <w:t>投资风险</w:t>
            </w:r>
          </w:p>
        </w:tc>
        <w:tc>
          <w:tcPr>
            <w:tcW w:w="2977" w:type="dxa"/>
            <w:tcBorders>
              <w:top w:val="nil"/>
              <w:left w:val="nil"/>
              <w:bottom w:val="nil"/>
              <w:right w:val="nil"/>
            </w:tcBorders>
            <w:noWrap/>
            <w:vAlign w:val="center"/>
          </w:tcPr>
          <w:p w14:paraId="4B89E37F" w14:textId="77777777" w:rsidR="00000000" w:rsidRDefault="00000000">
            <w:pPr>
              <w:widowControl/>
              <w:snapToGrid w:val="0"/>
              <w:spacing w:line="360" w:lineRule="auto"/>
              <w:ind w:firstLine="0"/>
              <w:jc w:val="center"/>
              <w:textAlignment w:val="center"/>
              <w:rPr>
                <w:rFonts w:ascii="宋体" w:hAnsi="宋体" w:cs="宋体"/>
                <w:sz w:val="21"/>
                <w:szCs w:val="21"/>
              </w:rPr>
            </w:pPr>
            <w:r>
              <w:rPr>
                <w:rFonts w:ascii="宋体" w:hAnsi="宋体" w:cs="宋体" w:hint="eastAsia"/>
                <w:kern w:val="0"/>
                <w:sz w:val="21"/>
                <w:szCs w:val="21"/>
                <w:lang w:bidi="ar"/>
              </w:rPr>
              <w:t>销售净利率</w:t>
            </w:r>
          </w:p>
        </w:tc>
        <w:tc>
          <w:tcPr>
            <w:tcW w:w="1784" w:type="dxa"/>
            <w:tcBorders>
              <w:top w:val="nil"/>
              <w:left w:val="nil"/>
              <w:bottom w:val="nil"/>
              <w:right w:val="nil"/>
            </w:tcBorders>
            <w:noWrap/>
            <w:vAlign w:val="center"/>
          </w:tcPr>
          <w:p w14:paraId="03E96797" w14:textId="77777777" w:rsidR="00000000" w:rsidRDefault="00000000">
            <w:pPr>
              <w:widowControl/>
              <w:snapToGrid w:val="0"/>
              <w:spacing w:line="360" w:lineRule="auto"/>
              <w:ind w:firstLine="0"/>
              <w:jc w:val="center"/>
              <w:textAlignment w:val="center"/>
              <w:rPr>
                <w:rFonts w:ascii="宋体" w:hAnsi="宋体" w:cs="宋体"/>
                <w:sz w:val="21"/>
                <w:szCs w:val="21"/>
              </w:rPr>
            </w:pPr>
            <w:r>
              <w:rPr>
                <w:rFonts w:ascii="宋体" w:hAnsi="宋体" w:cs="宋体" w:hint="eastAsia"/>
                <w:kern w:val="0"/>
                <w:sz w:val="21"/>
                <w:szCs w:val="21"/>
                <w:lang w:bidi="ar"/>
              </w:rPr>
              <w:t>0.8000</w:t>
            </w:r>
          </w:p>
        </w:tc>
        <w:tc>
          <w:tcPr>
            <w:tcW w:w="1785" w:type="dxa"/>
            <w:tcBorders>
              <w:top w:val="nil"/>
              <w:left w:val="nil"/>
              <w:bottom w:val="nil"/>
              <w:right w:val="nil"/>
            </w:tcBorders>
            <w:noWrap/>
            <w:vAlign w:val="center"/>
          </w:tcPr>
          <w:p w14:paraId="2C37C746" w14:textId="77777777" w:rsidR="00000000" w:rsidRDefault="00000000">
            <w:pPr>
              <w:widowControl/>
              <w:snapToGrid w:val="0"/>
              <w:spacing w:line="360" w:lineRule="auto"/>
              <w:ind w:firstLine="0"/>
              <w:jc w:val="center"/>
              <w:textAlignment w:val="center"/>
              <w:rPr>
                <w:rFonts w:ascii="宋体" w:hAnsi="宋体" w:cs="宋体"/>
                <w:sz w:val="21"/>
                <w:szCs w:val="21"/>
              </w:rPr>
            </w:pPr>
            <w:r>
              <w:rPr>
                <w:rFonts w:ascii="宋体" w:hAnsi="宋体" w:cs="宋体" w:hint="eastAsia"/>
                <w:kern w:val="0"/>
                <w:sz w:val="21"/>
                <w:szCs w:val="21"/>
                <w:lang w:bidi="ar"/>
              </w:rPr>
              <w:t>0.0800</w:t>
            </w:r>
          </w:p>
        </w:tc>
      </w:tr>
      <w:tr w:rsidR="00000000" w14:paraId="65C6A832" w14:textId="77777777">
        <w:tc>
          <w:tcPr>
            <w:tcW w:w="2086" w:type="dxa"/>
            <w:vMerge/>
            <w:tcBorders>
              <w:top w:val="nil"/>
              <w:left w:val="nil"/>
              <w:bottom w:val="nil"/>
              <w:right w:val="nil"/>
            </w:tcBorders>
            <w:noWrap/>
            <w:vAlign w:val="center"/>
          </w:tcPr>
          <w:p w14:paraId="486E6006" w14:textId="77777777" w:rsidR="00000000" w:rsidRDefault="00000000">
            <w:pPr>
              <w:snapToGrid w:val="0"/>
              <w:spacing w:line="360" w:lineRule="auto"/>
              <w:ind w:firstLine="0"/>
              <w:jc w:val="center"/>
              <w:rPr>
                <w:rFonts w:ascii="宋体" w:hAnsi="宋体" w:cs="宋体"/>
                <w:sz w:val="21"/>
                <w:szCs w:val="21"/>
              </w:rPr>
            </w:pPr>
          </w:p>
        </w:tc>
        <w:tc>
          <w:tcPr>
            <w:tcW w:w="2977" w:type="dxa"/>
            <w:tcBorders>
              <w:top w:val="nil"/>
              <w:left w:val="nil"/>
              <w:bottom w:val="nil"/>
              <w:right w:val="nil"/>
            </w:tcBorders>
            <w:noWrap/>
            <w:vAlign w:val="center"/>
          </w:tcPr>
          <w:p w14:paraId="4D6695D4" w14:textId="77777777" w:rsidR="00000000" w:rsidRDefault="00000000">
            <w:pPr>
              <w:widowControl/>
              <w:snapToGrid w:val="0"/>
              <w:spacing w:line="360" w:lineRule="auto"/>
              <w:ind w:firstLine="0"/>
              <w:jc w:val="center"/>
              <w:textAlignment w:val="center"/>
              <w:rPr>
                <w:rFonts w:ascii="宋体" w:hAnsi="宋体" w:cs="宋体"/>
                <w:sz w:val="21"/>
                <w:szCs w:val="21"/>
              </w:rPr>
            </w:pPr>
            <w:r>
              <w:rPr>
                <w:rFonts w:ascii="宋体" w:hAnsi="宋体" w:cs="宋体" w:hint="eastAsia"/>
                <w:kern w:val="0"/>
                <w:sz w:val="21"/>
                <w:szCs w:val="21"/>
                <w:lang w:bidi="ar"/>
              </w:rPr>
              <w:t>净资产收益率</w:t>
            </w:r>
          </w:p>
        </w:tc>
        <w:tc>
          <w:tcPr>
            <w:tcW w:w="1784" w:type="dxa"/>
            <w:tcBorders>
              <w:top w:val="nil"/>
              <w:left w:val="nil"/>
              <w:bottom w:val="nil"/>
              <w:right w:val="nil"/>
            </w:tcBorders>
            <w:noWrap/>
            <w:vAlign w:val="center"/>
          </w:tcPr>
          <w:p w14:paraId="738EC313" w14:textId="77777777" w:rsidR="00000000" w:rsidRDefault="00000000">
            <w:pPr>
              <w:widowControl/>
              <w:snapToGrid w:val="0"/>
              <w:spacing w:line="360" w:lineRule="auto"/>
              <w:ind w:firstLine="0"/>
              <w:jc w:val="center"/>
              <w:textAlignment w:val="center"/>
              <w:rPr>
                <w:rFonts w:ascii="宋体" w:hAnsi="宋体" w:cs="宋体"/>
                <w:sz w:val="21"/>
                <w:szCs w:val="21"/>
              </w:rPr>
            </w:pPr>
            <w:r>
              <w:rPr>
                <w:rFonts w:ascii="宋体" w:hAnsi="宋体" w:cs="宋体" w:hint="eastAsia"/>
                <w:kern w:val="0"/>
                <w:sz w:val="21"/>
                <w:szCs w:val="21"/>
                <w:lang w:bidi="ar"/>
              </w:rPr>
              <w:t>0.8511</w:t>
            </w:r>
          </w:p>
        </w:tc>
        <w:tc>
          <w:tcPr>
            <w:tcW w:w="1785" w:type="dxa"/>
            <w:tcBorders>
              <w:top w:val="nil"/>
              <w:left w:val="nil"/>
              <w:bottom w:val="nil"/>
              <w:right w:val="nil"/>
            </w:tcBorders>
            <w:noWrap/>
            <w:vAlign w:val="center"/>
          </w:tcPr>
          <w:p w14:paraId="46DEA0AB" w14:textId="77777777" w:rsidR="00000000" w:rsidRDefault="00000000">
            <w:pPr>
              <w:widowControl/>
              <w:snapToGrid w:val="0"/>
              <w:spacing w:line="360" w:lineRule="auto"/>
              <w:ind w:firstLine="0"/>
              <w:jc w:val="center"/>
              <w:textAlignment w:val="center"/>
              <w:rPr>
                <w:rFonts w:ascii="宋体" w:hAnsi="宋体" w:cs="宋体"/>
                <w:sz w:val="21"/>
                <w:szCs w:val="21"/>
              </w:rPr>
            </w:pPr>
            <w:r>
              <w:rPr>
                <w:rFonts w:ascii="宋体" w:hAnsi="宋体" w:cs="宋体" w:hint="eastAsia"/>
                <w:kern w:val="0"/>
                <w:sz w:val="21"/>
                <w:szCs w:val="21"/>
                <w:lang w:bidi="ar"/>
              </w:rPr>
              <w:t>0.0595</w:t>
            </w:r>
          </w:p>
        </w:tc>
      </w:tr>
      <w:tr w:rsidR="00000000" w14:paraId="4662CDF8" w14:textId="77777777">
        <w:tc>
          <w:tcPr>
            <w:tcW w:w="2086" w:type="dxa"/>
            <w:vMerge/>
            <w:tcBorders>
              <w:top w:val="nil"/>
              <w:left w:val="nil"/>
              <w:bottom w:val="nil"/>
              <w:right w:val="nil"/>
            </w:tcBorders>
            <w:noWrap/>
            <w:vAlign w:val="center"/>
          </w:tcPr>
          <w:p w14:paraId="112F6B78" w14:textId="77777777" w:rsidR="00000000" w:rsidRDefault="00000000">
            <w:pPr>
              <w:snapToGrid w:val="0"/>
              <w:spacing w:line="360" w:lineRule="auto"/>
              <w:ind w:firstLine="0"/>
              <w:jc w:val="center"/>
              <w:rPr>
                <w:rFonts w:ascii="宋体" w:hAnsi="宋体" w:cs="宋体"/>
                <w:sz w:val="21"/>
                <w:szCs w:val="21"/>
              </w:rPr>
            </w:pPr>
          </w:p>
        </w:tc>
        <w:tc>
          <w:tcPr>
            <w:tcW w:w="2977" w:type="dxa"/>
            <w:tcBorders>
              <w:top w:val="nil"/>
              <w:left w:val="nil"/>
              <w:bottom w:val="nil"/>
              <w:right w:val="nil"/>
            </w:tcBorders>
            <w:noWrap/>
            <w:vAlign w:val="center"/>
          </w:tcPr>
          <w:p w14:paraId="633AA43F" w14:textId="77777777" w:rsidR="00000000" w:rsidRDefault="00000000">
            <w:pPr>
              <w:widowControl/>
              <w:snapToGrid w:val="0"/>
              <w:spacing w:line="360" w:lineRule="auto"/>
              <w:ind w:firstLine="0"/>
              <w:jc w:val="center"/>
              <w:textAlignment w:val="center"/>
              <w:rPr>
                <w:rFonts w:ascii="宋体" w:hAnsi="宋体" w:cs="宋体"/>
                <w:sz w:val="21"/>
                <w:szCs w:val="21"/>
              </w:rPr>
            </w:pPr>
            <w:r>
              <w:rPr>
                <w:rFonts w:ascii="宋体" w:hAnsi="宋体" w:cs="宋体" w:hint="eastAsia"/>
                <w:kern w:val="0"/>
                <w:sz w:val="21"/>
                <w:szCs w:val="21"/>
                <w:lang w:bidi="ar"/>
              </w:rPr>
              <w:t>成本费用利润率</w:t>
            </w:r>
          </w:p>
        </w:tc>
        <w:tc>
          <w:tcPr>
            <w:tcW w:w="1784" w:type="dxa"/>
            <w:tcBorders>
              <w:top w:val="nil"/>
              <w:left w:val="nil"/>
              <w:bottom w:val="nil"/>
              <w:right w:val="nil"/>
            </w:tcBorders>
            <w:noWrap/>
            <w:vAlign w:val="center"/>
          </w:tcPr>
          <w:p w14:paraId="5BBBF3EE" w14:textId="77777777" w:rsidR="00000000" w:rsidRDefault="00000000">
            <w:pPr>
              <w:widowControl/>
              <w:snapToGrid w:val="0"/>
              <w:spacing w:line="360" w:lineRule="auto"/>
              <w:ind w:firstLine="0"/>
              <w:jc w:val="center"/>
              <w:textAlignment w:val="center"/>
              <w:rPr>
                <w:rFonts w:ascii="宋体" w:hAnsi="宋体" w:cs="宋体"/>
                <w:sz w:val="21"/>
                <w:szCs w:val="21"/>
              </w:rPr>
            </w:pPr>
            <w:r>
              <w:rPr>
                <w:rFonts w:ascii="宋体" w:hAnsi="宋体" w:cs="宋体" w:hint="eastAsia"/>
                <w:kern w:val="0"/>
                <w:sz w:val="21"/>
                <w:szCs w:val="21"/>
                <w:lang w:bidi="ar"/>
              </w:rPr>
              <w:t>0.7825</w:t>
            </w:r>
          </w:p>
        </w:tc>
        <w:tc>
          <w:tcPr>
            <w:tcW w:w="1785" w:type="dxa"/>
            <w:tcBorders>
              <w:top w:val="nil"/>
              <w:left w:val="nil"/>
              <w:bottom w:val="nil"/>
              <w:right w:val="nil"/>
            </w:tcBorders>
            <w:noWrap/>
            <w:vAlign w:val="center"/>
          </w:tcPr>
          <w:p w14:paraId="5489D2A4" w14:textId="77777777" w:rsidR="00000000" w:rsidRDefault="00000000">
            <w:pPr>
              <w:widowControl/>
              <w:snapToGrid w:val="0"/>
              <w:spacing w:line="360" w:lineRule="auto"/>
              <w:ind w:firstLine="0"/>
              <w:jc w:val="center"/>
              <w:textAlignment w:val="center"/>
              <w:rPr>
                <w:rFonts w:ascii="宋体" w:hAnsi="宋体" w:cs="宋体"/>
                <w:sz w:val="21"/>
                <w:szCs w:val="21"/>
              </w:rPr>
            </w:pPr>
            <w:r>
              <w:rPr>
                <w:rFonts w:ascii="宋体" w:hAnsi="宋体" w:cs="宋体" w:hint="eastAsia"/>
                <w:sz w:val="21"/>
                <w:szCs w:val="21"/>
              </w:rPr>
              <w:t>0.0870</w:t>
            </w:r>
          </w:p>
        </w:tc>
      </w:tr>
      <w:tr w:rsidR="00000000" w14:paraId="7B6901E6" w14:textId="77777777">
        <w:tc>
          <w:tcPr>
            <w:tcW w:w="2086" w:type="dxa"/>
            <w:vMerge/>
            <w:tcBorders>
              <w:top w:val="nil"/>
              <w:left w:val="nil"/>
              <w:bottom w:val="nil"/>
              <w:right w:val="nil"/>
            </w:tcBorders>
            <w:noWrap/>
            <w:vAlign w:val="center"/>
          </w:tcPr>
          <w:p w14:paraId="57848E9D" w14:textId="77777777" w:rsidR="00000000" w:rsidRDefault="00000000">
            <w:pPr>
              <w:snapToGrid w:val="0"/>
              <w:spacing w:line="360" w:lineRule="auto"/>
              <w:ind w:firstLine="0"/>
              <w:jc w:val="center"/>
              <w:rPr>
                <w:rFonts w:ascii="宋体" w:hAnsi="宋体" w:cs="宋体"/>
                <w:sz w:val="21"/>
                <w:szCs w:val="21"/>
              </w:rPr>
            </w:pPr>
          </w:p>
        </w:tc>
        <w:tc>
          <w:tcPr>
            <w:tcW w:w="2977" w:type="dxa"/>
            <w:tcBorders>
              <w:top w:val="nil"/>
              <w:left w:val="nil"/>
              <w:bottom w:val="nil"/>
              <w:right w:val="nil"/>
            </w:tcBorders>
            <w:noWrap/>
            <w:vAlign w:val="center"/>
          </w:tcPr>
          <w:p w14:paraId="13600FFA" w14:textId="77777777" w:rsidR="00000000" w:rsidRDefault="00000000">
            <w:pPr>
              <w:widowControl/>
              <w:snapToGrid w:val="0"/>
              <w:spacing w:line="360" w:lineRule="auto"/>
              <w:ind w:firstLine="0"/>
              <w:jc w:val="center"/>
              <w:textAlignment w:val="center"/>
              <w:rPr>
                <w:rFonts w:ascii="宋体" w:hAnsi="宋体" w:cs="宋体"/>
                <w:sz w:val="21"/>
                <w:szCs w:val="21"/>
              </w:rPr>
            </w:pPr>
            <w:r>
              <w:rPr>
                <w:rFonts w:ascii="宋体" w:hAnsi="宋体" w:cs="宋体" w:hint="eastAsia"/>
                <w:kern w:val="0"/>
                <w:sz w:val="21"/>
                <w:szCs w:val="21"/>
                <w:lang w:bidi="ar"/>
              </w:rPr>
              <w:t>投入资本回报率</w:t>
            </w:r>
          </w:p>
        </w:tc>
        <w:tc>
          <w:tcPr>
            <w:tcW w:w="1784" w:type="dxa"/>
            <w:tcBorders>
              <w:top w:val="nil"/>
              <w:left w:val="nil"/>
              <w:bottom w:val="nil"/>
              <w:right w:val="nil"/>
            </w:tcBorders>
            <w:noWrap/>
            <w:vAlign w:val="center"/>
          </w:tcPr>
          <w:p w14:paraId="6751B5B8" w14:textId="77777777" w:rsidR="00000000" w:rsidRDefault="00000000">
            <w:pPr>
              <w:widowControl/>
              <w:snapToGrid w:val="0"/>
              <w:spacing w:line="360" w:lineRule="auto"/>
              <w:ind w:firstLine="0"/>
              <w:jc w:val="center"/>
              <w:textAlignment w:val="center"/>
              <w:rPr>
                <w:rFonts w:ascii="宋体" w:hAnsi="宋体" w:cs="宋体"/>
                <w:sz w:val="21"/>
                <w:szCs w:val="21"/>
              </w:rPr>
            </w:pPr>
            <w:r>
              <w:rPr>
                <w:rFonts w:ascii="宋体" w:hAnsi="宋体" w:cs="宋体" w:hint="eastAsia"/>
                <w:kern w:val="0"/>
                <w:sz w:val="21"/>
                <w:szCs w:val="21"/>
                <w:lang w:bidi="ar"/>
              </w:rPr>
              <w:t>0.8125</w:t>
            </w:r>
          </w:p>
        </w:tc>
        <w:tc>
          <w:tcPr>
            <w:tcW w:w="1785" w:type="dxa"/>
            <w:tcBorders>
              <w:top w:val="nil"/>
              <w:left w:val="nil"/>
              <w:bottom w:val="nil"/>
              <w:right w:val="nil"/>
            </w:tcBorders>
            <w:noWrap/>
            <w:vAlign w:val="center"/>
          </w:tcPr>
          <w:p w14:paraId="44B5541F" w14:textId="77777777" w:rsidR="00000000" w:rsidRDefault="00000000">
            <w:pPr>
              <w:widowControl/>
              <w:snapToGrid w:val="0"/>
              <w:spacing w:line="360" w:lineRule="auto"/>
              <w:ind w:firstLine="0"/>
              <w:jc w:val="center"/>
              <w:textAlignment w:val="center"/>
              <w:rPr>
                <w:rFonts w:ascii="宋体" w:hAnsi="宋体" w:cs="宋体"/>
                <w:sz w:val="21"/>
                <w:szCs w:val="21"/>
              </w:rPr>
            </w:pPr>
            <w:r>
              <w:rPr>
                <w:rFonts w:ascii="宋体" w:hAnsi="宋体" w:cs="宋体" w:hint="eastAsia"/>
                <w:kern w:val="0"/>
                <w:sz w:val="21"/>
                <w:szCs w:val="21"/>
                <w:lang w:bidi="ar"/>
              </w:rPr>
              <w:t>0.0750</w:t>
            </w:r>
          </w:p>
        </w:tc>
      </w:tr>
      <w:tr w:rsidR="00000000" w14:paraId="71BB5DFA" w14:textId="77777777">
        <w:tc>
          <w:tcPr>
            <w:tcW w:w="2086" w:type="dxa"/>
            <w:vMerge w:val="restart"/>
            <w:tcBorders>
              <w:top w:val="nil"/>
              <w:left w:val="nil"/>
              <w:bottom w:val="nil"/>
              <w:right w:val="nil"/>
            </w:tcBorders>
            <w:noWrap/>
            <w:vAlign w:val="center"/>
          </w:tcPr>
          <w:p w14:paraId="067AD031" w14:textId="77777777" w:rsidR="00000000" w:rsidRDefault="00000000">
            <w:pPr>
              <w:widowControl/>
              <w:snapToGrid w:val="0"/>
              <w:spacing w:line="360" w:lineRule="auto"/>
              <w:ind w:firstLine="0"/>
              <w:jc w:val="center"/>
              <w:textAlignment w:val="center"/>
              <w:rPr>
                <w:rFonts w:ascii="宋体" w:hAnsi="宋体" w:cs="宋体"/>
                <w:sz w:val="21"/>
                <w:szCs w:val="21"/>
              </w:rPr>
            </w:pPr>
            <w:r>
              <w:rPr>
                <w:rFonts w:ascii="宋体" w:hAnsi="宋体" w:cs="宋体" w:hint="eastAsia"/>
                <w:kern w:val="0"/>
                <w:sz w:val="21"/>
                <w:szCs w:val="21"/>
                <w:lang w:bidi="ar"/>
              </w:rPr>
              <w:t>营业风险</w:t>
            </w:r>
          </w:p>
        </w:tc>
        <w:tc>
          <w:tcPr>
            <w:tcW w:w="2977" w:type="dxa"/>
            <w:tcBorders>
              <w:top w:val="nil"/>
              <w:left w:val="nil"/>
              <w:bottom w:val="nil"/>
              <w:right w:val="nil"/>
            </w:tcBorders>
            <w:noWrap/>
            <w:vAlign w:val="center"/>
          </w:tcPr>
          <w:p w14:paraId="30919030" w14:textId="77777777" w:rsidR="00000000" w:rsidRDefault="00000000">
            <w:pPr>
              <w:widowControl/>
              <w:snapToGrid w:val="0"/>
              <w:spacing w:line="360" w:lineRule="auto"/>
              <w:ind w:firstLine="0"/>
              <w:jc w:val="center"/>
              <w:textAlignment w:val="center"/>
              <w:rPr>
                <w:rFonts w:ascii="宋体" w:hAnsi="宋体" w:cs="宋体"/>
                <w:sz w:val="21"/>
                <w:szCs w:val="21"/>
              </w:rPr>
            </w:pPr>
            <w:r>
              <w:rPr>
                <w:rFonts w:ascii="宋体" w:hAnsi="宋体" w:cs="宋体" w:hint="eastAsia"/>
                <w:kern w:val="0"/>
                <w:sz w:val="21"/>
                <w:szCs w:val="21"/>
                <w:lang w:bidi="ar"/>
              </w:rPr>
              <w:t>存货周转率</w:t>
            </w:r>
          </w:p>
        </w:tc>
        <w:tc>
          <w:tcPr>
            <w:tcW w:w="1784" w:type="dxa"/>
            <w:tcBorders>
              <w:top w:val="nil"/>
              <w:left w:val="nil"/>
              <w:bottom w:val="nil"/>
              <w:right w:val="nil"/>
            </w:tcBorders>
            <w:noWrap/>
            <w:vAlign w:val="center"/>
          </w:tcPr>
          <w:p w14:paraId="5B55579B" w14:textId="77777777" w:rsidR="00000000" w:rsidRDefault="00000000">
            <w:pPr>
              <w:widowControl/>
              <w:snapToGrid w:val="0"/>
              <w:spacing w:line="360" w:lineRule="auto"/>
              <w:ind w:firstLine="0"/>
              <w:jc w:val="center"/>
              <w:textAlignment w:val="center"/>
              <w:rPr>
                <w:rFonts w:ascii="宋体" w:hAnsi="宋体" w:cs="宋体"/>
                <w:sz w:val="21"/>
                <w:szCs w:val="21"/>
              </w:rPr>
            </w:pPr>
            <w:r>
              <w:rPr>
                <w:rFonts w:ascii="宋体" w:hAnsi="宋体" w:cs="宋体" w:hint="eastAsia"/>
                <w:kern w:val="0"/>
                <w:sz w:val="21"/>
                <w:szCs w:val="21"/>
                <w:lang w:bidi="ar"/>
              </w:rPr>
              <w:t>0.7965</w:t>
            </w:r>
          </w:p>
        </w:tc>
        <w:tc>
          <w:tcPr>
            <w:tcW w:w="1785" w:type="dxa"/>
            <w:tcBorders>
              <w:top w:val="nil"/>
              <w:left w:val="nil"/>
              <w:bottom w:val="nil"/>
              <w:right w:val="nil"/>
            </w:tcBorders>
            <w:noWrap/>
            <w:vAlign w:val="center"/>
          </w:tcPr>
          <w:p w14:paraId="740EAACD" w14:textId="77777777" w:rsidR="00000000" w:rsidRDefault="00000000">
            <w:pPr>
              <w:widowControl/>
              <w:snapToGrid w:val="0"/>
              <w:spacing w:line="360" w:lineRule="auto"/>
              <w:ind w:firstLine="0"/>
              <w:jc w:val="center"/>
              <w:textAlignment w:val="center"/>
              <w:rPr>
                <w:rFonts w:ascii="宋体" w:hAnsi="宋体" w:cs="宋体"/>
                <w:sz w:val="21"/>
                <w:szCs w:val="21"/>
              </w:rPr>
            </w:pPr>
            <w:r>
              <w:rPr>
                <w:rFonts w:ascii="宋体" w:hAnsi="宋体" w:cs="宋体" w:hint="eastAsia"/>
                <w:kern w:val="0"/>
                <w:sz w:val="21"/>
                <w:szCs w:val="21"/>
                <w:lang w:bidi="ar"/>
              </w:rPr>
              <w:t>0.0814</w:t>
            </w:r>
          </w:p>
        </w:tc>
      </w:tr>
      <w:tr w:rsidR="00000000" w14:paraId="56ED89F1" w14:textId="77777777">
        <w:tc>
          <w:tcPr>
            <w:tcW w:w="2086" w:type="dxa"/>
            <w:vMerge/>
            <w:tcBorders>
              <w:top w:val="nil"/>
              <w:left w:val="nil"/>
              <w:bottom w:val="nil"/>
              <w:right w:val="nil"/>
            </w:tcBorders>
            <w:noWrap/>
            <w:vAlign w:val="center"/>
          </w:tcPr>
          <w:p w14:paraId="3C11220D" w14:textId="77777777" w:rsidR="00000000" w:rsidRDefault="00000000">
            <w:pPr>
              <w:snapToGrid w:val="0"/>
              <w:spacing w:line="360" w:lineRule="auto"/>
              <w:ind w:firstLine="0"/>
              <w:jc w:val="center"/>
              <w:rPr>
                <w:rFonts w:ascii="宋体" w:hAnsi="宋体" w:cs="宋体"/>
                <w:sz w:val="21"/>
                <w:szCs w:val="21"/>
              </w:rPr>
            </w:pPr>
          </w:p>
        </w:tc>
        <w:tc>
          <w:tcPr>
            <w:tcW w:w="2977" w:type="dxa"/>
            <w:tcBorders>
              <w:top w:val="nil"/>
              <w:left w:val="nil"/>
              <w:bottom w:val="nil"/>
              <w:right w:val="nil"/>
            </w:tcBorders>
            <w:noWrap/>
            <w:vAlign w:val="center"/>
          </w:tcPr>
          <w:p w14:paraId="78542BA7" w14:textId="77777777" w:rsidR="00000000" w:rsidRDefault="00000000">
            <w:pPr>
              <w:widowControl/>
              <w:snapToGrid w:val="0"/>
              <w:spacing w:line="360" w:lineRule="auto"/>
              <w:ind w:firstLine="0"/>
              <w:jc w:val="center"/>
              <w:textAlignment w:val="center"/>
              <w:rPr>
                <w:rFonts w:ascii="宋体" w:hAnsi="宋体" w:cs="宋体"/>
                <w:sz w:val="21"/>
                <w:szCs w:val="21"/>
              </w:rPr>
            </w:pPr>
            <w:r>
              <w:rPr>
                <w:rFonts w:ascii="宋体" w:hAnsi="宋体" w:cs="宋体" w:hint="eastAsia"/>
                <w:kern w:val="0"/>
                <w:sz w:val="21"/>
                <w:szCs w:val="21"/>
                <w:lang w:bidi="ar"/>
              </w:rPr>
              <w:t>应收账款周转率</w:t>
            </w:r>
          </w:p>
        </w:tc>
        <w:tc>
          <w:tcPr>
            <w:tcW w:w="1784" w:type="dxa"/>
            <w:tcBorders>
              <w:top w:val="nil"/>
              <w:left w:val="nil"/>
              <w:bottom w:val="nil"/>
              <w:right w:val="nil"/>
            </w:tcBorders>
            <w:noWrap/>
            <w:vAlign w:val="center"/>
          </w:tcPr>
          <w:p w14:paraId="501BAB31" w14:textId="77777777" w:rsidR="00000000" w:rsidRDefault="00000000">
            <w:pPr>
              <w:widowControl/>
              <w:snapToGrid w:val="0"/>
              <w:spacing w:line="360" w:lineRule="auto"/>
              <w:ind w:firstLine="0"/>
              <w:jc w:val="center"/>
              <w:textAlignment w:val="center"/>
              <w:rPr>
                <w:rFonts w:ascii="宋体" w:hAnsi="宋体" w:cs="宋体"/>
                <w:sz w:val="21"/>
                <w:szCs w:val="21"/>
              </w:rPr>
            </w:pPr>
            <w:r>
              <w:rPr>
                <w:rFonts w:ascii="宋体" w:hAnsi="宋体" w:cs="宋体" w:hint="eastAsia"/>
                <w:kern w:val="0"/>
                <w:sz w:val="21"/>
                <w:szCs w:val="21"/>
                <w:lang w:bidi="ar"/>
              </w:rPr>
              <w:t>0.7736</w:t>
            </w:r>
          </w:p>
        </w:tc>
        <w:tc>
          <w:tcPr>
            <w:tcW w:w="1785" w:type="dxa"/>
            <w:tcBorders>
              <w:top w:val="nil"/>
              <w:left w:val="nil"/>
              <w:bottom w:val="nil"/>
              <w:right w:val="nil"/>
            </w:tcBorders>
            <w:noWrap/>
            <w:vAlign w:val="center"/>
          </w:tcPr>
          <w:p w14:paraId="508344A7" w14:textId="77777777" w:rsidR="00000000" w:rsidRDefault="00000000">
            <w:pPr>
              <w:widowControl/>
              <w:snapToGrid w:val="0"/>
              <w:spacing w:line="360" w:lineRule="auto"/>
              <w:ind w:firstLine="0"/>
              <w:jc w:val="center"/>
              <w:textAlignment w:val="center"/>
              <w:rPr>
                <w:rFonts w:ascii="宋体" w:hAnsi="宋体" w:cs="宋体"/>
                <w:sz w:val="21"/>
                <w:szCs w:val="21"/>
              </w:rPr>
            </w:pPr>
            <w:r>
              <w:rPr>
                <w:rFonts w:ascii="宋体" w:hAnsi="宋体" w:cs="宋体" w:hint="eastAsia"/>
                <w:kern w:val="0"/>
                <w:sz w:val="21"/>
                <w:szCs w:val="21"/>
                <w:lang w:bidi="ar"/>
              </w:rPr>
              <w:t>0.0905</w:t>
            </w:r>
          </w:p>
        </w:tc>
      </w:tr>
      <w:tr w:rsidR="00000000" w14:paraId="62670F8C" w14:textId="77777777">
        <w:tc>
          <w:tcPr>
            <w:tcW w:w="2086" w:type="dxa"/>
            <w:vMerge/>
            <w:tcBorders>
              <w:top w:val="nil"/>
              <w:left w:val="nil"/>
              <w:bottom w:val="nil"/>
              <w:right w:val="nil"/>
            </w:tcBorders>
            <w:noWrap/>
            <w:vAlign w:val="center"/>
          </w:tcPr>
          <w:p w14:paraId="71D1C321" w14:textId="77777777" w:rsidR="00000000" w:rsidRDefault="00000000">
            <w:pPr>
              <w:snapToGrid w:val="0"/>
              <w:spacing w:line="360" w:lineRule="auto"/>
              <w:ind w:firstLine="0"/>
              <w:jc w:val="center"/>
              <w:rPr>
                <w:rFonts w:ascii="宋体" w:hAnsi="宋体" w:cs="宋体"/>
                <w:sz w:val="21"/>
                <w:szCs w:val="21"/>
              </w:rPr>
            </w:pPr>
          </w:p>
        </w:tc>
        <w:tc>
          <w:tcPr>
            <w:tcW w:w="2977" w:type="dxa"/>
            <w:tcBorders>
              <w:top w:val="nil"/>
              <w:left w:val="nil"/>
              <w:bottom w:val="nil"/>
              <w:right w:val="nil"/>
            </w:tcBorders>
            <w:noWrap/>
            <w:vAlign w:val="center"/>
          </w:tcPr>
          <w:p w14:paraId="1737CE5D" w14:textId="77777777" w:rsidR="00000000" w:rsidRDefault="00000000">
            <w:pPr>
              <w:widowControl/>
              <w:snapToGrid w:val="0"/>
              <w:spacing w:line="360" w:lineRule="auto"/>
              <w:ind w:firstLine="0"/>
              <w:jc w:val="center"/>
              <w:textAlignment w:val="center"/>
              <w:rPr>
                <w:rFonts w:ascii="宋体" w:hAnsi="宋体" w:cs="宋体"/>
                <w:sz w:val="21"/>
                <w:szCs w:val="21"/>
              </w:rPr>
            </w:pPr>
            <w:r>
              <w:rPr>
                <w:rFonts w:ascii="宋体" w:hAnsi="宋体" w:cs="宋体" w:hint="eastAsia"/>
                <w:kern w:val="0"/>
                <w:sz w:val="21"/>
                <w:szCs w:val="21"/>
                <w:lang w:bidi="ar"/>
              </w:rPr>
              <w:t>流动资产周转率</w:t>
            </w:r>
          </w:p>
        </w:tc>
        <w:tc>
          <w:tcPr>
            <w:tcW w:w="1784" w:type="dxa"/>
            <w:tcBorders>
              <w:top w:val="nil"/>
              <w:left w:val="nil"/>
              <w:bottom w:val="nil"/>
              <w:right w:val="nil"/>
            </w:tcBorders>
            <w:noWrap/>
            <w:vAlign w:val="center"/>
          </w:tcPr>
          <w:p w14:paraId="52F4858C" w14:textId="77777777" w:rsidR="00000000" w:rsidRDefault="00000000">
            <w:pPr>
              <w:widowControl/>
              <w:snapToGrid w:val="0"/>
              <w:spacing w:line="360" w:lineRule="auto"/>
              <w:ind w:firstLine="0"/>
              <w:jc w:val="center"/>
              <w:textAlignment w:val="center"/>
              <w:rPr>
                <w:rFonts w:ascii="宋体" w:hAnsi="宋体" w:cs="宋体"/>
                <w:sz w:val="21"/>
                <w:szCs w:val="21"/>
              </w:rPr>
            </w:pPr>
            <w:r>
              <w:rPr>
                <w:rFonts w:ascii="宋体" w:hAnsi="宋体" w:cs="宋体" w:hint="eastAsia"/>
                <w:kern w:val="0"/>
                <w:sz w:val="21"/>
                <w:szCs w:val="21"/>
                <w:lang w:bidi="ar"/>
              </w:rPr>
              <w:t>0.8555</w:t>
            </w:r>
          </w:p>
        </w:tc>
        <w:tc>
          <w:tcPr>
            <w:tcW w:w="1785" w:type="dxa"/>
            <w:tcBorders>
              <w:top w:val="nil"/>
              <w:left w:val="nil"/>
              <w:bottom w:val="nil"/>
              <w:right w:val="nil"/>
            </w:tcBorders>
            <w:noWrap/>
            <w:vAlign w:val="center"/>
          </w:tcPr>
          <w:p w14:paraId="09B43BCE" w14:textId="77777777" w:rsidR="00000000" w:rsidRDefault="00000000">
            <w:pPr>
              <w:widowControl/>
              <w:snapToGrid w:val="0"/>
              <w:spacing w:line="360" w:lineRule="auto"/>
              <w:ind w:firstLine="0"/>
              <w:jc w:val="center"/>
              <w:textAlignment w:val="center"/>
              <w:rPr>
                <w:rFonts w:ascii="宋体" w:hAnsi="宋体" w:cs="宋体"/>
                <w:sz w:val="21"/>
                <w:szCs w:val="21"/>
              </w:rPr>
            </w:pPr>
            <w:r>
              <w:rPr>
                <w:rFonts w:ascii="宋体" w:hAnsi="宋体" w:cs="宋体" w:hint="eastAsia"/>
                <w:kern w:val="0"/>
                <w:sz w:val="21"/>
                <w:szCs w:val="21"/>
                <w:lang w:bidi="ar"/>
              </w:rPr>
              <w:t>0.0578</w:t>
            </w:r>
          </w:p>
        </w:tc>
      </w:tr>
      <w:tr w:rsidR="00000000" w14:paraId="0BF4944C" w14:textId="77777777">
        <w:tc>
          <w:tcPr>
            <w:tcW w:w="2086" w:type="dxa"/>
            <w:vMerge/>
            <w:tcBorders>
              <w:top w:val="nil"/>
              <w:left w:val="nil"/>
              <w:bottom w:val="nil"/>
              <w:right w:val="nil"/>
            </w:tcBorders>
            <w:noWrap/>
            <w:vAlign w:val="center"/>
          </w:tcPr>
          <w:p w14:paraId="26CC532A" w14:textId="77777777" w:rsidR="00000000" w:rsidRDefault="00000000">
            <w:pPr>
              <w:snapToGrid w:val="0"/>
              <w:spacing w:line="360" w:lineRule="auto"/>
              <w:ind w:firstLine="0"/>
              <w:jc w:val="center"/>
              <w:rPr>
                <w:rFonts w:ascii="宋体" w:hAnsi="宋体" w:cs="宋体"/>
                <w:sz w:val="21"/>
                <w:szCs w:val="21"/>
              </w:rPr>
            </w:pPr>
          </w:p>
        </w:tc>
        <w:tc>
          <w:tcPr>
            <w:tcW w:w="2977" w:type="dxa"/>
            <w:tcBorders>
              <w:top w:val="nil"/>
              <w:left w:val="nil"/>
              <w:bottom w:val="nil"/>
              <w:right w:val="nil"/>
            </w:tcBorders>
            <w:noWrap/>
            <w:vAlign w:val="center"/>
          </w:tcPr>
          <w:p w14:paraId="079F3BEB" w14:textId="77777777" w:rsidR="00000000" w:rsidRDefault="00000000">
            <w:pPr>
              <w:widowControl/>
              <w:snapToGrid w:val="0"/>
              <w:spacing w:line="360" w:lineRule="auto"/>
              <w:ind w:firstLine="0"/>
              <w:jc w:val="center"/>
              <w:textAlignment w:val="center"/>
              <w:rPr>
                <w:rFonts w:ascii="宋体" w:hAnsi="宋体" w:cs="宋体"/>
                <w:sz w:val="21"/>
                <w:szCs w:val="21"/>
              </w:rPr>
            </w:pPr>
            <w:r>
              <w:rPr>
                <w:rFonts w:ascii="宋体" w:hAnsi="宋体" w:cs="宋体" w:hint="eastAsia"/>
                <w:kern w:val="0"/>
                <w:sz w:val="21"/>
                <w:szCs w:val="21"/>
                <w:lang w:bidi="ar"/>
              </w:rPr>
              <w:t>总资产周转率</w:t>
            </w:r>
          </w:p>
        </w:tc>
        <w:tc>
          <w:tcPr>
            <w:tcW w:w="1784" w:type="dxa"/>
            <w:tcBorders>
              <w:top w:val="nil"/>
              <w:left w:val="nil"/>
              <w:bottom w:val="nil"/>
              <w:right w:val="nil"/>
            </w:tcBorders>
            <w:noWrap/>
            <w:vAlign w:val="center"/>
          </w:tcPr>
          <w:p w14:paraId="02CA48B1" w14:textId="77777777" w:rsidR="00000000" w:rsidRDefault="00000000">
            <w:pPr>
              <w:widowControl/>
              <w:snapToGrid w:val="0"/>
              <w:spacing w:line="360" w:lineRule="auto"/>
              <w:ind w:firstLine="0"/>
              <w:jc w:val="center"/>
              <w:textAlignment w:val="center"/>
              <w:rPr>
                <w:rFonts w:ascii="宋体" w:hAnsi="宋体" w:cs="宋体"/>
                <w:sz w:val="21"/>
                <w:szCs w:val="21"/>
              </w:rPr>
            </w:pPr>
            <w:r>
              <w:rPr>
                <w:rFonts w:ascii="宋体" w:hAnsi="宋体" w:cs="宋体" w:hint="eastAsia"/>
                <w:kern w:val="0"/>
                <w:sz w:val="21"/>
                <w:szCs w:val="21"/>
                <w:lang w:bidi="ar"/>
              </w:rPr>
              <w:t>0.7532</w:t>
            </w:r>
          </w:p>
        </w:tc>
        <w:tc>
          <w:tcPr>
            <w:tcW w:w="1785" w:type="dxa"/>
            <w:tcBorders>
              <w:top w:val="nil"/>
              <w:left w:val="nil"/>
              <w:bottom w:val="nil"/>
              <w:right w:val="nil"/>
            </w:tcBorders>
            <w:noWrap/>
            <w:vAlign w:val="center"/>
          </w:tcPr>
          <w:p w14:paraId="2553691F" w14:textId="77777777" w:rsidR="00000000" w:rsidRDefault="00000000">
            <w:pPr>
              <w:widowControl/>
              <w:snapToGrid w:val="0"/>
              <w:spacing w:line="360" w:lineRule="auto"/>
              <w:ind w:firstLine="0"/>
              <w:jc w:val="center"/>
              <w:textAlignment w:val="center"/>
              <w:rPr>
                <w:rFonts w:ascii="宋体" w:hAnsi="宋体" w:cs="宋体"/>
                <w:sz w:val="21"/>
                <w:szCs w:val="21"/>
              </w:rPr>
            </w:pPr>
            <w:r>
              <w:rPr>
                <w:rFonts w:ascii="宋体" w:hAnsi="宋体" w:cs="宋体" w:hint="eastAsia"/>
                <w:kern w:val="0"/>
                <w:sz w:val="21"/>
                <w:szCs w:val="21"/>
                <w:lang w:bidi="ar"/>
              </w:rPr>
              <w:t>0.0987</w:t>
            </w:r>
          </w:p>
        </w:tc>
      </w:tr>
      <w:tr w:rsidR="00000000" w14:paraId="01A01A1A" w14:textId="77777777">
        <w:tc>
          <w:tcPr>
            <w:tcW w:w="2086" w:type="dxa"/>
            <w:vMerge w:val="restart"/>
            <w:tcBorders>
              <w:top w:val="nil"/>
              <w:left w:val="nil"/>
              <w:bottom w:val="nil"/>
              <w:right w:val="nil"/>
            </w:tcBorders>
            <w:noWrap/>
            <w:vAlign w:val="center"/>
          </w:tcPr>
          <w:p w14:paraId="40E9DD68" w14:textId="77777777" w:rsidR="00000000" w:rsidRDefault="00000000">
            <w:pPr>
              <w:widowControl/>
              <w:snapToGrid w:val="0"/>
              <w:spacing w:line="360" w:lineRule="auto"/>
              <w:ind w:firstLine="0"/>
              <w:jc w:val="center"/>
              <w:textAlignment w:val="center"/>
              <w:rPr>
                <w:rFonts w:ascii="宋体" w:hAnsi="宋体" w:cs="宋体"/>
                <w:sz w:val="21"/>
                <w:szCs w:val="21"/>
              </w:rPr>
            </w:pPr>
            <w:r>
              <w:rPr>
                <w:rFonts w:ascii="宋体" w:hAnsi="宋体" w:cs="宋体" w:hint="eastAsia"/>
                <w:kern w:val="0"/>
                <w:sz w:val="21"/>
                <w:szCs w:val="21"/>
                <w:lang w:bidi="ar"/>
              </w:rPr>
              <w:t>收益分配风险</w:t>
            </w:r>
          </w:p>
        </w:tc>
        <w:tc>
          <w:tcPr>
            <w:tcW w:w="2977" w:type="dxa"/>
            <w:tcBorders>
              <w:top w:val="nil"/>
              <w:left w:val="nil"/>
              <w:bottom w:val="nil"/>
              <w:right w:val="nil"/>
            </w:tcBorders>
            <w:noWrap/>
            <w:vAlign w:val="center"/>
          </w:tcPr>
          <w:p w14:paraId="66DFC8A7" w14:textId="77777777" w:rsidR="00000000" w:rsidRDefault="00000000">
            <w:pPr>
              <w:widowControl/>
              <w:snapToGrid w:val="0"/>
              <w:spacing w:line="360" w:lineRule="auto"/>
              <w:ind w:firstLine="0"/>
              <w:jc w:val="center"/>
              <w:textAlignment w:val="center"/>
              <w:rPr>
                <w:rFonts w:ascii="宋体" w:hAnsi="宋体" w:cs="宋体"/>
                <w:sz w:val="21"/>
                <w:szCs w:val="21"/>
              </w:rPr>
            </w:pPr>
            <w:r>
              <w:rPr>
                <w:rFonts w:ascii="宋体" w:hAnsi="宋体" w:cs="宋体" w:hint="eastAsia"/>
                <w:kern w:val="0"/>
                <w:sz w:val="21"/>
                <w:szCs w:val="21"/>
                <w:lang w:bidi="ar"/>
              </w:rPr>
              <w:t>股利分配率</w:t>
            </w:r>
          </w:p>
        </w:tc>
        <w:tc>
          <w:tcPr>
            <w:tcW w:w="1784" w:type="dxa"/>
            <w:tcBorders>
              <w:top w:val="nil"/>
              <w:left w:val="nil"/>
              <w:bottom w:val="nil"/>
              <w:right w:val="nil"/>
            </w:tcBorders>
            <w:noWrap/>
            <w:vAlign w:val="center"/>
          </w:tcPr>
          <w:p w14:paraId="3221A1C2" w14:textId="77777777" w:rsidR="00000000" w:rsidRDefault="00000000">
            <w:pPr>
              <w:widowControl/>
              <w:snapToGrid w:val="0"/>
              <w:spacing w:line="360" w:lineRule="auto"/>
              <w:ind w:firstLine="0"/>
              <w:jc w:val="center"/>
              <w:textAlignment w:val="center"/>
              <w:rPr>
                <w:rFonts w:ascii="宋体" w:hAnsi="宋体" w:cs="宋体"/>
                <w:sz w:val="21"/>
                <w:szCs w:val="21"/>
              </w:rPr>
            </w:pPr>
            <w:r>
              <w:rPr>
                <w:rFonts w:ascii="宋体" w:hAnsi="宋体" w:cs="宋体" w:hint="eastAsia"/>
                <w:kern w:val="0"/>
                <w:sz w:val="21"/>
                <w:szCs w:val="21"/>
                <w:lang w:bidi="ar"/>
              </w:rPr>
              <w:t>0.7953</w:t>
            </w:r>
          </w:p>
        </w:tc>
        <w:tc>
          <w:tcPr>
            <w:tcW w:w="1785" w:type="dxa"/>
            <w:tcBorders>
              <w:top w:val="nil"/>
              <w:left w:val="nil"/>
              <w:bottom w:val="nil"/>
              <w:right w:val="nil"/>
            </w:tcBorders>
            <w:noWrap/>
            <w:vAlign w:val="center"/>
          </w:tcPr>
          <w:p w14:paraId="4F476951" w14:textId="77777777" w:rsidR="00000000" w:rsidRDefault="00000000">
            <w:pPr>
              <w:widowControl/>
              <w:snapToGrid w:val="0"/>
              <w:spacing w:line="360" w:lineRule="auto"/>
              <w:ind w:firstLine="0"/>
              <w:jc w:val="center"/>
              <w:textAlignment w:val="center"/>
              <w:rPr>
                <w:rFonts w:ascii="宋体" w:hAnsi="宋体" w:cs="宋体"/>
                <w:sz w:val="21"/>
                <w:szCs w:val="21"/>
              </w:rPr>
            </w:pPr>
            <w:r>
              <w:rPr>
                <w:rFonts w:ascii="宋体" w:hAnsi="宋体" w:cs="宋体" w:hint="eastAsia"/>
                <w:kern w:val="0"/>
                <w:sz w:val="21"/>
                <w:szCs w:val="21"/>
                <w:lang w:bidi="ar"/>
              </w:rPr>
              <w:t>0.0818</w:t>
            </w:r>
          </w:p>
        </w:tc>
      </w:tr>
      <w:tr w:rsidR="00000000" w14:paraId="08CED452" w14:textId="77777777">
        <w:tc>
          <w:tcPr>
            <w:tcW w:w="2086" w:type="dxa"/>
            <w:vMerge/>
            <w:tcBorders>
              <w:top w:val="nil"/>
              <w:left w:val="nil"/>
              <w:bottom w:val="nil"/>
              <w:right w:val="nil"/>
            </w:tcBorders>
            <w:noWrap/>
            <w:vAlign w:val="center"/>
          </w:tcPr>
          <w:p w14:paraId="76160A78" w14:textId="77777777" w:rsidR="00000000" w:rsidRDefault="00000000">
            <w:pPr>
              <w:snapToGrid w:val="0"/>
              <w:spacing w:line="360" w:lineRule="auto"/>
              <w:ind w:firstLine="0"/>
              <w:jc w:val="center"/>
              <w:rPr>
                <w:rFonts w:ascii="宋体" w:hAnsi="宋体" w:cs="宋体"/>
                <w:sz w:val="21"/>
                <w:szCs w:val="21"/>
              </w:rPr>
            </w:pPr>
          </w:p>
        </w:tc>
        <w:tc>
          <w:tcPr>
            <w:tcW w:w="2977" w:type="dxa"/>
            <w:tcBorders>
              <w:top w:val="nil"/>
              <w:left w:val="nil"/>
              <w:bottom w:val="nil"/>
              <w:right w:val="nil"/>
            </w:tcBorders>
            <w:noWrap/>
            <w:vAlign w:val="center"/>
          </w:tcPr>
          <w:p w14:paraId="469C922F" w14:textId="77777777" w:rsidR="00000000" w:rsidRDefault="00000000">
            <w:pPr>
              <w:widowControl/>
              <w:snapToGrid w:val="0"/>
              <w:spacing w:line="360" w:lineRule="auto"/>
              <w:ind w:firstLine="0"/>
              <w:jc w:val="center"/>
              <w:textAlignment w:val="center"/>
              <w:rPr>
                <w:rFonts w:ascii="宋体" w:hAnsi="宋体" w:cs="宋体"/>
                <w:sz w:val="21"/>
                <w:szCs w:val="21"/>
              </w:rPr>
            </w:pPr>
            <w:r>
              <w:rPr>
                <w:rFonts w:ascii="宋体" w:hAnsi="宋体" w:cs="宋体" w:hint="eastAsia"/>
                <w:kern w:val="0"/>
                <w:sz w:val="21"/>
                <w:szCs w:val="21"/>
                <w:lang w:bidi="ar"/>
              </w:rPr>
              <w:t>净利润增长率</w:t>
            </w:r>
          </w:p>
        </w:tc>
        <w:tc>
          <w:tcPr>
            <w:tcW w:w="1784" w:type="dxa"/>
            <w:tcBorders>
              <w:top w:val="nil"/>
              <w:left w:val="nil"/>
              <w:bottom w:val="nil"/>
              <w:right w:val="nil"/>
            </w:tcBorders>
            <w:noWrap/>
            <w:vAlign w:val="center"/>
          </w:tcPr>
          <w:p w14:paraId="7FA0EC5D" w14:textId="77777777" w:rsidR="00000000" w:rsidRDefault="00000000">
            <w:pPr>
              <w:widowControl/>
              <w:snapToGrid w:val="0"/>
              <w:spacing w:line="360" w:lineRule="auto"/>
              <w:ind w:firstLine="0"/>
              <w:jc w:val="center"/>
              <w:textAlignment w:val="center"/>
              <w:rPr>
                <w:rFonts w:ascii="宋体" w:hAnsi="宋体" w:cs="宋体"/>
                <w:sz w:val="21"/>
                <w:szCs w:val="21"/>
              </w:rPr>
            </w:pPr>
            <w:r>
              <w:rPr>
                <w:rFonts w:ascii="宋体" w:hAnsi="宋体" w:cs="宋体" w:hint="eastAsia"/>
                <w:kern w:val="0"/>
                <w:sz w:val="21"/>
                <w:szCs w:val="21"/>
                <w:lang w:bidi="ar"/>
              </w:rPr>
              <w:t>0.6984</w:t>
            </w:r>
          </w:p>
        </w:tc>
        <w:tc>
          <w:tcPr>
            <w:tcW w:w="1785" w:type="dxa"/>
            <w:tcBorders>
              <w:top w:val="nil"/>
              <w:left w:val="nil"/>
              <w:bottom w:val="nil"/>
              <w:right w:val="nil"/>
            </w:tcBorders>
            <w:noWrap/>
            <w:vAlign w:val="center"/>
          </w:tcPr>
          <w:p w14:paraId="5B989D13" w14:textId="77777777" w:rsidR="00000000" w:rsidRDefault="00000000">
            <w:pPr>
              <w:widowControl/>
              <w:snapToGrid w:val="0"/>
              <w:spacing w:line="360" w:lineRule="auto"/>
              <w:ind w:firstLine="0"/>
              <w:jc w:val="center"/>
              <w:textAlignment w:val="center"/>
              <w:rPr>
                <w:rFonts w:ascii="宋体" w:hAnsi="宋体" w:cs="宋体"/>
                <w:sz w:val="21"/>
                <w:szCs w:val="21"/>
              </w:rPr>
            </w:pPr>
            <w:r>
              <w:rPr>
                <w:rFonts w:ascii="宋体" w:hAnsi="宋体" w:cs="宋体" w:hint="eastAsia"/>
                <w:kern w:val="0"/>
                <w:sz w:val="21"/>
                <w:szCs w:val="21"/>
                <w:lang w:bidi="ar"/>
              </w:rPr>
              <w:t>0.1206</w:t>
            </w:r>
          </w:p>
        </w:tc>
      </w:tr>
      <w:tr w:rsidR="00000000" w14:paraId="763E5D61" w14:textId="77777777">
        <w:tc>
          <w:tcPr>
            <w:tcW w:w="2086" w:type="dxa"/>
            <w:vMerge/>
            <w:tcBorders>
              <w:top w:val="nil"/>
              <w:left w:val="nil"/>
              <w:bottom w:val="single" w:sz="12" w:space="0" w:color="000000"/>
              <w:right w:val="nil"/>
            </w:tcBorders>
            <w:noWrap/>
            <w:vAlign w:val="center"/>
          </w:tcPr>
          <w:p w14:paraId="01B40F48" w14:textId="77777777" w:rsidR="00000000" w:rsidRDefault="00000000">
            <w:pPr>
              <w:snapToGrid w:val="0"/>
              <w:spacing w:line="360" w:lineRule="auto"/>
              <w:ind w:firstLine="0"/>
              <w:jc w:val="center"/>
              <w:rPr>
                <w:rFonts w:ascii="宋体" w:hAnsi="宋体" w:cs="宋体"/>
                <w:sz w:val="21"/>
                <w:szCs w:val="21"/>
              </w:rPr>
            </w:pPr>
          </w:p>
        </w:tc>
        <w:tc>
          <w:tcPr>
            <w:tcW w:w="2977" w:type="dxa"/>
            <w:tcBorders>
              <w:top w:val="nil"/>
              <w:left w:val="nil"/>
              <w:bottom w:val="single" w:sz="12" w:space="0" w:color="000000"/>
              <w:right w:val="nil"/>
            </w:tcBorders>
            <w:noWrap/>
            <w:vAlign w:val="center"/>
          </w:tcPr>
          <w:p w14:paraId="73BAE730" w14:textId="77777777" w:rsidR="00000000" w:rsidRDefault="00000000">
            <w:pPr>
              <w:widowControl/>
              <w:snapToGrid w:val="0"/>
              <w:spacing w:line="360" w:lineRule="auto"/>
              <w:ind w:firstLine="0"/>
              <w:jc w:val="center"/>
              <w:textAlignment w:val="center"/>
              <w:rPr>
                <w:rFonts w:ascii="宋体" w:hAnsi="宋体" w:cs="宋体"/>
                <w:sz w:val="21"/>
                <w:szCs w:val="21"/>
              </w:rPr>
            </w:pPr>
            <w:r>
              <w:rPr>
                <w:rFonts w:ascii="宋体" w:hAnsi="宋体" w:cs="宋体" w:hint="eastAsia"/>
                <w:kern w:val="0"/>
                <w:sz w:val="21"/>
                <w:szCs w:val="21"/>
                <w:lang w:bidi="ar"/>
              </w:rPr>
              <w:t>营业收入增长率</w:t>
            </w:r>
          </w:p>
        </w:tc>
        <w:tc>
          <w:tcPr>
            <w:tcW w:w="1784" w:type="dxa"/>
            <w:tcBorders>
              <w:top w:val="nil"/>
              <w:left w:val="nil"/>
              <w:bottom w:val="single" w:sz="12" w:space="0" w:color="000000"/>
              <w:right w:val="nil"/>
            </w:tcBorders>
            <w:noWrap/>
            <w:vAlign w:val="center"/>
          </w:tcPr>
          <w:p w14:paraId="644418D2" w14:textId="77777777" w:rsidR="00000000" w:rsidRDefault="00000000">
            <w:pPr>
              <w:widowControl/>
              <w:snapToGrid w:val="0"/>
              <w:spacing w:line="360" w:lineRule="auto"/>
              <w:ind w:firstLine="0"/>
              <w:jc w:val="center"/>
              <w:textAlignment w:val="center"/>
              <w:rPr>
                <w:rFonts w:ascii="宋体" w:hAnsi="宋体" w:cs="宋体"/>
                <w:sz w:val="21"/>
                <w:szCs w:val="21"/>
              </w:rPr>
            </w:pPr>
            <w:r>
              <w:rPr>
                <w:rFonts w:ascii="宋体" w:hAnsi="宋体" w:cs="宋体" w:hint="eastAsia"/>
                <w:kern w:val="0"/>
                <w:sz w:val="21"/>
                <w:szCs w:val="21"/>
                <w:lang w:bidi="ar"/>
              </w:rPr>
              <w:t>0.5800</w:t>
            </w:r>
          </w:p>
        </w:tc>
        <w:tc>
          <w:tcPr>
            <w:tcW w:w="1785" w:type="dxa"/>
            <w:tcBorders>
              <w:top w:val="nil"/>
              <w:left w:val="nil"/>
              <w:bottom w:val="single" w:sz="12" w:space="0" w:color="000000"/>
              <w:right w:val="nil"/>
            </w:tcBorders>
            <w:noWrap/>
            <w:vAlign w:val="center"/>
          </w:tcPr>
          <w:p w14:paraId="23790EED" w14:textId="77777777" w:rsidR="00000000" w:rsidRDefault="00000000">
            <w:pPr>
              <w:widowControl/>
              <w:snapToGrid w:val="0"/>
              <w:spacing w:line="360" w:lineRule="auto"/>
              <w:ind w:firstLine="0"/>
              <w:jc w:val="center"/>
              <w:textAlignment w:val="center"/>
              <w:rPr>
                <w:rFonts w:ascii="宋体" w:hAnsi="宋体" w:cs="宋体"/>
                <w:sz w:val="21"/>
                <w:szCs w:val="21"/>
              </w:rPr>
            </w:pPr>
            <w:r>
              <w:rPr>
                <w:rFonts w:ascii="宋体" w:hAnsi="宋体" w:cs="宋体" w:hint="eastAsia"/>
                <w:kern w:val="0"/>
                <w:sz w:val="21"/>
                <w:szCs w:val="21"/>
                <w:lang w:bidi="ar"/>
              </w:rPr>
              <w:t>0.1679</w:t>
            </w:r>
          </w:p>
        </w:tc>
      </w:tr>
    </w:tbl>
    <w:p w14:paraId="519156C9" w14:textId="77777777" w:rsidR="00000000" w:rsidRDefault="00000000">
      <w:pPr>
        <w:pStyle w:val="afd"/>
        <w:ind w:firstLine="486"/>
        <w:rPr>
          <w:rFonts w:cs="宋体" w:hint="eastAsia"/>
          <w:color w:val="auto"/>
        </w:rPr>
      </w:pPr>
      <w:r>
        <w:rPr>
          <w:rFonts w:cs="宋体" w:hint="eastAsia"/>
          <w:color w:val="auto"/>
        </w:rPr>
        <w:t xml:space="preserve"> 依据上述计算结果，本文确定了各指标层的相对贴近度，并据此计算出四大一级指标的综合评价指数及排名，具体结果如表5-9所示。</w:t>
      </w:r>
    </w:p>
    <w:p w14:paraId="4FBB434C" w14:textId="77777777" w:rsidR="00000000" w:rsidRDefault="00000000">
      <w:pPr>
        <w:widowControl/>
        <w:spacing w:beforeLines="50" w:before="207" w:afterLines="50" w:after="207"/>
        <w:ind w:firstLine="0"/>
        <w:jc w:val="center"/>
        <w:rPr>
          <w:rFonts w:ascii="宋体" w:hAnsi="宋体" w:cs="宋体"/>
          <w:sz w:val="21"/>
          <w:szCs w:val="21"/>
        </w:rPr>
      </w:pPr>
      <w:r>
        <w:rPr>
          <w:rFonts w:ascii="宋体" w:hAnsi="宋体" w:cs="宋体" w:hint="eastAsia"/>
          <w:sz w:val="21"/>
          <w:szCs w:val="21"/>
        </w:rPr>
        <w:t>表5-9 M公司2020-2024年一级指标相对贴进度及排名</w:t>
      </w:r>
    </w:p>
    <w:tbl>
      <w:tblPr>
        <w:tblW w:w="8630" w:type="dxa"/>
        <w:jc w:val="center"/>
        <w:tblInd w:w="0" w:type="dxa"/>
        <w:tblCellMar>
          <w:top w:w="40" w:type="dxa"/>
          <w:left w:w="64" w:type="dxa"/>
          <w:bottom w:w="40" w:type="dxa"/>
          <w:right w:w="64" w:type="dxa"/>
        </w:tblCellMar>
        <w:tblLook w:val="0000" w:firstRow="0" w:lastRow="0" w:firstColumn="0" w:lastColumn="0" w:noHBand="0" w:noVBand="0"/>
      </w:tblPr>
      <w:tblGrid>
        <w:gridCol w:w="1653"/>
        <w:gridCol w:w="2167"/>
        <w:gridCol w:w="962"/>
        <w:gridCol w:w="962"/>
        <w:gridCol w:w="962"/>
        <w:gridCol w:w="962"/>
        <w:gridCol w:w="962"/>
      </w:tblGrid>
      <w:tr w:rsidR="00000000" w14:paraId="0BCAE73A" w14:textId="77777777">
        <w:trPr>
          <w:tblHeader/>
          <w:jc w:val="center"/>
        </w:trPr>
        <w:tc>
          <w:tcPr>
            <w:tcW w:w="1653" w:type="dxa"/>
            <w:tcBorders>
              <w:top w:val="single" w:sz="12" w:space="0" w:color="000000"/>
              <w:left w:val="nil"/>
              <w:bottom w:val="single" w:sz="4" w:space="0" w:color="000000"/>
              <w:right w:val="nil"/>
            </w:tcBorders>
            <w:noWrap/>
            <w:vAlign w:val="center"/>
          </w:tcPr>
          <w:p w14:paraId="5E119220" w14:textId="77777777" w:rsidR="00000000" w:rsidRDefault="00000000">
            <w:pPr>
              <w:widowControl/>
              <w:snapToGrid w:val="0"/>
              <w:spacing w:line="360" w:lineRule="auto"/>
              <w:ind w:firstLine="0"/>
              <w:jc w:val="center"/>
              <w:textAlignment w:val="bottom"/>
              <w:rPr>
                <w:rFonts w:ascii="宋体" w:hAnsi="宋体" w:cs="宋体"/>
                <w:b/>
                <w:bCs/>
                <w:sz w:val="21"/>
                <w:szCs w:val="21"/>
              </w:rPr>
            </w:pPr>
            <w:r>
              <w:rPr>
                <w:rFonts w:ascii="宋体" w:hAnsi="宋体" w:cs="宋体" w:hint="eastAsia"/>
                <w:b/>
                <w:bCs/>
                <w:kern w:val="0"/>
                <w:sz w:val="21"/>
                <w:szCs w:val="21"/>
                <w:lang w:bidi="ar"/>
              </w:rPr>
              <w:t>一级指标</w:t>
            </w:r>
          </w:p>
        </w:tc>
        <w:tc>
          <w:tcPr>
            <w:tcW w:w="2167" w:type="dxa"/>
            <w:tcBorders>
              <w:top w:val="single" w:sz="12" w:space="0" w:color="000000"/>
              <w:left w:val="nil"/>
              <w:bottom w:val="single" w:sz="4" w:space="0" w:color="000000"/>
              <w:right w:val="nil"/>
            </w:tcBorders>
            <w:noWrap/>
            <w:vAlign w:val="center"/>
          </w:tcPr>
          <w:p w14:paraId="631FB575" w14:textId="77777777" w:rsidR="00000000" w:rsidRDefault="00000000">
            <w:pPr>
              <w:widowControl/>
              <w:snapToGrid w:val="0"/>
              <w:spacing w:line="360" w:lineRule="auto"/>
              <w:ind w:firstLine="0"/>
              <w:jc w:val="center"/>
              <w:textAlignment w:val="center"/>
              <w:rPr>
                <w:rFonts w:ascii="宋体" w:hAnsi="宋体" w:cs="宋体"/>
                <w:b/>
                <w:bCs/>
                <w:sz w:val="21"/>
                <w:szCs w:val="21"/>
              </w:rPr>
            </w:pPr>
            <w:r>
              <w:rPr>
                <w:rFonts w:ascii="宋体" w:hAnsi="宋体" w:cs="宋体" w:hint="eastAsia"/>
                <w:b/>
                <w:bCs/>
                <w:kern w:val="0"/>
                <w:sz w:val="21"/>
                <w:szCs w:val="21"/>
                <w:lang w:bidi="ar"/>
              </w:rPr>
              <w:t>相对贴近度及排序</w:t>
            </w:r>
          </w:p>
        </w:tc>
        <w:tc>
          <w:tcPr>
            <w:tcW w:w="962" w:type="dxa"/>
            <w:tcBorders>
              <w:top w:val="single" w:sz="12" w:space="0" w:color="000000"/>
              <w:left w:val="nil"/>
              <w:bottom w:val="single" w:sz="4" w:space="0" w:color="000000"/>
              <w:right w:val="nil"/>
            </w:tcBorders>
            <w:noWrap/>
            <w:vAlign w:val="center"/>
          </w:tcPr>
          <w:p w14:paraId="52812F8E" w14:textId="77777777" w:rsidR="00000000" w:rsidRDefault="00000000">
            <w:pPr>
              <w:widowControl/>
              <w:snapToGrid w:val="0"/>
              <w:spacing w:line="360" w:lineRule="auto"/>
              <w:ind w:firstLine="0"/>
              <w:jc w:val="center"/>
              <w:textAlignment w:val="center"/>
              <w:rPr>
                <w:rFonts w:ascii="宋体" w:hAnsi="宋体" w:cs="宋体"/>
                <w:b/>
                <w:bCs/>
                <w:sz w:val="21"/>
                <w:szCs w:val="21"/>
              </w:rPr>
            </w:pPr>
            <w:r>
              <w:rPr>
                <w:rFonts w:ascii="宋体" w:hAnsi="宋体" w:cs="宋体" w:hint="eastAsia"/>
                <w:b/>
                <w:bCs/>
                <w:kern w:val="0"/>
                <w:sz w:val="21"/>
                <w:szCs w:val="21"/>
                <w:lang w:bidi="ar"/>
              </w:rPr>
              <w:t>2020年</w:t>
            </w:r>
          </w:p>
        </w:tc>
        <w:tc>
          <w:tcPr>
            <w:tcW w:w="962" w:type="dxa"/>
            <w:tcBorders>
              <w:top w:val="single" w:sz="12" w:space="0" w:color="000000"/>
              <w:left w:val="nil"/>
              <w:bottom w:val="single" w:sz="4" w:space="0" w:color="000000"/>
              <w:right w:val="nil"/>
            </w:tcBorders>
            <w:noWrap/>
            <w:vAlign w:val="center"/>
          </w:tcPr>
          <w:p w14:paraId="410A4390" w14:textId="77777777" w:rsidR="00000000" w:rsidRDefault="00000000">
            <w:pPr>
              <w:widowControl/>
              <w:snapToGrid w:val="0"/>
              <w:spacing w:line="360" w:lineRule="auto"/>
              <w:ind w:firstLine="0"/>
              <w:jc w:val="center"/>
              <w:textAlignment w:val="center"/>
              <w:rPr>
                <w:rFonts w:ascii="宋体" w:hAnsi="宋体" w:cs="宋体"/>
                <w:b/>
                <w:bCs/>
                <w:sz w:val="21"/>
                <w:szCs w:val="21"/>
              </w:rPr>
            </w:pPr>
            <w:r>
              <w:rPr>
                <w:rFonts w:ascii="宋体" w:hAnsi="宋体" w:cs="宋体" w:hint="eastAsia"/>
                <w:b/>
                <w:bCs/>
                <w:kern w:val="0"/>
                <w:sz w:val="21"/>
                <w:szCs w:val="21"/>
                <w:lang w:bidi="ar"/>
              </w:rPr>
              <w:t>2021年</w:t>
            </w:r>
          </w:p>
        </w:tc>
        <w:tc>
          <w:tcPr>
            <w:tcW w:w="962" w:type="dxa"/>
            <w:tcBorders>
              <w:top w:val="single" w:sz="12" w:space="0" w:color="000000"/>
              <w:left w:val="nil"/>
              <w:bottom w:val="single" w:sz="4" w:space="0" w:color="000000"/>
              <w:right w:val="nil"/>
            </w:tcBorders>
            <w:noWrap/>
            <w:vAlign w:val="center"/>
          </w:tcPr>
          <w:p w14:paraId="41CEB125" w14:textId="77777777" w:rsidR="00000000" w:rsidRDefault="00000000">
            <w:pPr>
              <w:widowControl/>
              <w:snapToGrid w:val="0"/>
              <w:spacing w:line="360" w:lineRule="auto"/>
              <w:ind w:firstLine="0"/>
              <w:jc w:val="center"/>
              <w:textAlignment w:val="center"/>
              <w:rPr>
                <w:rFonts w:ascii="宋体" w:hAnsi="宋体" w:cs="宋体"/>
                <w:b/>
                <w:bCs/>
                <w:sz w:val="21"/>
                <w:szCs w:val="21"/>
              </w:rPr>
            </w:pPr>
            <w:r>
              <w:rPr>
                <w:rFonts w:ascii="宋体" w:hAnsi="宋体" w:cs="宋体" w:hint="eastAsia"/>
                <w:b/>
                <w:bCs/>
                <w:kern w:val="0"/>
                <w:sz w:val="21"/>
                <w:szCs w:val="21"/>
                <w:lang w:bidi="ar"/>
              </w:rPr>
              <w:t>2022年</w:t>
            </w:r>
          </w:p>
        </w:tc>
        <w:tc>
          <w:tcPr>
            <w:tcW w:w="962" w:type="dxa"/>
            <w:tcBorders>
              <w:top w:val="single" w:sz="12" w:space="0" w:color="000000"/>
              <w:left w:val="nil"/>
              <w:bottom w:val="single" w:sz="4" w:space="0" w:color="000000"/>
              <w:right w:val="nil"/>
            </w:tcBorders>
            <w:noWrap/>
            <w:vAlign w:val="center"/>
          </w:tcPr>
          <w:p w14:paraId="316EBD5F" w14:textId="77777777" w:rsidR="00000000" w:rsidRDefault="00000000">
            <w:pPr>
              <w:widowControl/>
              <w:snapToGrid w:val="0"/>
              <w:spacing w:line="360" w:lineRule="auto"/>
              <w:ind w:firstLine="0"/>
              <w:jc w:val="center"/>
              <w:textAlignment w:val="center"/>
              <w:rPr>
                <w:rFonts w:ascii="宋体" w:hAnsi="宋体" w:cs="宋体"/>
                <w:b/>
                <w:bCs/>
                <w:sz w:val="21"/>
                <w:szCs w:val="21"/>
              </w:rPr>
            </w:pPr>
            <w:r>
              <w:rPr>
                <w:rFonts w:ascii="宋体" w:hAnsi="宋体" w:cs="宋体" w:hint="eastAsia"/>
                <w:b/>
                <w:bCs/>
                <w:kern w:val="0"/>
                <w:sz w:val="21"/>
                <w:szCs w:val="21"/>
                <w:lang w:bidi="ar"/>
              </w:rPr>
              <w:t>2023年</w:t>
            </w:r>
          </w:p>
        </w:tc>
        <w:tc>
          <w:tcPr>
            <w:tcW w:w="962" w:type="dxa"/>
            <w:tcBorders>
              <w:top w:val="single" w:sz="12" w:space="0" w:color="000000"/>
              <w:left w:val="nil"/>
              <w:bottom w:val="single" w:sz="4" w:space="0" w:color="000000"/>
              <w:right w:val="nil"/>
            </w:tcBorders>
            <w:noWrap/>
            <w:vAlign w:val="center"/>
          </w:tcPr>
          <w:p w14:paraId="0063B2B1" w14:textId="77777777" w:rsidR="00000000" w:rsidRDefault="00000000">
            <w:pPr>
              <w:widowControl/>
              <w:snapToGrid w:val="0"/>
              <w:spacing w:line="360" w:lineRule="auto"/>
              <w:ind w:firstLine="0"/>
              <w:jc w:val="center"/>
              <w:textAlignment w:val="center"/>
              <w:rPr>
                <w:rFonts w:ascii="宋体" w:hAnsi="宋体" w:cs="宋体"/>
                <w:b/>
                <w:bCs/>
                <w:sz w:val="21"/>
                <w:szCs w:val="21"/>
              </w:rPr>
            </w:pPr>
            <w:r>
              <w:rPr>
                <w:rFonts w:ascii="宋体" w:hAnsi="宋体" w:cs="宋体" w:hint="eastAsia"/>
                <w:b/>
                <w:bCs/>
                <w:kern w:val="0"/>
                <w:sz w:val="21"/>
                <w:szCs w:val="21"/>
                <w:lang w:bidi="ar"/>
              </w:rPr>
              <w:t>2024年</w:t>
            </w:r>
          </w:p>
        </w:tc>
      </w:tr>
      <w:tr w:rsidR="00000000" w14:paraId="65C2FC66" w14:textId="77777777">
        <w:trPr>
          <w:jc w:val="center"/>
        </w:trPr>
        <w:tc>
          <w:tcPr>
            <w:tcW w:w="1653" w:type="dxa"/>
            <w:vMerge w:val="restart"/>
            <w:tcBorders>
              <w:top w:val="single" w:sz="4" w:space="0" w:color="000000"/>
              <w:left w:val="nil"/>
              <w:bottom w:val="nil"/>
              <w:right w:val="nil"/>
            </w:tcBorders>
            <w:noWrap/>
            <w:vAlign w:val="center"/>
          </w:tcPr>
          <w:p w14:paraId="02155505" w14:textId="77777777" w:rsidR="00000000" w:rsidRDefault="00000000">
            <w:pPr>
              <w:widowControl/>
              <w:snapToGrid w:val="0"/>
              <w:spacing w:line="360" w:lineRule="auto"/>
              <w:ind w:firstLine="0"/>
              <w:jc w:val="center"/>
              <w:textAlignment w:val="bottom"/>
              <w:rPr>
                <w:rFonts w:ascii="宋体" w:hAnsi="宋体" w:cs="宋体"/>
                <w:sz w:val="21"/>
                <w:szCs w:val="21"/>
              </w:rPr>
            </w:pPr>
            <w:r>
              <w:rPr>
                <w:rFonts w:ascii="宋体" w:hAnsi="宋体" w:cs="宋体" w:hint="eastAsia"/>
                <w:kern w:val="0"/>
                <w:sz w:val="21"/>
                <w:szCs w:val="21"/>
                <w:lang w:bidi="ar"/>
              </w:rPr>
              <w:t>筹资风险</w:t>
            </w:r>
          </w:p>
        </w:tc>
        <w:tc>
          <w:tcPr>
            <w:tcW w:w="2167" w:type="dxa"/>
            <w:tcBorders>
              <w:top w:val="single" w:sz="4" w:space="0" w:color="000000"/>
              <w:left w:val="nil"/>
              <w:bottom w:val="nil"/>
              <w:right w:val="nil"/>
            </w:tcBorders>
            <w:noWrap/>
            <w:vAlign w:val="center"/>
          </w:tcPr>
          <w:p w14:paraId="076B6479" w14:textId="77777777" w:rsidR="00000000" w:rsidRDefault="00000000">
            <w:pPr>
              <w:widowControl/>
              <w:snapToGrid w:val="0"/>
              <w:spacing w:line="360" w:lineRule="auto"/>
              <w:ind w:firstLine="0"/>
              <w:jc w:val="center"/>
              <w:textAlignment w:val="center"/>
              <w:rPr>
                <w:rFonts w:ascii="宋体" w:hAnsi="宋体" w:cs="宋体"/>
                <w:sz w:val="21"/>
                <w:szCs w:val="21"/>
              </w:rPr>
            </w:pPr>
            <w:r>
              <w:rPr>
                <w:rFonts w:ascii="宋体" w:hAnsi="宋体" w:cs="宋体" w:hint="eastAsia"/>
                <w:kern w:val="0"/>
                <w:sz w:val="21"/>
                <w:szCs w:val="21"/>
                <w:lang w:bidi="ar"/>
              </w:rPr>
              <w:t>相对贴近度C</w:t>
            </w:r>
          </w:p>
        </w:tc>
        <w:tc>
          <w:tcPr>
            <w:tcW w:w="962" w:type="dxa"/>
            <w:tcBorders>
              <w:top w:val="single" w:sz="4" w:space="0" w:color="000000"/>
              <w:left w:val="nil"/>
              <w:bottom w:val="nil"/>
              <w:right w:val="nil"/>
            </w:tcBorders>
            <w:noWrap/>
            <w:vAlign w:val="center"/>
          </w:tcPr>
          <w:p w14:paraId="3DFA1B01" w14:textId="77777777" w:rsidR="00000000" w:rsidRDefault="00000000">
            <w:pPr>
              <w:widowControl/>
              <w:snapToGrid w:val="0"/>
              <w:spacing w:line="360" w:lineRule="auto"/>
              <w:ind w:firstLine="0"/>
              <w:jc w:val="center"/>
              <w:textAlignment w:val="center"/>
              <w:rPr>
                <w:rFonts w:ascii="宋体" w:hAnsi="宋体" w:cs="宋体"/>
                <w:sz w:val="21"/>
                <w:szCs w:val="21"/>
              </w:rPr>
            </w:pPr>
            <w:r>
              <w:rPr>
                <w:rFonts w:ascii="宋体" w:hAnsi="宋体" w:cs="宋体" w:hint="eastAsia"/>
                <w:kern w:val="0"/>
                <w:sz w:val="21"/>
                <w:szCs w:val="21"/>
                <w:lang w:bidi="ar"/>
              </w:rPr>
              <w:t>0.992</w:t>
            </w:r>
          </w:p>
        </w:tc>
        <w:tc>
          <w:tcPr>
            <w:tcW w:w="962" w:type="dxa"/>
            <w:tcBorders>
              <w:top w:val="single" w:sz="4" w:space="0" w:color="000000"/>
              <w:left w:val="nil"/>
              <w:bottom w:val="nil"/>
              <w:right w:val="nil"/>
            </w:tcBorders>
            <w:noWrap/>
            <w:vAlign w:val="center"/>
          </w:tcPr>
          <w:p w14:paraId="3EEABCE7" w14:textId="77777777" w:rsidR="00000000" w:rsidRDefault="00000000">
            <w:pPr>
              <w:widowControl/>
              <w:snapToGrid w:val="0"/>
              <w:spacing w:line="360" w:lineRule="auto"/>
              <w:ind w:firstLine="0"/>
              <w:jc w:val="center"/>
              <w:textAlignment w:val="center"/>
              <w:rPr>
                <w:rFonts w:ascii="宋体" w:hAnsi="宋体" w:cs="宋体"/>
                <w:sz w:val="21"/>
                <w:szCs w:val="21"/>
              </w:rPr>
            </w:pPr>
            <w:r>
              <w:rPr>
                <w:rFonts w:ascii="宋体" w:hAnsi="宋体" w:cs="宋体" w:hint="eastAsia"/>
                <w:kern w:val="0"/>
                <w:sz w:val="21"/>
                <w:szCs w:val="21"/>
                <w:lang w:bidi="ar"/>
              </w:rPr>
              <w:t>0.269</w:t>
            </w:r>
          </w:p>
        </w:tc>
        <w:tc>
          <w:tcPr>
            <w:tcW w:w="962" w:type="dxa"/>
            <w:tcBorders>
              <w:top w:val="single" w:sz="4" w:space="0" w:color="000000"/>
              <w:left w:val="nil"/>
              <w:bottom w:val="nil"/>
              <w:right w:val="nil"/>
            </w:tcBorders>
            <w:noWrap/>
            <w:vAlign w:val="center"/>
          </w:tcPr>
          <w:p w14:paraId="4E5DB72B" w14:textId="77777777" w:rsidR="00000000" w:rsidRDefault="00000000">
            <w:pPr>
              <w:widowControl/>
              <w:snapToGrid w:val="0"/>
              <w:spacing w:line="360" w:lineRule="auto"/>
              <w:ind w:firstLine="0"/>
              <w:jc w:val="center"/>
              <w:textAlignment w:val="center"/>
              <w:rPr>
                <w:rFonts w:ascii="宋体" w:hAnsi="宋体" w:cs="宋体"/>
                <w:sz w:val="21"/>
                <w:szCs w:val="21"/>
              </w:rPr>
            </w:pPr>
            <w:r>
              <w:rPr>
                <w:rFonts w:ascii="宋体" w:hAnsi="宋体" w:cs="宋体" w:hint="eastAsia"/>
                <w:kern w:val="0"/>
                <w:sz w:val="21"/>
                <w:szCs w:val="21"/>
                <w:lang w:bidi="ar"/>
              </w:rPr>
              <w:t>0.000</w:t>
            </w:r>
          </w:p>
        </w:tc>
        <w:tc>
          <w:tcPr>
            <w:tcW w:w="962" w:type="dxa"/>
            <w:tcBorders>
              <w:top w:val="single" w:sz="4" w:space="0" w:color="000000"/>
              <w:left w:val="nil"/>
              <w:bottom w:val="nil"/>
              <w:right w:val="nil"/>
            </w:tcBorders>
            <w:noWrap/>
            <w:vAlign w:val="center"/>
          </w:tcPr>
          <w:p w14:paraId="7C48D0DF" w14:textId="77777777" w:rsidR="00000000" w:rsidRDefault="00000000">
            <w:pPr>
              <w:widowControl/>
              <w:snapToGrid w:val="0"/>
              <w:spacing w:line="360" w:lineRule="auto"/>
              <w:ind w:firstLine="0"/>
              <w:jc w:val="center"/>
              <w:textAlignment w:val="center"/>
              <w:rPr>
                <w:rFonts w:ascii="宋体" w:hAnsi="宋体" w:cs="宋体"/>
                <w:sz w:val="21"/>
                <w:szCs w:val="21"/>
              </w:rPr>
            </w:pPr>
            <w:r>
              <w:rPr>
                <w:rFonts w:ascii="宋体" w:hAnsi="宋体" w:cs="宋体" w:hint="eastAsia"/>
                <w:kern w:val="0"/>
                <w:sz w:val="21"/>
                <w:szCs w:val="21"/>
                <w:lang w:bidi="ar"/>
              </w:rPr>
              <w:t>0.427</w:t>
            </w:r>
          </w:p>
        </w:tc>
        <w:tc>
          <w:tcPr>
            <w:tcW w:w="962" w:type="dxa"/>
            <w:tcBorders>
              <w:top w:val="single" w:sz="4" w:space="0" w:color="000000"/>
              <w:left w:val="nil"/>
              <w:bottom w:val="nil"/>
              <w:right w:val="nil"/>
            </w:tcBorders>
            <w:noWrap/>
            <w:vAlign w:val="center"/>
          </w:tcPr>
          <w:p w14:paraId="1081FC91" w14:textId="77777777" w:rsidR="00000000" w:rsidRDefault="00000000">
            <w:pPr>
              <w:widowControl/>
              <w:snapToGrid w:val="0"/>
              <w:spacing w:line="360" w:lineRule="auto"/>
              <w:ind w:firstLine="0"/>
              <w:jc w:val="center"/>
              <w:textAlignment w:val="center"/>
              <w:rPr>
                <w:rFonts w:ascii="宋体" w:hAnsi="宋体" w:cs="宋体"/>
                <w:sz w:val="21"/>
                <w:szCs w:val="21"/>
              </w:rPr>
            </w:pPr>
            <w:r>
              <w:rPr>
                <w:rFonts w:ascii="宋体" w:hAnsi="宋体" w:cs="宋体" w:hint="eastAsia"/>
                <w:kern w:val="0"/>
                <w:sz w:val="21"/>
                <w:szCs w:val="21"/>
                <w:lang w:bidi="ar"/>
              </w:rPr>
              <w:t>0.638</w:t>
            </w:r>
          </w:p>
        </w:tc>
      </w:tr>
      <w:tr w:rsidR="00000000" w14:paraId="6D92391B" w14:textId="77777777">
        <w:trPr>
          <w:jc w:val="center"/>
        </w:trPr>
        <w:tc>
          <w:tcPr>
            <w:tcW w:w="1653" w:type="dxa"/>
            <w:vMerge/>
            <w:tcBorders>
              <w:top w:val="nil"/>
              <w:left w:val="nil"/>
              <w:bottom w:val="nil"/>
              <w:right w:val="nil"/>
            </w:tcBorders>
            <w:noWrap/>
            <w:vAlign w:val="center"/>
          </w:tcPr>
          <w:p w14:paraId="0459B7F7" w14:textId="77777777" w:rsidR="00000000" w:rsidRDefault="00000000">
            <w:pPr>
              <w:snapToGrid w:val="0"/>
              <w:spacing w:line="360" w:lineRule="auto"/>
              <w:ind w:firstLine="0"/>
              <w:jc w:val="center"/>
              <w:rPr>
                <w:rFonts w:ascii="宋体" w:hAnsi="宋体" w:cs="宋体"/>
                <w:sz w:val="21"/>
                <w:szCs w:val="21"/>
              </w:rPr>
            </w:pPr>
          </w:p>
        </w:tc>
        <w:tc>
          <w:tcPr>
            <w:tcW w:w="2167" w:type="dxa"/>
            <w:tcBorders>
              <w:top w:val="nil"/>
              <w:left w:val="nil"/>
              <w:bottom w:val="nil"/>
              <w:right w:val="nil"/>
            </w:tcBorders>
            <w:noWrap/>
            <w:vAlign w:val="center"/>
          </w:tcPr>
          <w:p w14:paraId="00F32938" w14:textId="77777777" w:rsidR="00000000" w:rsidRDefault="00000000">
            <w:pPr>
              <w:widowControl/>
              <w:snapToGrid w:val="0"/>
              <w:spacing w:line="360" w:lineRule="auto"/>
              <w:ind w:firstLine="0"/>
              <w:jc w:val="center"/>
              <w:textAlignment w:val="center"/>
              <w:rPr>
                <w:rFonts w:ascii="宋体" w:hAnsi="宋体" w:cs="宋体"/>
                <w:sz w:val="21"/>
                <w:szCs w:val="21"/>
              </w:rPr>
            </w:pPr>
            <w:r>
              <w:rPr>
                <w:rFonts w:ascii="宋体" w:hAnsi="宋体" w:cs="宋体" w:hint="eastAsia"/>
                <w:kern w:val="0"/>
                <w:sz w:val="21"/>
                <w:szCs w:val="21"/>
                <w:lang w:bidi="ar"/>
              </w:rPr>
              <w:t>排序结果</w:t>
            </w:r>
          </w:p>
        </w:tc>
        <w:tc>
          <w:tcPr>
            <w:tcW w:w="962" w:type="dxa"/>
            <w:tcBorders>
              <w:top w:val="nil"/>
              <w:left w:val="nil"/>
              <w:bottom w:val="nil"/>
              <w:right w:val="nil"/>
            </w:tcBorders>
            <w:noWrap/>
            <w:vAlign w:val="center"/>
          </w:tcPr>
          <w:p w14:paraId="0B80FC73" w14:textId="77777777" w:rsidR="00000000" w:rsidRDefault="00000000">
            <w:pPr>
              <w:widowControl/>
              <w:snapToGrid w:val="0"/>
              <w:spacing w:line="360" w:lineRule="auto"/>
              <w:ind w:firstLine="0"/>
              <w:jc w:val="center"/>
              <w:textAlignment w:val="center"/>
              <w:rPr>
                <w:rFonts w:ascii="宋体" w:hAnsi="宋体" w:cs="宋体"/>
                <w:sz w:val="21"/>
                <w:szCs w:val="21"/>
              </w:rPr>
            </w:pPr>
            <w:r>
              <w:rPr>
                <w:rFonts w:ascii="宋体" w:hAnsi="宋体" w:cs="宋体" w:hint="eastAsia"/>
                <w:kern w:val="0"/>
                <w:sz w:val="21"/>
                <w:szCs w:val="21"/>
                <w:lang w:bidi="ar"/>
              </w:rPr>
              <w:t>1</w:t>
            </w:r>
          </w:p>
        </w:tc>
        <w:tc>
          <w:tcPr>
            <w:tcW w:w="962" w:type="dxa"/>
            <w:tcBorders>
              <w:top w:val="nil"/>
              <w:left w:val="nil"/>
              <w:bottom w:val="nil"/>
              <w:right w:val="nil"/>
            </w:tcBorders>
            <w:noWrap/>
            <w:vAlign w:val="center"/>
          </w:tcPr>
          <w:p w14:paraId="6E61769B" w14:textId="77777777" w:rsidR="00000000" w:rsidRDefault="00000000">
            <w:pPr>
              <w:widowControl/>
              <w:snapToGrid w:val="0"/>
              <w:spacing w:line="360" w:lineRule="auto"/>
              <w:ind w:firstLine="0"/>
              <w:jc w:val="center"/>
              <w:textAlignment w:val="center"/>
              <w:rPr>
                <w:rFonts w:ascii="宋体" w:hAnsi="宋体" w:cs="宋体"/>
                <w:sz w:val="21"/>
                <w:szCs w:val="21"/>
              </w:rPr>
            </w:pPr>
            <w:r>
              <w:rPr>
                <w:rFonts w:ascii="宋体" w:hAnsi="宋体" w:cs="宋体" w:hint="eastAsia"/>
                <w:kern w:val="0"/>
                <w:sz w:val="21"/>
                <w:szCs w:val="21"/>
                <w:lang w:bidi="ar"/>
              </w:rPr>
              <w:t>4</w:t>
            </w:r>
          </w:p>
        </w:tc>
        <w:tc>
          <w:tcPr>
            <w:tcW w:w="962" w:type="dxa"/>
            <w:tcBorders>
              <w:top w:val="nil"/>
              <w:left w:val="nil"/>
              <w:bottom w:val="nil"/>
              <w:right w:val="nil"/>
            </w:tcBorders>
            <w:noWrap/>
            <w:vAlign w:val="center"/>
          </w:tcPr>
          <w:p w14:paraId="2C1011CE" w14:textId="77777777" w:rsidR="00000000" w:rsidRDefault="00000000">
            <w:pPr>
              <w:widowControl/>
              <w:snapToGrid w:val="0"/>
              <w:spacing w:line="360" w:lineRule="auto"/>
              <w:ind w:firstLine="0"/>
              <w:jc w:val="center"/>
              <w:textAlignment w:val="center"/>
              <w:rPr>
                <w:rFonts w:ascii="宋体" w:hAnsi="宋体" w:cs="宋体"/>
                <w:sz w:val="21"/>
                <w:szCs w:val="21"/>
              </w:rPr>
            </w:pPr>
            <w:r>
              <w:rPr>
                <w:rFonts w:ascii="宋体" w:hAnsi="宋体" w:cs="宋体" w:hint="eastAsia"/>
                <w:kern w:val="0"/>
                <w:sz w:val="21"/>
                <w:szCs w:val="21"/>
                <w:lang w:bidi="ar"/>
              </w:rPr>
              <w:t>5</w:t>
            </w:r>
          </w:p>
        </w:tc>
        <w:tc>
          <w:tcPr>
            <w:tcW w:w="962" w:type="dxa"/>
            <w:tcBorders>
              <w:top w:val="nil"/>
              <w:left w:val="nil"/>
              <w:bottom w:val="nil"/>
              <w:right w:val="nil"/>
            </w:tcBorders>
            <w:noWrap/>
            <w:vAlign w:val="center"/>
          </w:tcPr>
          <w:p w14:paraId="7F87E6DF" w14:textId="77777777" w:rsidR="00000000" w:rsidRDefault="00000000">
            <w:pPr>
              <w:widowControl/>
              <w:snapToGrid w:val="0"/>
              <w:spacing w:line="360" w:lineRule="auto"/>
              <w:ind w:firstLine="0"/>
              <w:jc w:val="center"/>
              <w:textAlignment w:val="center"/>
              <w:rPr>
                <w:rFonts w:ascii="宋体" w:hAnsi="宋体" w:cs="宋体"/>
                <w:sz w:val="21"/>
                <w:szCs w:val="21"/>
              </w:rPr>
            </w:pPr>
            <w:r>
              <w:rPr>
                <w:rFonts w:ascii="宋体" w:hAnsi="宋体" w:cs="宋体" w:hint="eastAsia"/>
                <w:kern w:val="0"/>
                <w:sz w:val="21"/>
                <w:szCs w:val="21"/>
                <w:lang w:bidi="ar"/>
              </w:rPr>
              <w:t>3</w:t>
            </w:r>
          </w:p>
        </w:tc>
        <w:tc>
          <w:tcPr>
            <w:tcW w:w="962" w:type="dxa"/>
            <w:tcBorders>
              <w:top w:val="nil"/>
              <w:left w:val="nil"/>
              <w:bottom w:val="nil"/>
              <w:right w:val="nil"/>
            </w:tcBorders>
            <w:noWrap/>
            <w:vAlign w:val="center"/>
          </w:tcPr>
          <w:p w14:paraId="1BB0ED74" w14:textId="77777777" w:rsidR="00000000" w:rsidRDefault="00000000">
            <w:pPr>
              <w:widowControl/>
              <w:snapToGrid w:val="0"/>
              <w:spacing w:line="360" w:lineRule="auto"/>
              <w:ind w:firstLine="0"/>
              <w:jc w:val="center"/>
              <w:textAlignment w:val="center"/>
              <w:rPr>
                <w:rFonts w:ascii="宋体" w:hAnsi="宋体" w:cs="宋体"/>
                <w:sz w:val="21"/>
                <w:szCs w:val="21"/>
              </w:rPr>
            </w:pPr>
            <w:r>
              <w:rPr>
                <w:rFonts w:ascii="宋体" w:hAnsi="宋体" w:cs="宋体" w:hint="eastAsia"/>
                <w:kern w:val="0"/>
                <w:sz w:val="21"/>
                <w:szCs w:val="21"/>
                <w:lang w:bidi="ar"/>
              </w:rPr>
              <w:t>2</w:t>
            </w:r>
          </w:p>
        </w:tc>
      </w:tr>
      <w:tr w:rsidR="00000000" w14:paraId="5B764088" w14:textId="77777777">
        <w:trPr>
          <w:jc w:val="center"/>
        </w:trPr>
        <w:tc>
          <w:tcPr>
            <w:tcW w:w="1653" w:type="dxa"/>
            <w:vMerge w:val="restart"/>
            <w:tcBorders>
              <w:top w:val="nil"/>
              <w:left w:val="nil"/>
              <w:bottom w:val="nil"/>
              <w:right w:val="nil"/>
            </w:tcBorders>
            <w:noWrap/>
            <w:vAlign w:val="center"/>
          </w:tcPr>
          <w:p w14:paraId="1DA5A2F8" w14:textId="77777777" w:rsidR="00000000" w:rsidRDefault="00000000">
            <w:pPr>
              <w:widowControl/>
              <w:snapToGrid w:val="0"/>
              <w:spacing w:line="360" w:lineRule="auto"/>
              <w:ind w:firstLine="0"/>
              <w:jc w:val="center"/>
              <w:textAlignment w:val="bottom"/>
              <w:rPr>
                <w:rFonts w:ascii="宋体" w:hAnsi="宋体" w:cs="宋体"/>
                <w:sz w:val="21"/>
                <w:szCs w:val="21"/>
              </w:rPr>
            </w:pPr>
            <w:r>
              <w:rPr>
                <w:rFonts w:ascii="宋体" w:hAnsi="宋体" w:cs="宋体" w:hint="eastAsia"/>
                <w:kern w:val="0"/>
                <w:sz w:val="21"/>
                <w:szCs w:val="21"/>
                <w:lang w:bidi="ar"/>
              </w:rPr>
              <w:t>投资风险</w:t>
            </w:r>
          </w:p>
        </w:tc>
        <w:tc>
          <w:tcPr>
            <w:tcW w:w="2167" w:type="dxa"/>
            <w:tcBorders>
              <w:top w:val="nil"/>
              <w:left w:val="nil"/>
              <w:bottom w:val="nil"/>
              <w:right w:val="nil"/>
            </w:tcBorders>
            <w:noWrap/>
            <w:vAlign w:val="center"/>
          </w:tcPr>
          <w:p w14:paraId="7669B5C5" w14:textId="77777777" w:rsidR="00000000" w:rsidRDefault="00000000">
            <w:pPr>
              <w:widowControl/>
              <w:snapToGrid w:val="0"/>
              <w:spacing w:line="360" w:lineRule="auto"/>
              <w:ind w:firstLine="0"/>
              <w:jc w:val="center"/>
              <w:textAlignment w:val="center"/>
              <w:rPr>
                <w:rFonts w:ascii="宋体" w:hAnsi="宋体" w:cs="宋体"/>
                <w:sz w:val="21"/>
                <w:szCs w:val="21"/>
              </w:rPr>
            </w:pPr>
            <w:r>
              <w:rPr>
                <w:rFonts w:ascii="宋体" w:hAnsi="宋体" w:cs="宋体" w:hint="eastAsia"/>
                <w:kern w:val="0"/>
                <w:sz w:val="21"/>
                <w:szCs w:val="21"/>
                <w:lang w:bidi="ar"/>
              </w:rPr>
              <w:t>相对贴近度C</w:t>
            </w:r>
          </w:p>
        </w:tc>
        <w:tc>
          <w:tcPr>
            <w:tcW w:w="962" w:type="dxa"/>
            <w:tcBorders>
              <w:top w:val="nil"/>
              <w:left w:val="nil"/>
              <w:bottom w:val="nil"/>
              <w:right w:val="nil"/>
            </w:tcBorders>
            <w:noWrap/>
            <w:vAlign w:val="center"/>
          </w:tcPr>
          <w:p w14:paraId="506F30D0" w14:textId="77777777" w:rsidR="00000000" w:rsidRDefault="00000000">
            <w:pPr>
              <w:widowControl/>
              <w:snapToGrid w:val="0"/>
              <w:spacing w:line="360" w:lineRule="auto"/>
              <w:ind w:firstLine="0"/>
              <w:jc w:val="center"/>
              <w:textAlignment w:val="center"/>
              <w:rPr>
                <w:rFonts w:ascii="宋体" w:hAnsi="宋体" w:cs="宋体"/>
                <w:sz w:val="21"/>
                <w:szCs w:val="21"/>
              </w:rPr>
            </w:pPr>
            <w:r>
              <w:rPr>
                <w:rFonts w:ascii="宋体" w:hAnsi="宋体" w:cs="宋体" w:hint="eastAsia"/>
                <w:kern w:val="0"/>
                <w:sz w:val="21"/>
                <w:szCs w:val="21"/>
                <w:lang w:bidi="ar"/>
              </w:rPr>
              <w:t>0.274</w:t>
            </w:r>
          </w:p>
        </w:tc>
        <w:tc>
          <w:tcPr>
            <w:tcW w:w="962" w:type="dxa"/>
            <w:tcBorders>
              <w:top w:val="nil"/>
              <w:left w:val="nil"/>
              <w:bottom w:val="nil"/>
              <w:right w:val="nil"/>
            </w:tcBorders>
            <w:noWrap/>
            <w:vAlign w:val="center"/>
          </w:tcPr>
          <w:p w14:paraId="54B08B48" w14:textId="77777777" w:rsidR="00000000" w:rsidRDefault="00000000">
            <w:pPr>
              <w:widowControl/>
              <w:snapToGrid w:val="0"/>
              <w:spacing w:line="360" w:lineRule="auto"/>
              <w:ind w:firstLine="0"/>
              <w:jc w:val="center"/>
              <w:textAlignment w:val="center"/>
              <w:rPr>
                <w:rFonts w:ascii="宋体" w:hAnsi="宋体" w:cs="宋体"/>
                <w:sz w:val="21"/>
                <w:szCs w:val="21"/>
              </w:rPr>
            </w:pPr>
            <w:r>
              <w:rPr>
                <w:rFonts w:ascii="宋体" w:hAnsi="宋体" w:cs="宋体" w:hint="eastAsia"/>
                <w:kern w:val="0"/>
                <w:sz w:val="21"/>
                <w:szCs w:val="21"/>
                <w:lang w:bidi="ar"/>
              </w:rPr>
              <w:t>0.529</w:t>
            </w:r>
          </w:p>
        </w:tc>
        <w:tc>
          <w:tcPr>
            <w:tcW w:w="962" w:type="dxa"/>
            <w:tcBorders>
              <w:top w:val="nil"/>
              <w:left w:val="nil"/>
              <w:bottom w:val="nil"/>
              <w:right w:val="nil"/>
            </w:tcBorders>
            <w:noWrap/>
            <w:vAlign w:val="center"/>
          </w:tcPr>
          <w:p w14:paraId="13DC1C54" w14:textId="77777777" w:rsidR="00000000" w:rsidRDefault="00000000">
            <w:pPr>
              <w:widowControl/>
              <w:snapToGrid w:val="0"/>
              <w:spacing w:line="360" w:lineRule="auto"/>
              <w:ind w:firstLine="0"/>
              <w:jc w:val="center"/>
              <w:textAlignment w:val="center"/>
              <w:rPr>
                <w:rFonts w:ascii="宋体" w:hAnsi="宋体" w:cs="宋体"/>
                <w:sz w:val="21"/>
                <w:szCs w:val="21"/>
              </w:rPr>
            </w:pPr>
            <w:r>
              <w:rPr>
                <w:rFonts w:ascii="宋体" w:hAnsi="宋体" w:cs="宋体" w:hint="eastAsia"/>
                <w:kern w:val="0"/>
                <w:sz w:val="21"/>
                <w:szCs w:val="21"/>
                <w:lang w:bidi="ar"/>
              </w:rPr>
              <w:t>0.000</w:t>
            </w:r>
          </w:p>
        </w:tc>
        <w:tc>
          <w:tcPr>
            <w:tcW w:w="962" w:type="dxa"/>
            <w:tcBorders>
              <w:top w:val="nil"/>
              <w:left w:val="nil"/>
              <w:bottom w:val="nil"/>
              <w:right w:val="nil"/>
            </w:tcBorders>
            <w:noWrap/>
            <w:vAlign w:val="center"/>
          </w:tcPr>
          <w:p w14:paraId="7E378DD1" w14:textId="77777777" w:rsidR="00000000" w:rsidRDefault="00000000">
            <w:pPr>
              <w:widowControl/>
              <w:snapToGrid w:val="0"/>
              <w:spacing w:line="360" w:lineRule="auto"/>
              <w:ind w:firstLine="0"/>
              <w:jc w:val="center"/>
              <w:textAlignment w:val="center"/>
              <w:rPr>
                <w:rFonts w:ascii="宋体" w:hAnsi="宋体" w:cs="宋体"/>
                <w:sz w:val="21"/>
                <w:szCs w:val="21"/>
              </w:rPr>
            </w:pPr>
            <w:r>
              <w:rPr>
                <w:rFonts w:ascii="宋体" w:hAnsi="宋体" w:cs="宋体" w:hint="eastAsia"/>
                <w:kern w:val="0"/>
                <w:sz w:val="21"/>
                <w:szCs w:val="21"/>
                <w:lang w:bidi="ar"/>
              </w:rPr>
              <w:t>0.829</w:t>
            </w:r>
          </w:p>
        </w:tc>
        <w:tc>
          <w:tcPr>
            <w:tcW w:w="962" w:type="dxa"/>
            <w:tcBorders>
              <w:top w:val="nil"/>
              <w:left w:val="nil"/>
              <w:bottom w:val="nil"/>
              <w:right w:val="nil"/>
            </w:tcBorders>
            <w:noWrap/>
            <w:vAlign w:val="center"/>
          </w:tcPr>
          <w:p w14:paraId="344879D2" w14:textId="77777777" w:rsidR="00000000" w:rsidRDefault="00000000">
            <w:pPr>
              <w:widowControl/>
              <w:snapToGrid w:val="0"/>
              <w:spacing w:line="360" w:lineRule="auto"/>
              <w:ind w:firstLine="0"/>
              <w:jc w:val="center"/>
              <w:textAlignment w:val="center"/>
              <w:rPr>
                <w:rFonts w:ascii="宋体" w:hAnsi="宋体" w:cs="宋体"/>
                <w:sz w:val="21"/>
                <w:szCs w:val="21"/>
              </w:rPr>
            </w:pPr>
            <w:r>
              <w:rPr>
                <w:rFonts w:ascii="宋体" w:hAnsi="宋体" w:cs="宋体" w:hint="eastAsia"/>
                <w:kern w:val="0"/>
                <w:sz w:val="21"/>
                <w:szCs w:val="21"/>
                <w:lang w:bidi="ar"/>
              </w:rPr>
              <w:t>0.899</w:t>
            </w:r>
          </w:p>
        </w:tc>
      </w:tr>
      <w:tr w:rsidR="00000000" w14:paraId="18FB59F9" w14:textId="77777777">
        <w:trPr>
          <w:jc w:val="center"/>
        </w:trPr>
        <w:tc>
          <w:tcPr>
            <w:tcW w:w="1653" w:type="dxa"/>
            <w:vMerge/>
            <w:tcBorders>
              <w:top w:val="nil"/>
              <w:left w:val="nil"/>
              <w:bottom w:val="nil"/>
              <w:right w:val="nil"/>
            </w:tcBorders>
            <w:noWrap/>
            <w:vAlign w:val="center"/>
          </w:tcPr>
          <w:p w14:paraId="62969A0A" w14:textId="77777777" w:rsidR="00000000" w:rsidRDefault="00000000">
            <w:pPr>
              <w:snapToGrid w:val="0"/>
              <w:spacing w:line="360" w:lineRule="auto"/>
              <w:ind w:firstLine="0"/>
              <w:jc w:val="center"/>
              <w:rPr>
                <w:rFonts w:ascii="宋体" w:hAnsi="宋体" w:cs="宋体"/>
                <w:sz w:val="21"/>
                <w:szCs w:val="21"/>
              </w:rPr>
            </w:pPr>
          </w:p>
        </w:tc>
        <w:tc>
          <w:tcPr>
            <w:tcW w:w="2167" w:type="dxa"/>
            <w:tcBorders>
              <w:top w:val="nil"/>
              <w:left w:val="nil"/>
              <w:bottom w:val="nil"/>
              <w:right w:val="nil"/>
            </w:tcBorders>
            <w:noWrap/>
            <w:vAlign w:val="center"/>
          </w:tcPr>
          <w:p w14:paraId="46A05C68" w14:textId="77777777" w:rsidR="00000000" w:rsidRDefault="00000000">
            <w:pPr>
              <w:widowControl/>
              <w:snapToGrid w:val="0"/>
              <w:spacing w:line="360" w:lineRule="auto"/>
              <w:ind w:firstLine="0"/>
              <w:jc w:val="center"/>
              <w:textAlignment w:val="center"/>
              <w:rPr>
                <w:rFonts w:ascii="宋体" w:hAnsi="宋体" w:cs="宋体"/>
                <w:sz w:val="21"/>
                <w:szCs w:val="21"/>
              </w:rPr>
            </w:pPr>
            <w:r>
              <w:rPr>
                <w:rFonts w:ascii="宋体" w:hAnsi="宋体" w:cs="宋体" w:hint="eastAsia"/>
                <w:kern w:val="0"/>
                <w:sz w:val="21"/>
                <w:szCs w:val="21"/>
                <w:lang w:bidi="ar"/>
              </w:rPr>
              <w:t>排序结果</w:t>
            </w:r>
          </w:p>
        </w:tc>
        <w:tc>
          <w:tcPr>
            <w:tcW w:w="962" w:type="dxa"/>
            <w:tcBorders>
              <w:top w:val="nil"/>
              <w:left w:val="nil"/>
              <w:bottom w:val="nil"/>
              <w:right w:val="nil"/>
            </w:tcBorders>
            <w:noWrap/>
            <w:vAlign w:val="center"/>
          </w:tcPr>
          <w:p w14:paraId="1105D568" w14:textId="77777777" w:rsidR="00000000" w:rsidRDefault="00000000">
            <w:pPr>
              <w:widowControl/>
              <w:snapToGrid w:val="0"/>
              <w:spacing w:line="360" w:lineRule="auto"/>
              <w:ind w:firstLine="0"/>
              <w:jc w:val="center"/>
              <w:textAlignment w:val="center"/>
              <w:rPr>
                <w:rFonts w:ascii="宋体" w:hAnsi="宋体" w:cs="宋体"/>
                <w:sz w:val="21"/>
                <w:szCs w:val="21"/>
              </w:rPr>
            </w:pPr>
            <w:r>
              <w:rPr>
                <w:rFonts w:ascii="宋体" w:hAnsi="宋体" w:cs="宋体" w:hint="eastAsia"/>
                <w:kern w:val="0"/>
                <w:sz w:val="21"/>
                <w:szCs w:val="21"/>
                <w:lang w:bidi="ar"/>
              </w:rPr>
              <w:t>4</w:t>
            </w:r>
          </w:p>
        </w:tc>
        <w:tc>
          <w:tcPr>
            <w:tcW w:w="962" w:type="dxa"/>
            <w:tcBorders>
              <w:top w:val="nil"/>
              <w:left w:val="nil"/>
              <w:bottom w:val="nil"/>
              <w:right w:val="nil"/>
            </w:tcBorders>
            <w:noWrap/>
            <w:vAlign w:val="center"/>
          </w:tcPr>
          <w:p w14:paraId="27D89F2B" w14:textId="77777777" w:rsidR="00000000" w:rsidRDefault="00000000">
            <w:pPr>
              <w:widowControl/>
              <w:snapToGrid w:val="0"/>
              <w:spacing w:line="360" w:lineRule="auto"/>
              <w:ind w:firstLine="0"/>
              <w:jc w:val="center"/>
              <w:textAlignment w:val="center"/>
              <w:rPr>
                <w:rFonts w:ascii="宋体" w:hAnsi="宋体" w:cs="宋体"/>
                <w:sz w:val="21"/>
                <w:szCs w:val="21"/>
              </w:rPr>
            </w:pPr>
            <w:r>
              <w:rPr>
                <w:rFonts w:ascii="宋体" w:hAnsi="宋体" w:cs="宋体" w:hint="eastAsia"/>
                <w:kern w:val="0"/>
                <w:sz w:val="21"/>
                <w:szCs w:val="21"/>
                <w:lang w:bidi="ar"/>
              </w:rPr>
              <w:t>3</w:t>
            </w:r>
          </w:p>
        </w:tc>
        <w:tc>
          <w:tcPr>
            <w:tcW w:w="962" w:type="dxa"/>
            <w:tcBorders>
              <w:top w:val="nil"/>
              <w:left w:val="nil"/>
              <w:bottom w:val="nil"/>
              <w:right w:val="nil"/>
            </w:tcBorders>
            <w:noWrap/>
            <w:vAlign w:val="center"/>
          </w:tcPr>
          <w:p w14:paraId="3C5F0ACA" w14:textId="77777777" w:rsidR="00000000" w:rsidRDefault="00000000">
            <w:pPr>
              <w:widowControl/>
              <w:snapToGrid w:val="0"/>
              <w:spacing w:line="360" w:lineRule="auto"/>
              <w:ind w:firstLine="0"/>
              <w:jc w:val="center"/>
              <w:textAlignment w:val="center"/>
              <w:rPr>
                <w:rFonts w:ascii="宋体" w:hAnsi="宋体" w:cs="宋体"/>
                <w:sz w:val="21"/>
                <w:szCs w:val="21"/>
              </w:rPr>
            </w:pPr>
            <w:r>
              <w:rPr>
                <w:rFonts w:ascii="宋体" w:hAnsi="宋体" w:cs="宋体" w:hint="eastAsia"/>
                <w:kern w:val="0"/>
                <w:sz w:val="21"/>
                <w:szCs w:val="21"/>
                <w:lang w:bidi="ar"/>
              </w:rPr>
              <w:t>5</w:t>
            </w:r>
          </w:p>
        </w:tc>
        <w:tc>
          <w:tcPr>
            <w:tcW w:w="962" w:type="dxa"/>
            <w:tcBorders>
              <w:top w:val="nil"/>
              <w:left w:val="nil"/>
              <w:bottom w:val="nil"/>
              <w:right w:val="nil"/>
            </w:tcBorders>
            <w:noWrap/>
            <w:vAlign w:val="center"/>
          </w:tcPr>
          <w:p w14:paraId="252DBCE1" w14:textId="77777777" w:rsidR="00000000" w:rsidRDefault="00000000">
            <w:pPr>
              <w:widowControl/>
              <w:snapToGrid w:val="0"/>
              <w:spacing w:line="360" w:lineRule="auto"/>
              <w:ind w:firstLine="0"/>
              <w:jc w:val="center"/>
              <w:textAlignment w:val="center"/>
              <w:rPr>
                <w:rFonts w:ascii="宋体" w:hAnsi="宋体" w:cs="宋体"/>
                <w:sz w:val="21"/>
                <w:szCs w:val="21"/>
              </w:rPr>
            </w:pPr>
            <w:r>
              <w:rPr>
                <w:rFonts w:ascii="宋体" w:hAnsi="宋体" w:cs="宋体" w:hint="eastAsia"/>
                <w:kern w:val="0"/>
                <w:sz w:val="21"/>
                <w:szCs w:val="21"/>
                <w:lang w:bidi="ar"/>
              </w:rPr>
              <w:t>2</w:t>
            </w:r>
          </w:p>
        </w:tc>
        <w:tc>
          <w:tcPr>
            <w:tcW w:w="962" w:type="dxa"/>
            <w:tcBorders>
              <w:top w:val="nil"/>
              <w:left w:val="nil"/>
              <w:bottom w:val="nil"/>
              <w:right w:val="nil"/>
            </w:tcBorders>
            <w:noWrap/>
            <w:vAlign w:val="center"/>
          </w:tcPr>
          <w:p w14:paraId="66B3C0E1" w14:textId="77777777" w:rsidR="00000000" w:rsidRDefault="00000000">
            <w:pPr>
              <w:widowControl/>
              <w:snapToGrid w:val="0"/>
              <w:spacing w:line="360" w:lineRule="auto"/>
              <w:ind w:firstLine="0"/>
              <w:jc w:val="center"/>
              <w:textAlignment w:val="center"/>
              <w:rPr>
                <w:rFonts w:ascii="宋体" w:hAnsi="宋体" w:cs="宋体"/>
                <w:sz w:val="21"/>
                <w:szCs w:val="21"/>
              </w:rPr>
            </w:pPr>
            <w:r>
              <w:rPr>
                <w:rFonts w:ascii="宋体" w:hAnsi="宋体" w:cs="宋体" w:hint="eastAsia"/>
                <w:kern w:val="0"/>
                <w:sz w:val="21"/>
                <w:szCs w:val="21"/>
                <w:lang w:bidi="ar"/>
              </w:rPr>
              <w:t>1</w:t>
            </w:r>
          </w:p>
        </w:tc>
      </w:tr>
      <w:tr w:rsidR="00000000" w14:paraId="710D9648" w14:textId="77777777">
        <w:trPr>
          <w:jc w:val="center"/>
        </w:trPr>
        <w:tc>
          <w:tcPr>
            <w:tcW w:w="1653" w:type="dxa"/>
            <w:vMerge w:val="restart"/>
            <w:tcBorders>
              <w:top w:val="nil"/>
              <w:left w:val="nil"/>
              <w:bottom w:val="nil"/>
              <w:right w:val="nil"/>
            </w:tcBorders>
            <w:noWrap/>
            <w:vAlign w:val="center"/>
          </w:tcPr>
          <w:p w14:paraId="7DB75DF3" w14:textId="77777777" w:rsidR="00000000" w:rsidRDefault="00000000">
            <w:pPr>
              <w:widowControl/>
              <w:snapToGrid w:val="0"/>
              <w:spacing w:line="360" w:lineRule="auto"/>
              <w:ind w:firstLine="0"/>
              <w:jc w:val="center"/>
              <w:textAlignment w:val="bottom"/>
              <w:rPr>
                <w:rFonts w:ascii="宋体" w:hAnsi="宋体" w:cs="宋体"/>
                <w:sz w:val="21"/>
                <w:szCs w:val="21"/>
              </w:rPr>
            </w:pPr>
            <w:r>
              <w:rPr>
                <w:rFonts w:ascii="宋体" w:hAnsi="宋体" w:cs="宋体" w:hint="eastAsia"/>
                <w:kern w:val="0"/>
                <w:sz w:val="21"/>
                <w:szCs w:val="21"/>
                <w:lang w:bidi="ar"/>
              </w:rPr>
              <w:t>营运风险</w:t>
            </w:r>
          </w:p>
        </w:tc>
        <w:tc>
          <w:tcPr>
            <w:tcW w:w="2167" w:type="dxa"/>
            <w:tcBorders>
              <w:top w:val="nil"/>
              <w:left w:val="nil"/>
              <w:bottom w:val="nil"/>
              <w:right w:val="nil"/>
            </w:tcBorders>
            <w:noWrap/>
            <w:vAlign w:val="center"/>
          </w:tcPr>
          <w:p w14:paraId="7E9C31D4" w14:textId="77777777" w:rsidR="00000000" w:rsidRDefault="00000000">
            <w:pPr>
              <w:widowControl/>
              <w:snapToGrid w:val="0"/>
              <w:spacing w:line="360" w:lineRule="auto"/>
              <w:ind w:firstLine="0"/>
              <w:jc w:val="center"/>
              <w:textAlignment w:val="center"/>
              <w:rPr>
                <w:rFonts w:ascii="宋体" w:hAnsi="宋体" w:cs="宋体"/>
                <w:sz w:val="21"/>
                <w:szCs w:val="21"/>
              </w:rPr>
            </w:pPr>
            <w:r>
              <w:rPr>
                <w:rFonts w:ascii="宋体" w:hAnsi="宋体" w:cs="宋体" w:hint="eastAsia"/>
                <w:kern w:val="0"/>
                <w:sz w:val="21"/>
                <w:szCs w:val="21"/>
                <w:lang w:bidi="ar"/>
              </w:rPr>
              <w:t>相对贴近度C</w:t>
            </w:r>
          </w:p>
        </w:tc>
        <w:tc>
          <w:tcPr>
            <w:tcW w:w="962" w:type="dxa"/>
            <w:tcBorders>
              <w:top w:val="nil"/>
              <w:left w:val="nil"/>
              <w:bottom w:val="nil"/>
              <w:right w:val="nil"/>
            </w:tcBorders>
            <w:noWrap/>
            <w:vAlign w:val="center"/>
          </w:tcPr>
          <w:p w14:paraId="49308A46" w14:textId="77777777" w:rsidR="00000000" w:rsidRDefault="00000000">
            <w:pPr>
              <w:widowControl/>
              <w:snapToGrid w:val="0"/>
              <w:spacing w:line="360" w:lineRule="auto"/>
              <w:ind w:firstLine="0"/>
              <w:jc w:val="center"/>
              <w:textAlignment w:val="center"/>
              <w:rPr>
                <w:rFonts w:ascii="宋体" w:hAnsi="宋体" w:cs="宋体"/>
                <w:sz w:val="21"/>
                <w:szCs w:val="21"/>
              </w:rPr>
            </w:pPr>
            <w:r>
              <w:rPr>
                <w:rFonts w:ascii="宋体" w:hAnsi="宋体" w:cs="宋体" w:hint="eastAsia"/>
                <w:kern w:val="0"/>
                <w:sz w:val="21"/>
                <w:szCs w:val="21"/>
                <w:lang w:bidi="ar"/>
              </w:rPr>
              <w:t>0.626</w:t>
            </w:r>
          </w:p>
        </w:tc>
        <w:tc>
          <w:tcPr>
            <w:tcW w:w="962" w:type="dxa"/>
            <w:tcBorders>
              <w:top w:val="nil"/>
              <w:left w:val="nil"/>
              <w:bottom w:val="nil"/>
              <w:right w:val="nil"/>
            </w:tcBorders>
            <w:noWrap/>
            <w:vAlign w:val="center"/>
          </w:tcPr>
          <w:p w14:paraId="66358DCC" w14:textId="77777777" w:rsidR="00000000" w:rsidRDefault="00000000">
            <w:pPr>
              <w:widowControl/>
              <w:snapToGrid w:val="0"/>
              <w:spacing w:line="360" w:lineRule="auto"/>
              <w:ind w:firstLine="0"/>
              <w:jc w:val="center"/>
              <w:textAlignment w:val="center"/>
              <w:rPr>
                <w:rFonts w:ascii="宋体" w:hAnsi="宋体" w:cs="宋体"/>
                <w:sz w:val="21"/>
                <w:szCs w:val="21"/>
              </w:rPr>
            </w:pPr>
            <w:r>
              <w:rPr>
                <w:rFonts w:ascii="宋体" w:hAnsi="宋体" w:cs="宋体" w:hint="eastAsia"/>
                <w:kern w:val="0"/>
                <w:sz w:val="21"/>
                <w:szCs w:val="21"/>
                <w:lang w:bidi="ar"/>
              </w:rPr>
              <w:t>0.916</w:t>
            </w:r>
          </w:p>
        </w:tc>
        <w:tc>
          <w:tcPr>
            <w:tcW w:w="962" w:type="dxa"/>
            <w:tcBorders>
              <w:top w:val="nil"/>
              <w:left w:val="nil"/>
              <w:bottom w:val="nil"/>
              <w:right w:val="nil"/>
            </w:tcBorders>
            <w:noWrap/>
            <w:vAlign w:val="center"/>
          </w:tcPr>
          <w:p w14:paraId="2F8DBA4E" w14:textId="77777777" w:rsidR="00000000" w:rsidRDefault="00000000">
            <w:pPr>
              <w:widowControl/>
              <w:snapToGrid w:val="0"/>
              <w:spacing w:line="360" w:lineRule="auto"/>
              <w:ind w:firstLine="0"/>
              <w:jc w:val="center"/>
              <w:textAlignment w:val="center"/>
              <w:rPr>
                <w:rFonts w:ascii="宋体" w:hAnsi="宋体" w:cs="宋体"/>
                <w:sz w:val="21"/>
                <w:szCs w:val="21"/>
              </w:rPr>
            </w:pPr>
            <w:r>
              <w:rPr>
                <w:rFonts w:ascii="宋体" w:hAnsi="宋体" w:cs="宋体" w:hint="eastAsia"/>
                <w:kern w:val="0"/>
                <w:sz w:val="21"/>
                <w:szCs w:val="21"/>
                <w:lang w:bidi="ar"/>
              </w:rPr>
              <w:t>0.356</w:t>
            </w:r>
          </w:p>
        </w:tc>
        <w:tc>
          <w:tcPr>
            <w:tcW w:w="962" w:type="dxa"/>
            <w:tcBorders>
              <w:top w:val="nil"/>
              <w:left w:val="nil"/>
              <w:bottom w:val="nil"/>
              <w:right w:val="nil"/>
            </w:tcBorders>
            <w:noWrap/>
            <w:vAlign w:val="center"/>
          </w:tcPr>
          <w:p w14:paraId="6B310B17" w14:textId="77777777" w:rsidR="00000000" w:rsidRDefault="00000000">
            <w:pPr>
              <w:widowControl/>
              <w:snapToGrid w:val="0"/>
              <w:spacing w:line="360" w:lineRule="auto"/>
              <w:ind w:firstLine="0"/>
              <w:jc w:val="center"/>
              <w:textAlignment w:val="center"/>
              <w:rPr>
                <w:rFonts w:ascii="宋体" w:hAnsi="宋体" w:cs="宋体"/>
                <w:sz w:val="21"/>
                <w:szCs w:val="21"/>
              </w:rPr>
            </w:pPr>
            <w:r>
              <w:rPr>
                <w:rFonts w:ascii="宋体" w:hAnsi="宋体" w:cs="宋体" w:hint="eastAsia"/>
                <w:kern w:val="0"/>
                <w:sz w:val="21"/>
                <w:szCs w:val="21"/>
                <w:lang w:bidi="ar"/>
              </w:rPr>
              <w:t>0.641</w:t>
            </w:r>
          </w:p>
        </w:tc>
        <w:tc>
          <w:tcPr>
            <w:tcW w:w="962" w:type="dxa"/>
            <w:tcBorders>
              <w:top w:val="nil"/>
              <w:left w:val="nil"/>
              <w:bottom w:val="nil"/>
              <w:right w:val="nil"/>
            </w:tcBorders>
            <w:noWrap/>
            <w:vAlign w:val="center"/>
          </w:tcPr>
          <w:p w14:paraId="53835981" w14:textId="77777777" w:rsidR="00000000" w:rsidRDefault="00000000">
            <w:pPr>
              <w:widowControl/>
              <w:snapToGrid w:val="0"/>
              <w:spacing w:line="360" w:lineRule="auto"/>
              <w:ind w:firstLine="0"/>
              <w:jc w:val="center"/>
              <w:textAlignment w:val="center"/>
              <w:rPr>
                <w:rFonts w:ascii="宋体" w:hAnsi="宋体" w:cs="宋体"/>
                <w:sz w:val="21"/>
                <w:szCs w:val="21"/>
              </w:rPr>
            </w:pPr>
            <w:r>
              <w:rPr>
                <w:rFonts w:ascii="宋体" w:hAnsi="宋体" w:cs="宋体" w:hint="eastAsia"/>
                <w:kern w:val="0"/>
                <w:sz w:val="21"/>
                <w:szCs w:val="21"/>
                <w:lang w:bidi="ar"/>
              </w:rPr>
              <w:t>0.000</w:t>
            </w:r>
          </w:p>
        </w:tc>
      </w:tr>
      <w:tr w:rsidR="00000000" w14:paraId="146696CD" w14:textId="77777777">
        <w:trPr>
          <w:jc w:val="center"/>
        </w:trPr>
        <w:tc>
          <w:tcPr>
            <w:tcW w:w="1653" w:type="dxa"/>
            <w:vMerge/>
            <w:tcBorders>
              <w:top w:val="nil"/>
              <w:left w:val="nil"/>
              <w:bottom w:val="nil"/>
              <w:right w:val="nil"/>
            </w:tcBorders>
            <w:noWrap/>
            <w:vAlign w:val="center"/>
          </w:tcPr>
          <w:p w14:paraId="314B41FE" w14:textId="77777777" w:rsidR="00000000" w:rsidRDefault="00000000">
            <w:pPr>
              <w:snapToGrid w:val="0"/>
              <w:spacing w:line="360" w:lineRule="auto"/>
              <w:ind w:firstLine="0"/>
              <w:jc w:val="center"/>
              <w:rPr>
                <w:rFonts w:ascii="宋体" w:hAnsi="宋体" w:cs="宋体"/>
                <w:sz w:val="21"/>
                <w:szCs w:val="21"/>
              </w:rPr>
            </w:pPr>
          </w:p>
        </w:tc>
        <w:tc>
          <w:tcPr>
            <w:tcW w:w="2167" w:type="dxa"/>
            <w:tcBorders>
              <w:top w:val="nil"/>
              <w:left w:val="nil"/>
              <w:bottom w:val="nil"/>
              <w:right w:val="nil"/>
            </w:tcBorders>
            <w:noWrap/>
            <w:vAlign w:val="center"/>
          </w:tcPr>
          <w:p w14:paraId="2F2F6E3D" w14:textId="77777777" w:rsidR="00000000" w:rsidRDefault="00000000">
            <w:pPr>
              <w:widowControl/>
              <w:snapToGrid w:val="0"/>
              <w:spacing w:line="360" w:lineRule="auto"/>
              <w:ind w:firstLine="0"/>
              <w:jc w:val="center"/>
              <w:textAlignment w:val="center"/>
              <w:rPr>
                <w:rFonts w:ascii="宋体" w:hAnsi="宋体" w:cs="宋体"/>
                <w:sz w:val="21"/>
                <w:szCs w:val="21"/>
              </w:rPr>
            </w:pPr>
            <w:r>
              <w:rPr>
                <w:rFonts w:ascii="宋体" w:hAnsi="宋体" w:cs="宋体" w:hint="eastAsia"/>
                <w:kern w:val="0"/>
                <w:sz w:val="21"/>
                <w:szCs w:val="21"/>
                <w:lang w:bidi="ar"/>
              </w:rPr>
              <w:t>排序结果</w:t>
            </w:r>
          </w:p>
        </w:tc>
        <w:tc>
          <w:tcPr>
            <w:tcW w:w="962" w:type="dxa"/>
            <w:tcBorders>
              <w:top w:val="nil"/>
              <w:left w:val="nil"/>
              <w:bottom w:val="nil"/>
              <w:right w:val="nil"/>
            </w:tcBorders>
            <w:noWrap/>
            <w:vAlign w:val="center"/>
          </w:tcPr>
          <w:p w14:paraId="49A4E025" w14:textId="77777777" w:rsidR="00000000" w:rsidRDefault="00000000">
            <w:pPr>
              <w:widowControl/>
              <w:snapToGrid w:val="0"/>
              <w:spacing w:line="360" w:lineRule="auto"/>
              <w:ind w:firstLine="0"/>
              <w:jc w:val="center"/>
              <w:textAlignment w:val="center"/>
              <w:rPr>
                <w:rFonts w:ascii="宋体" w:hAnsi="宋体" w:cs="宋体"/>
                <w:sz w:val="21"/>
                <w:szCs w:val="21"/>
              </w:rPr>
            </w:pPr>
            <w:r>
              <w:rPr>
                <w:rFonts w:ascii="宋体" w:hAnsi="宋体" w:cs="宋体" w:hint="eastAsia"/>
                <w:kern w:val="0"/>
                <w:sz w:val="21"/>
                <w:szCs w:val="21"/>
                <w:lang w:bidi="ar"/>
              </w:rPr>
              <w:t>3</w:t>
            </w:r>
          </w:p>
        </w:tc>
        <w:tc>
          <w:tcPr>
            <w:tcW w:w="962" w:type="dxa"/>
            <w:tcBorders>
              <w:top w:val="nil"/>
              <w:left w:val="nil"/>
              <w:bottom w:val="nil"/>
              <w:right w:val="nil"/>
            </w:tcBorders>
            <w:noWrap/>
            <w:vAlign w:val="center"/>
          </w:tcPr>
          <w:p w14:paraId="5537B7F1" w14:textId="77777777" w:rsidR="00000000" w:rsidRDefault="00000000">
            <w:pPr>
              <w:widowControl/>
              <w:snapToGrid w:val="0"/>
              <w:spacing w:line="360" w:lineRule="auto"/>
              <w:ind w:firstLine="0"/>
              <w:jc w:val="center"/>
              <w:textAlignment w:val="center"/>
              <w:rPr>
                <w:rFonts w:ascii="宋体" w:hAnsi="宋体" w:cs="宋体"/>
                <w:sz w:val="21"/>
                <w:szCs w:val="21"/>
              </w:rPr>
            </w:pPr>
            <w:r>
              <w:rPr>
                <w:rFonts w:ascii="宋体" w:hAnsi="宋体" w:cs="宋体" w:hint="eastAsia"/>
                <w:kern w:val="0"/>
                <w:sz w:val="21"/>
                <w:szCs w:val="21"/>
                <w:lang w:bidi="ar"/>
              </w:rPr>
              <w:t>1</w:t>
            </w:r>
          </w:p>
        </w:tc>
        <w:tc>
          <w:tcPr>
            <w:tcW w:w="962" w:type="dxa"/>
            <w:tcBorders>
              <w:top w:val="nil"/>
              <w:left w:val="nil"/>
              <w:bottom w:val="nil"/>
              <w:right w:val="nil"/>
            </w:tcBorders>
            <w:noWrap/>
            <w:vAlign w:val="center"/>
          </w:tcPr>
          <w:p w14:paraId="559883D9" w14:textId="77777777" w:rsidR="00000000" w:rsidRDefault="00000000">
            <w:pPr>
              <w:widowControl/>
              <w:snapToGrid w:val="0"/>
              <w:spacing w:line="360" w:lineRule="auto"/>
              <w:ind w:firstLine="0"/>
              <w:jc w:val="center"/>
              <w:textAlignment w:val="center"/>
              <w:rPr>
                <w:rFonts w:ascii="宋体" w:hAnsi="宋体" w:cs="宋体"/>
                <w:sz w:val="21"/>
                <w:szCs w:val="21"/>
              </w:rPr>
            </w:pPr>
            <w:r>
              <w:rPr>
                <w:rFonts w:ascii="宋体" w:hAnsi="宋体" w:cs="宋体" w:hint="eastAsia"/>
                <w:kern w:val="0"/>
                <w:sz w:val="21"/>
                <w:szCs w:val="21"/>
                <w:lang w:bidi="ar"/>
              </w:rPr>
              <w:t>4</w:t>
            </w:r>
          </w:p>
        </w:tc>
        <w:tc>
          <w:tcPr>
            <w:tcW w:w="962" w:type="dxa"/>
            <w:tcBorders>
              <w:top w:val="nil"/>
              <w:left w:val="nil"/>
              <w:bottom w:val="nil"/>
              <w:right w:val="nil"/>
            </w:tcBorders>
            <w:noWrap/>
            <w:vAlign w:val="center"/>
          </w:tcPr>
          <w:p w14:paraId="5706F9DE" w14:textId="77777777" w:rsidR="00000000" w:rsidRDefault="00000000">
            <w:pPr>
              <w:widowControl/>
              <w:snapToGrid w:val="0"/>
              <w:spacing w:line="360" w:lineRule="auto"/>
              <w:ind w:firstLine="0"/>
              <w:jc w:val="center"/>
              <w:textAlignment w:val="center"/>
              <w:rPr>
                <w:rFonts w:ascii="宋体" w:hAnsi="宋体" w:cs="宋体"/>
                <w:sz w:val="21"/>
                <w:szCs w:val="21"/>
              </w:rPr>
            </w:pPr>
            <w:r>
              <w:rPr>
                <w:rFonts w:ascii="宋体" w:hAnsi="宋体" w:cs="宋体" w:hint="eastAsia"/>
                <w:kern w:val="0"/>
                <w:sz w:val="21"/>
                <w:szCs w:val="21"/>
                <w:lang w:bidi="ar"/>
              </w:rPr>
              <w:t>2</w:t>
            </w:r>
          </w:p>
        </w:tc>
        <w:tc>
          <w:tcPr>
            <w:tcW w:w="962" w:type="dxa"/>
            <w:tcBorders>
              <w:top w:val="nil"/>
              <w:left w:val="nil"/>
              <w:bottom w:val="nil"/>
              <w:right w:val="nil"/>
            </w:tcBorders>
            <w:noWrap/>
            <w:vAlign w:val="center"/>
          </w:tcPr>
          <w:p w14:paraId="41AC91EA" w14:textId="77777777" w:rsidR="00000000" w:rsidRDefault="00000000">
            <w:pPr>
              <w:widowControl/>
              <w:snapToGrid w:val="0"/>
              <w:spacing w:line="360" w:lineRule="auto"/>
              <w:ind w:firstLine="0"/>
              <w:jc w:val="center"/>
              <w:textAlignment w:val="center"/>
              <w:rPr>
                <w:rFonts w:ascii="宋体" w:hAnsi="宋体" w:cs="宋体"/>
                <w:sz w:val="21"/>
                <w:szCs w:val="21"/>
              </w:rPr>
            </w:pPr>
            <w:r>
              <w:rPr>
                <w:rFonts w:ascii="宋体" w:hAnsi="宋体" w:cs="宋体" w:hint="eastAsia"/>
                <w:kern w:val="0"/>
                <w:sz w:val="21"/>
                <w:szCs w:val="21"/>
                <w:lang w:bidi="ar"/>
              </w:rPr>
              <w:t>5</w:t>
            </w:r>
          </w:p>
        </w:tc>
      </w:tr>
      <w:tr w:rsidR="00000000" w14:paraId="0F0EAA9A" w14:textId="77777777">
        <w:trPr>
          <w:jc w:val="center"/>
        </w:trPr>
        <w:tc>
          <w:tcPr>
            <w:tcW w:w="1653" w:type="dxa"/>
            <w:vMerge w:val="restart"/>
            <w:tcBorders>
              <w:top w:val="nil"/>
              <w:left w:val="nil"/>
              <w:bottom w:val="nil"/>
              <w:right w:val="nil"/>
            </w:tcBorders>
            <w:noWrap/>
            <w:vAlign w:val="center"/>
          </w:tcPr>
          <w:p w14:paraId="3EB3F351" w14:textId="77777777" w:rsidR="00000000" w:rsidRDefault="00000000">
            <w:pPr>
              <w:widowControl/>
              <w:snapToGrid w:val="0"/>
              <w:spacing w:line="360" w:lineRule="auto"/>
              <w:ind w:firstLine="0"/>
              <w:jc w:val="center"/>
              <w:textAlignment w:val="bottom"/>
              <w:rPr>
                <w:rFonts w:ascii="宋体" w:hAnsi="宋体" w:cs="宋体"/>
                <w:sz w:val="21"/>
                <w:szCs w:val="21"/>
              </w:rPr>
            </w:pPr>
            <w:r>
              <w:rPr>
                <w:rFonts w:ascii="宋体" w:hAnsi="宋体" w:cs="宋体" w:hint="eastAsia"/>
                <w:kern w:val="0"/>
                <w:sz w:val="21"/>
                <w:szCs w:val="21"/>
                <w:lang w:bidi="ar"/>
              </w:rPr>
              <w:t>收益分配风险</w:t>
            </w:r>
          </w:p>
        </w:tc>
        <w:tc>
          <w:tcPr>
            <w:tcW w:w="2167" w:type="dxa"/>
            <w:tcBorders>
              <w:top w:val="nil"/>
              <w:left w:val="nil"/>
              <w:bottom w:val="nil"/>
              <w:right w:val="nil"/>
            </w:tcBorders>
            <w:noWrap/>
            <w:vAlign w:val="center"/>
          </w:tcPr>
          <w:p w14:paraId="188A30C9" w14:textId="77777777" w:rsidR="00000000" w:rsidRDefault="00000000">
            <w:pPr>
              <w:widowControl/>
              <w:snapToGrid w:val="0"/>
              <w:spacing w:line="360" w:lineRule="auto"/>
              <w:ind w:firstLine="0"/>
              <w:jc w:val="center"/>
              <w:textAlignment w:val="center"/>
              <w:rPr>
                <w:rFonts w:ascii="宋体" w:hAnsi="宋体" w:cs="宋体"/>
                <w:sz w:val="21"/>
                <w:szCs w:val="21"/>
              </w:rPr>
            </w:pPr>
            <w:r>
              <w:rPr>
                <w:rFonts w:ascii="宋体" w:hAnsi="宋体" w:cs="宋体" w:hint="eastAsia"/>
                <w:kern w:val="0"/>
                <w:sz w:val="21"/>
                <w:szCs w:val="21"/>
                <w:lang w:bidi="ar"/>
              </w:rPr>
              <w:t>相对贴近度C</w:t>
            </w:r>
          </w:p>
        </w:tc>
        <w:tc>
          <w:tcPr>
            <w:tcW w:w="962" w:type="dxa"/>
            <w:tcBorders>
              <w:top w:val="nil"/>
              <w:left w:val="nil"/>
              <w:bottom w:val="nil"/>
              <w:right w:val="nil"/>
            </w:tcBorders>
            <w:noWrap/>
            <w:vAlign w:val="center"/>
          </w:tcPr>
          <w:p w14:paraId="087E5801" w14:textId="77777777" w:rsidR="00000000" w:rsidRDefault="00000000">
            <w:pPr>
              <w:widowControl/>
              <w:snapToGrid w:val="0"/>
              <w:spacing w:line="360" w:lineRule="auto"/>
              <w:ind w:firstLine="0"/>
              <w:jc w:val="center"/>
              <w:textAlignment w:val="center"/>
              <w:rPr>
                <w:rFonts w:ascii="宋体" w:hAnsi="宋体" w:cs="宋体"/>
                <w:sz w:val="21"/>
                <w:szCs w:val="21"/>
              </w:rPr>
            </w:pPr>
            <w:r>
              <w:rPr>
                <w:rFonts w:ascii="宋体" w:hAnsi="宋体" w:cs="宋体" w:hint="eastAsia"/>
                <w:kern w:val="0"/>
                <w:sz w:val="21"/>
                <w:szCs w:val="21"/>
                <w:lang w:bidi="ar"/>
              </w:rPr>
              <w:t>0.166</w:t>
            </w:r>
          </w:p>
        </w:tc>
        <w:tc>
          <w:tcPr>
            <w:tcW w:w="962" w:type="dxa"/>
            <w:tcBorders>
              <w:top w:val="nil"/>
              <w:left w:val="nil"/>
              <w:bottom w:val="nil"/>
              <w:right w:val="nil"/>
            </w:tcBorders>
            <w:noWrap/>
            <w:vAlign w:val="center"/>
          </w:tcPr>
          <w:p w14:paraId="7202CEB0" w14:textId="77777777" w:rsidR="00000000" w:rsidRDefault="00000000">
            <w:pPr>
              <w:widowControl/>
              <w:snapToGrid w:val="0"/>
              <w:spacing w:line="360" w:lineRule="auto"/>
              <w:ind w:firstLine="0"/>
              <w:jc w:val="center"/>
              <w:textAlignment w:val="center"/>
              <w:rPr>
                <w:rFonts w:ascii="宋体" w:hAnsi="宋体" w:cs="宋体"/>
                <w:sz w:val="21"/>
                <w:szCs w:val="21"/>
              </w:rPr>
            </w:pPr>
            <w:r>
              <w:rPr>
                <w:rFonts w:ascii="宋体" w:hAnsi="宋体" w:cs="宋体" w:hint="eastAsia"/>
                <w:kern w:val="0"/>
                <w:sz w:val="21"/>
                <w:szCs w:val="21"/>
                <w:lang w:bidi="ar"/>
              </w:rPr>
              <w:t>0.644</w:t>
            </w:r>
          </w:p>
        </w:tc>
        <w:tc>
          <w:tcPr>
            <w:tcW w:w="962" w:type="dxa"/>
            <w:tcBorders>
              <w:top w:val="nil"/>
              <w:left w:val="nil"/>
              <w:bottom w:val="nil"/>
              <w:right w:val="nil"/>
            </w:tcBorders>
            <w:noWrap/>
            <w:vAlign w:val="center"/>
          </w:tcPr>
          <w:p w14:paraId="70C03C35" w14:textId="77777777" w:rsidR="00000000" w:rsidRDefault="00000000">
            <w:pPr>
              <w:widowControl/>
              <w:snapToGrid w:val="0"/>
              <w:spacing w:line="360" w:lineRule="auto"/>
              <w:ind w:firstLine="0"/>
              <w:jc w:val="center"/>
              <w:textAlignment w:val="center"/>
              <w:rPr>
                <w:rFonts w:ascii="宋体" w:hAnsi="宋体" w:cs="宋体"/>
                <w:sz w:val="21"/>
                <w:szCs w:val="21"/>
              </w:rPr>
            </w:pPr>
            <w:r>
              <w:rPr>
                <w:rFonts w:ascii="宋体" w:hAnsi="宋体" w:cs="宋体" w:hint="eastAsia"/>
                <w:kern w:val="0"/>
                <w:sz w:val="21"/>
                <w:szCs w:val="21"/>
                <w:lang w:bidi="ar"/>
              </w:rPr>
              <w:t>0.294</w:t>
            </w:r>
          </w:p>
        </w:tc>
        <w:tc>
          <w:tcPr>
            <w:tcW w:w="962" w:type="dxa"/>
            <w:tcBorders>
              <w:top w:val="nil"/>
              <w:left w:val="nil"/>
              <w:bottom w:val="nil"/>
              <w:right w:val="nil"/>
            </w:tcBorders>
            <w:noWrap/>
            <w:vAlign w:val="center"/>
          </w:tcPr>
          <w:p w14:paraId="19D2AA47" w14:textId="77777777" w:rsidR="00000000" w:rsidRDefault="00000000">
            <w:pPr>
              <w:widowControl/>
              <w:snapToGrid w:val="0"/>
              <w:spacing w:line="360" w:lineRule="auto"/>
              <w:ind w:firstLine="0"/>
              <w:jc w:val="center"/>
              <w:textAlignment w:val="center"/>
              <w:rPr>
                <w:rFonts w:ascii="宋体" w:hAnsi="宋体" w:cs="宋体"/>
                <w:sz w:val="21"/>
                <w:szCs w:val="21"/>
              </w:rPr>
            </w:pPr>
            <w:r>
              <w:rPr>
                <w:rFonts w:ascii="宋体" w:hAnsi="宋体" w:cs="宋体" w:hint="eastAsia"/>
                <w:kern w:val="0"/>
                <w:sz w:val="21"/>
                <w:szCs w:val="21"/>
                <w:lang w:bidi="ar"/>
              </w:rPr>
              <w:t>0.787</w:t>
            </w:r>
          </w:p>
        </w:tc>
        <w:tc>
          <w:tcPr>
            <w:tcW w:w="962" w:type="dxa"/>
            <w:tcBorders>
              <w:top w:val="nil"/>
              <w:left w:val="nil"/>
              <w:bottom w:val="nil"/>
              <w:right w:val="nil"/>
            </w:tcBorders>
            <w:noWrap/>
            <w:vAlign w:val="center"/>
          </w:tcPr>
          <w:p w14:paraId="41DB245C" w14:textId="77777777" w:rsidR="00000000" w:rsidRDefault="00000000">
            <w:pPr>
              <w:widowControl/>
              <w:snapToGrid w:val="0"/>
              <w:spacing w:line="360" w:lineRule="auto"/>
              <w:ind w:firstLine="0"/>
              <w:jc w:val="center"/>
              <w:textAlignment w:val="center"/>
              <w:rPr>
                <w:rFonts w:ascii="宋体" w:hAnsi="宋体" w:cs="宋体"/>
                <w:sz w:val="21"/>
                <w:szCs w:val="21"/>
              </w:rPr>
            </w:pPr>
            <w:r>
              <w:rPr>
                <w:rFonts w:ascii="宋体" w:hAnsi="宋体" w:cs="宋体" w:hint="eastAsia"/>
                <w:kern w:val="0"/>
                <w:sz w:val="21"/>
                <w:szCs w:val="21"/>
                <w:lang w:bidi="ar"/>
              </w:rPr>
              <w:t>0.185</w:t>
            </w:r>
          </w:p>
        </w:tc>
      </w:tr>
      <w:tr w:rsidR="00000000" w14:paraId="0EE3D9CE" w14:textId="77777777">
        <w:trPr>
          <w:jc w:val="center"/>
        </w:trPr>
        <w:tc>
          <w:tcPr>
            <w:tcW w:w="1653" w:type="dxa"/>
            <w:vMerge/>
            <w:tcBorders>
              <w:top w:val="nil"/>
              <w:left w:val="nil"/>
              <w:bottom w:val="single" w:sz="12" w:space="0" w:color="000000"/>
              <w:right w:val="nil"/>
            </w:tcBorders>
            <w:noWrap/>
            <w:vAlign w:val="center"/>
          </w:tcPr>
          <w:p w14:paraId="40B38CDE" w14:textId="77777777" w:rsidR="00000000" w:rsidRDefault="00000000">
            <w:pPr>
              <w:snapToGrid w:val="0"/>
              <w:spacing w:line="360" w:lineRule="auto"/>
              <w:ind w:firstLine="0"/>
              <w:jc w:val="center"/>
              <w:rPr>
                <w:rFonts w:ascii="宋体" w:hAnsi="宋体" w:cs="宋体"/>
                <w:sz w:val="21"/>
                <w:szCs w:val="21"/>
              </w:rPr>
            </w:pPr>
          </w:p>
        </w:tc>
        <w:tc>
          <w:tcPr>
            <w:tcW w:w="2167" w:type="dxa"/>
            <w:tcBorders>
              <w:top w:val="nil"/>
              <w:left w:val="nil"/>
              <w:bottom w:val="single" w:sz="12" w:space="0" w:color="000000"/>
              <w:right w:val="nil"/>
            </w:tcBorders>
            <w:noWrap/>
            <w:vAlign w:val="center"/>
          </w:tcPr>
          <w:p w14:paraId="432FFFF5" w14:textId="77777777" w:rsidR="00000000" w:rsidRDefault="00000000">
            <w:pPr>
              <w:widowControl/>
              <w:snapToGrid w:val="0"/>
              <w:spacing w:line="360" w:lineRule="auto"/>
              <w:ind w:firstLine="0"/>
              <w:jc w:val="center"/>
              <w:textAlignment w:val="center"/>
              <w:rPr>
                <w:rFonts w:ascii="宋体" w:hAnsi="宋体" w:cs="宋体"/>
                <w:sz w:val="21"/>
                <w:szCs w:val="21"/>
              </w:rPr>
            </w:pPr>
            <w:r>
              <w:rPr>
                <w:rFonts w:ascii="宋体" w:hAnsi="宋体" w:cs="宋体" w:hint="eastAsia"/>
                <w:kern w:val="0"/>
                <w:sz w:val="21"/>
                <w:szCs w:val="21"/>
                <w:lang w:bidi="ar"/>
              </w:rPr>
              <w:t>排序结果</w:t>
            </w:r>
          </w:p>
        </w:tc>
        <w:tc>
          <w:tcPr>
            <w:tcW w:w="962" w:type="dxa"/>
            <w:tcBorders>
              <w:top w:val="nil"/>
              <w:left w:val="nil"/>
              <w:bottom w:val="single" w:sz="12" w:space="0" w:color="000000"/>
              <w:right w:val="nil"/>
            </w:tcBorders>
            <w:noWrap/>
            <w:vAlign w:val="center"/>
          </w:tcPr>
          <w:p w14:paraId="237B35A5" w14:textId="77777777" w:rsidR="00000000" w:rsidRDefault="00000000">
            <w:pPr>
              <w:widowControl/>
              <w:snapToGrid w:val="0"/>
              <w:spacing w:line="360" w:lineRule="auto"/>
              <w:ind w:firstLine="0"/>
              <w:jc w:val="center"/>
              <w:textAlignment w:val="center"/>
              <w:rPr>
                <w:rFonts w:ascii="宋体" w:hAnsi="宋体" w:cs="宋体"/>
                <w:sz w:val="21"/>
                <w:szCs w:val="21"/>
              </w:rPr>
            </w:pPr>
            <w:r>
              <w:rPr>
                <w:rFonts w:ascii="宋体" w:hAnsi="宋体" w:cs="宋体" w:hint="eastAsia"/>
                <w:kern w:val="0"/>
                <w:sz w:val="21"/>
                <w:szCs w:val="21"/>
                <w:lang w:bidi="ar"/>
              </w:rPr>
              <w:t>5</w:t>
            </w:r>
          </w:p>
        </w:tc>
        <w:tc>
          <w:tcPr>
            <w:tcW w:w="962" w:type="dxa"/>
            <w:tcBorders>
              <w:top w:val="nil"/>
              <w:left w:val="nil"/>
              <w:bottom w:val="single" w:sz="12" w:space="0" w:color="000000"/>
              <w:right w:val="nil"/>
            </w:tcBorders>
            <w:noWrap/>
            <w:vAlign w:val="center"/>
          </w:tcPr>
          <w:p w14:paraId="48C5B409" w14:textId="77777777" w:rsidR="00000000" w:rsidRDefault="00000000">
            <w:pPr>
              <w:widowControl/>
              <w:snapToGrid w:val="0"/>
              <w:spacing w:line="360" w:lineRule="auto"/>
              <w:ind w:firstLine="0"/>
              <w:jc w:val="center"/>
              <w:textAlignment w:val="center"/>
              <w:rPr>
                <w:rFonts w:ascii="宋体" w:hAnsi="宋体" w:cs="宋体"/>
                <w:sz w:val="21"/>
                <w:szCs w:val="21"/>
              </w:rPr>
            </w:pPr>
            <w:r>
              <w:rPr>
                <w:rFonts w:ascii="宋体" w:hAnsi="宋体" w:cs="宋体" w:hint="eastAsia"/>
                <w:kern w:val="0"/>
                <w:sz w:val="21"/>
                <w:szCs w:val="21"/>
                <w:lang w:bidi="ar"/>
              </w:rPr>
              <w:t>2</w:t>
            </w:r>
          </w:p>
        </w:tc>
        <w:tc>
          <w:tcPr>
            <w:tcW w:w="962" w:type="dxa"/>
            <w:tcBorders>
              <w:top w:val="nil"/>
              <w:left w:val="nil"/>
              <w:bottom w:val="single" w:sz="12" w:space="0" w:color="000000"/>
              <w:right w:val="nil"/>
            </w:tcBorders>
            <w:noWrap/>
            <w:vAlign w:val="center"/>
          </w:tcPr>
          <w:p w14:paraId="6398A6D7" w14:textId="77777777" w:rsidR="00000000" w:rsidRDefault="00000000">
            <w:pPr>
              <w:widowControl/>
              <w:snapToGrid w:val="0"/>
              <w:spacing w:line="360" w:lineRule="auto"/>
              <w:ind w:firstLine="0"/>
              <w:jc w:val="center"/>
              <w:textAlignment w:val="center"/>
              <w:rPr>
                <w:rFonts w:ascii="宋体" w:hAnsi="宋体" w:cs="宋体"/>
                <w:sz w:val="21"/>
                <w:szCs w:val="21"/>
              </w:rPr>
            </w:pPr>
            <w:r>
              <w:rPr>
                <w:rFonts w:ascii="宋体" w:hAnsi="宋体" w:cs="宋体" w:hint="eastAsia"/>
                <w:kern w:val="0"/>
                <w:sz w:val="21"/>
                <w:szCs w:val="21"/>
                <w:lang w:bidi="ar"/>
              </w:rPr>
              <w:t>3</w:t>
            </w:r>
          </w:p>
        </w:tc>
        <w:tc>
          <w:tcPr>
            <w:tcW w:w="962" w:type="dxa"/>
            <w:tcBorders>
              <w:top w:val="nil"/>
              <w:left w:val="nil"/>
              <w:bottom w:val="single" w:sz="12" w:space="0" w:color="000000"/>
              <w:right w:val="nil"/>
            </w:tcBorders>
            <w:noWrap/>
            <w:vAlign w:val="center"/>
          </w:tcPr>
          <w:p w14:paraId="724583AF" w14:textId="77777777" w:rsidR="00000000" w:rsidRDefault="00000000">
            <w:pPr>
              <w:widowControl/>
              <w:snapToGrid w:val="0"/>
              <w:spacing w:line="360" w:lineRule="auto"/>
              <w:ind w:firstLine="0"/>
              <w:jc w:val="center"/>
              <w:textAlignment w:val="center"/>
              <w:rPr>
                <w:rFonts w:ascii="宋体" w:hAnsi="宋体" w:cs="宋体"/>
                <w:sz w:val="21"/>
                <w:szCs w:val="21"/>
              </w:rPr>
            </w:pPr>
            <w:r>
              <w:rPr>
                <w:rFonts w:ascii="宋体" w:hAnsi="宋体" w:cs="宋体" w:hint="eastAsia"/>
                <w:kern w:val="0"/>
                <w:sz w:val="21"/>
                <w:szCs w:val="21"/>
                <w:lang w:bidi="ar"/>
              </w:rPr>
              <w:t>1</w:t>
            </w:r>
          </w:p>
        </w:tc>
        <w:tc>
          <w:tcPr>
            <w:tcW w:w="962" w:type="dxa"/>
            <w:tcBorders>
              <w:top w:val="nil"/>
              <w:left w:val="nil"/>
              <w:bottom w:val="single" w:sz="12" w:space="0" w:color="000000"/>
              <w:right w:val="nil"/>
            </w:tcBorders>
            <w:noWrap/>
            <w:vAlign w:val="center"/>
          </w:tcPr>
          <w:p w14:paraId="6FD9BAE5" w14:textId="77777777" w:rsidR="00000000" w:rsidRDefault="00000000">
            <w:pPr>
              <w:widowControl/>
              <w:snapToGrid w:val="0"/>
              <w:spacing w:line="360" w:lineRule="auto"/>
              <w:ind w:firstLine="0"/>
              <w:jc w:val="center"/>
              <w:textAlignment w:val="center"/>
              <w:rPr>
                <w:rFonts w:ascii="宋体" w:hAnsi="宋体" w:cs="宋体"/>
                <w:sz w:val="21"/>
                <w:szCs w:val="21"/>
              </w:rPr>
            </w:pPr>
            <w:r>
              <w:rPr>
                <w:rFonts w:ascii="宋体" w:hAnsi="宋体" w:cs="宋体" w:hint="eastAsia"/>
                <w:kern w:val="0"/>
                <w:sz w:val="21"/>
                <w:szCs w:val="21"/>
                <w:lang w:bidi="ar"/>
              </w:rPr>
              <w:t>4</w:t>
            </w:r>
          </w:p>
        </w:tc>
      </w:tr>
    </w:tbl>
    <w:p w14:paraId="56277BFE" w14:textId="77777777" w:rsidR="00000000" w:rsidRDefault="00000000">
      <w:pPr>
        <w:pStyle w:val="afc"/>
        <w:numPr>
          <w:ilvl w:val="0"/>
          <w:numId w:val="37"/>
        </w:numPr>
        <w:tabs>
          <w:tab w:val="left" w:pos="0"/>
        </w:tabs>
        <w:spacing w:before="207"/>
      </w:pPr>
      <w:bookmarkStart w:id="100" w:name="_Toc9776"/>
      <w:bookmarkStart w:id="101" w:name="_Toc18436"/>
      <w:r>
        <w:rPr>
          <w:rFonts w:hint="eastAsia"/>
        </w:rPr>
        <w:t>—级指标评价结果分析</w:t>
      </w:r>
      <w:bookmarkEnd w:id="100"/>
      <w:bookmarkEnd w:id="101"/>
    </w:p>
    <w:p w14:paraId="43CC960A" w14:textId="77777777" w:rsidR="00000000" w:rsidRDefault="00000000">
      <w:pPr>
        <w:pStyle w:val="afd"/>
        <w:ind w:firstLine="486"/>
        <w:rPr>
          <w:rFonts w:cs="宋体"/>
          <w:color w:val="auto"/>
          <w:szCs w:val="24"/>
        </w:rPr>
      </w:pPr>
      <w:r>
        <w:rPr>
          <w:rFonts w:cs="宋体" w:hint="eastAsia"/>
          <w:color w:val="auto"/>
        </w:rPr>
        <w:t>为深入剖析M公司2020-2024年间的财务风险演变态势，本文将从筹资风险、投资风险、营运风险及收益分配风险四个维度开展一级指标评价。在评价模型中，相对贴近度值越大，代表企业财务安全程度越高，相应的财务风险水平越低。</w:t>
      </w:r>
      <w:r>
        <w:rPr>
          <w:rFonts w:cs="宋体" w:hint="eastAsia"/>
          <w:color w:val="auto"/>
          <w:szCs w:val="24"/>
        </w:rPr>
        <w:t xml:space="preserve"> </w:t>
      </w:r>
    </w:p>
    <w:p w14:paraId="1AA4E483" w14:textId="77777777" w:rsidR="00000000" w:rsidRDefault="00000000">
      <w:pPr>
        <w:pStyle w:val="afd"/>
        <w:ind w:firstLine="486"/>
        <w:rPr>
          <w:rFonts w:cs="宋体"/>
          <w:color w:val="auto"/>
        </w:rPr>
      </w:pPr>
      <w:r>
        <w:rPr>
          <w:rFonts w:cs="宋体" w:hint="eastAsia"/>
          <w:color w:val="auto"/>
        </w:rPr>
        <w:t xml:space="preserve">（一）筹资风险评价结果分析 </w:t>
      </w:r>
    </w:p>
    <w:p w14:paraId="42DF3820" w14:textId="77777777" w:rsidR="00000000" w:rsidRDefault="00000000">
      <w:pPr>
        <w:pStyle w:val="afd"/>
        <w:ind w:firstLine="486"/>
        <w:rPr>
          <w:rFonts w:cs="宋体" w:hint="eastAsia"/>
          <w:color w:val="auto"/>
        </w:rPr>
      </w:pPr>
      <w:r>
        <w:rPr>
          <w:rFonts w:cs="宋体" w:hint="eastAsia"/>
          <w:color w:val="auto"/>
        </w:rPr>
        <w:t>基于图5-1的熵权-TOPSIS综合贴近度分析结果，M公司筹资风险贴近度自2020年起呈下降趋势，于2022年探底至阶段性低谷，随后于2023-2024年呈现缓慢修复态势。该动态变化揭示，2020-2022年企业偿债能力下降显著，可能引发债务违约及信用评级下调等风险。结合表5-5二级指标权重分析，影响M公司筹资风险的核心财务指标按贡献度排序为：资产负债率、产权比率、速动比率及流动比率，而资产负债率作为资本结构的核心表征，其权重显著高于其他指标。</w:t>
      </w:r>
    </w:p>
    <w:p w14:paraId="087908DB" w14:textId="77777777" w:rsidR="00000000" w:rsidRDefault="00000000">
      <w:pPr>
        <w:pStyle w:val="afd"/>
        <w:ind w:firstLine="486"/>
        <w:rPr>
          <w:rFonts w:cs="宋体" w:hint="eastAsia"/>
          <w:color w:val="auto"/>
        </w:rPr>
      </w:pPr>
      <w:r>
        <w:rPr>
          <w:rFonts w:cs="宋体" w:hint="eastAsia"/>
          <w:color w:val="auto"/>
        </w:rPr>
        <w:t>根据前文对筹资风险识别框架的实证分析，M公司2020-2024年流动比率持续低于行业基准，2020年至2023年第一季度资产负债率高于行业均值，这表明该公司的短期与长期偿债能力均显现出逐渐削弱的态势。尤其在轻资产运营模式下，企业固定资产占比低、可抵押资产不足，加之过度依赖无息负债的融资结</w:t>
      </w:r>
      <w:r>
        <w:rPr>
          <w:rFonts w:cs="宋体" w:hint="eastAsia"/>
          <w:color w:val="auto"/>
        </w:rPr>
        <w:lastRenderedPageBreak/>
        <w:t>构，导致债务期限结构失衡、融资渠道单一化。这种非优化资本结构加剧了债务期限错配风险，并可能因外部融资环境波动（如信贷政策收紧）引发再融资困境，系统性放大筹资风险敞口。</w:t>
      </w:r>
    </w:p>
    <w:p w14:paraId="26557C3F" w14:textId="77777777" w:rsidR="00000000" w:rsidRDefault="00000000">
      <w:pPr>
        <w:autoSpaceDE w:val="0"/>
        <w:autoSpaceDN w:val="0"/>
        <w:adjustRightInd w:val="0"/>
        <w:ind w:firstLine="0"/>
        <w:rPr>
          <w:rFonts w:ascii="宋体" w:hAnsi="宋体" w:cs="宋体"/>
        </w:rPr>
      </w:pPr>
      <w:r>
        <w:pict w14:anchorId="1092ACFE">
          <v:shape id="图片 10" o:spid="_x0000_i1037" type="#_x0000_t75" style="width:375.75pt;height:207pt;mso-wrap-style:square;mso-position-horizontal-relative:page;mso-position-vertical-relative:page">
            <v:imagedata r:id="rId43" o:title=""/>
          </v:shape>
        </w:pict>
      </w:r>
    </w:p>
    <w:p w14:paraId="388C49B0" w14:textId="77777777" w:rsidR="00000000" w:rsidRDefault="00000000">
      <w:pPr>
        <w:autoSpaceDE w:val="0"/>
        <w:autoSpaceDN w:val="0"/>
        <w:adjustRightInd w:val="0"/>
        <w:spacing w:line="400" w:lineRule="exact"/>
        <w:ind w:firstLine="0"/>
        <w:jc w:val="center"/>
        <w:rPr>
          <w:rFonts w:ascii="宋体" w:hAnsi="宋体" w:cs="宋体"/>
          <w:sz w:val="21"/>
          <w:szCs w:val="21"/>
        </w:rPr>
      </w:pPr>
      <w:r>
        <w:rPr>
          <w:rFonts w:ascii="宋体" w:hAnsi="宋体" w:cs="宋体" w:hint="eastAsia"/>
          <w:sz w:val="21"/>
          <w:szCs w:val="21"/>
        </w:rPr>
        <w:t>图5-1 M公司2020-2024年筹资风险相对贴近度</w:t>
      </w:r>
    </w:p>
    <w:p w14:paraId="78F3C5BE" w14:textId="77777777" w:rsidR="00000000" w:rsidRDefault="00000000">
      <w:pPr>
        <w:pStyle w:val="afd"/>
        <w:numPr>
          <w:ilvl w:val="0"/>
          <w:numId w:val="38"/>
        </w:numPr>
        <w:ind w:firstLineChars="0"/>
        <w:rPr>
          <w:color w:val="auto"/>
        </w:rPr>
      </w:pPr>
      <w:r>
        <w:rPr>
          <w:rFonts w:hint="eastAsia"/>
          <w:color w:val="auto"/>
        </w:rPr>
        <w:t>投资风险评价结果分析</w:t>
      </w:r>
    </w:p>
    <w:p w14:paraId="3AF5FDF0" w14:textId="77777777" w:rsidR="00000000" w:rsidRDefault="00000000">
      <w:pPr>
        <w:pStyle w:val="afd"/>
        <w:ind w:firstLine="486"/>
        <w:rPr>
          <w:rFonts w:cs="宋体" w:hint="eastAsia"/>
          <w:color w:val="auto"/>
        </w:rPr>
      </w:pPr>
      <w:r>
        <w:rPr>
          <w:rFonts w:cs="宋体" w:hint="eastAsia"/>
          <w:color w:val="auto"/>
        </w:rPr>
        <w:t>基于图5-2的熵权-TOPSIS综合贴近度分析结果，M公司投资风险相对贴近度于2022年呈现断崖式下降，由0.529骤降至0.000的极低水平，表明该年度企业因盈利能力弱化引发的投资风险达到观测期峰值，财务安全边际显著收缩。通过表5-8的二级指标敏感性分析可知，影响M公司投资风险的核心财务指标按贡献度排序依次为：成本费用利润率(CMM)、销售净利率(NMM)、投资资本回报率(ROIC)和净资产收益率(ROE)，其中成本费用利润率和销售净利率对投资风险的解释权重居于主导地位。</w:t>
      </w:r>
    </w:p>
    <w:p w14:paraId="0A1BBA08" w14:textId="77777777" w:rsidR="00000000" w:rsidRDefault="00000000">
      <w:pPr>
        <w:pStyle w:val="afd"/>
        <w:ind w:firstLine="486"/>
        <w:rPr>
          <w:rFonts w:cs="宋体" w:hint="eastAsia"/>
          <w:color w:val="auto"/>
        </w:rPr>
      </w:pPr>
      <w:r>
        <w:rPr>
          <w:rFonts w:cs="宋体" w:hint="eastAsia"/>
          <w:color w:val="auto"/>
        </w:rPr>
        <w:t>结合前文投资风险识别模块的实证检验，在轻资产运营模式下，M公司的成本费用利润率与服装行业均值基本持平，表明M公司依赖非经常性收益，核心盈利动能不足，同时可能存在费用结构失衡、研发投入不足、现金流压力以及行业竞争加剧等风险。营业收入增长率均呈现显著波动，揭示了企业运营的显著不稳定性，反映出其市场适应能力、产品创新机制及战略决策及执行风险。尽管自2022年后财务安全度指标呈现回升态势，但整体盈利质量仍有待提升。</w:t>
      </w:r>
    </w:p>
    <w:p w14:paraId="64BC7037" w14:textId="77777777" w:rsidR="00000000" w:rsidRDefault="00000000">
      <w:pPr>
        <w:widowControl/>
        <w:ind w:firstLine="0"/>
        <w:jc w:val="center"/>
      </w:pPr>
      <w:r>
        <w:lastRenderedPageBreak/>
        <w:pict w14:anchorId="66033F5F">
          <v:shape id="图片 11" o:spid="_x0000_i1038" type="#_x0000_t75" style="width:348pt;height:238.5pt;mso-wrap-style:square;mso-position-horizontal-relative:page;mso-position-vertical-relative:page">
            <v:imagedata r:id="rId44" o:title=""/>
          </v:shape>
        </w:pict>
      </w:r>
    </w:p>
    <w:p w14:paraId="2C29C75F" w14:textId="77777777" w:rsidR="00000000" w:rsidRDefault="00000000">
      <w:pPr>
        <w:widowControl/>
        <w:ind w:firstLine="0"/>
        <w:jc w:val="center"/>
        <w:rPr>
          <w:sz w:val="21"/>
          <w:szCs w:val="21"/>
        </w:rPr>
      </w:pPr>
      <w:r>
        <w:rPr>
          <w:rFonts w:hint="eastAsia"/>
          <w:sz w:val="21"/>
          <w:szCs w:val="21"/>
        </w:rPr>
        <w:t>图</w:t>
      </w:r>
      <w:r>
        <w:rPr>
          <w:rFonts w:hint="eastAsia"/>
          <w:sz w:val="21"/>
          <w:szCs w:val="21"/>
        </w:rPr>
        <w:t>5-2 M</w:t>
      </w:r>
      <w:r>
        <w:rPr>
          <w:rFonts w:hint="eastAsia"/>
          <w:sz w:val="21"/>
          <w:szCs w:val="21"/>
        </w:rPr>
        <w:t>公司</w:t>
      </w:r>
      <w:r>
        <w:rPr>
          <w:rFonts w:hint="eastAsia"/>
          <w:sz w:val="21"/>
          <w:szCs w:val="21"/>
        </w:rPr>
        <w:t>2020-2024</w:t>
      </w:r>
      <w:r>
        <w:rPr>
          <w:rFonts w:hint="eastAsia"/>
          <w:sz w:val="21"/>
          <w:szCs w:val="21"/>
        </w:rPr>
        <w:t>年投资风险相对贴近度</w:t>
      </w:r>
    </w:p>
    <w:p w14:paraId="59D255BC" w14:textId="77777777" w:rsidR="00000000" w:rsidRDefault="00000000">
      <w:pPr>
        <w:pStyle w:val="afd"/>
        <w:numPr>
          <w:ilvl w:val="0"/>
          <w:numId w:val="38"/>
        </w:numPr>
        <w:ind w:firstLineChars="0"/>
        <w:rPr>
          <w:color w:val="auto"/>
        </w:rPr>
      </w:pPr>
      <w:r>
        <w:rPr>
          <w:rFonts w:hint="eastAsia"/>
          <w:color w:val="auto"/>
        </w:rPr>
        <w:t>营运风险评价结果分析</w:t>
      </w:r>
    </w:p>
    <w:p w14:paraId="752FFF69" w14:textId="77777777" w:rsidR="00000000" w:rsidRDefault="00000000">
      <w:pPr>
        <w:pStyle w:val="afd"/>
        <w:ind w:firstLine="486"/>
        <w:rPr>
          <w:rFonts w:cs="宋体" w:hint="eastAsia"/>
          <w:color w:val="auto"/>
        </w:rPr>
      </w:pPr>
      <w:r>
        <w:rPr>
          <w:rFonts w:cs="宋体" w:hint="eastAsia"/>
          <w:color w:val="auto"/>
        </w:rPr>
        <w:t>基于图5-3的熵权-TOPSIS综合贴近度分析结果，M公司营运风险相对贴近度呈现与筹资风险、投资风险显著差异化的动态特征：2020-2021年期间呈现持续上升趋势，并于2021年达到观测期峰值，2022年出现阶段性回落，此后，又呈现阶段性上升后下降的变化趋势。通过表5-8的二级指标敏感性分析，我们可以知道，影响M公司运营风险的核心财务指标依次为：总资产周转率(TAT)、应收账款周转率、存货周转率等，其中总资产周转率和应收账款周转率的解释权重对运营风险具有主导作用。</w:t>
      </w:r>
    </w:p>
    <w:p w14:paraId="4D66517C" w14:textId="77777777" w:rsidR="00000000" w:rsidRDefault="00000000">
      <w:pPr>
        <w:pStyle w:val="afd"/>
        <w:ind w:firstLine="486"/>
        <w:rPr>
          <w:rFonts w:cs="宋体" w:hint="eastAsia"/>
          <w:color w:val="auto"/>
        </w:rPr>
      </w:pPr>
      <w:r>
        <w:rPr>
          <w:rFonts w:cs="宋体" w:hint="eastAsia"/>
          <w:color w:val="auto"/>
        </w:rPr>
        <w:t>结合前文营运风险识别模块的实证检验，M公司存货周转率长期低于行业均值，凸显存货管理效率的短板效应，这表明，轻资产运营模式虽通过压缩应收账款与优化固定资产配置，有效改善了营运效率，但存货周转缓慢导致的资金占用成本与跌价风险仍构成主要营运风险源。与此同时，存货周转迟滞严重制约供应链韧性，加剧了经营风险。此外，轻资产运营模式企业供应链风险管理的不稳定性不仅可能导致原材料质量波动，更增加了供应链中断风险，削弱了企业的风险管理能力。</w:t>
      </w:r>
    </w:p>
    <w:p w14:paraId="6950E314" w14:textId="77777777" w:rsidR="00000000" w:rsidRDefault="00000000">
      <w:pPr>
        <w:widowControl/>
        <w:ind w:firstLine="0"/>
        <w:jc w:val="center"/>
      </w:pPr>
      <w:r>
        <w:lastRenderedPageBreak/>
        <w:pict w14:anchorId="25A31B12">
          <v:shape id="图片 12" o:spid="_x0000_i1039" type="#_x0000_t75" style="width:346.5pt;height:211.5pt;mso-wrap-style:square;mso-position-horizontal-relative:page;mso-position-vertical-relative:page">
            <v:imagedata r:id="rId45" o:title=""/>
          </v:shape>
        </w:pict>
      </w:r>
    </w:p>
    <w:p w14:paraId="5F2458B8" w14:textId="77777777" w:rsidR="00000000" w:rsidRDefault="00000000">
      <w:pPr>
        <w:widowControl/>
        <w:ind w:firstLine="0"/>
        <w:jc w:val="center"/>
        <w:rPr>
          <w:sz w:val="21"/>
          <w:szCs w:val="21"/>
        </w:rPr>
      </w:pPr>
      <w:r>
        <w:rPr>
          <w:rFonts w:hint="eastAsia"/>
          <w:sz w:val="21"/>
          <w:szCs w:val="21"/>
        </w:rPr>
        <w:t>图</w:t>
      </w:r>
      <w:r>
        <w:rPr>
          <w:rFonts w:hint="eastAsia"/>
          <w:sz w:val="21"/>
          <w:szCs w:val="21"/>
        </w:rPr>
        <w:t>5-3 M</w:t>
      </w:r>
      <w:r>
        <w:rPr>
          <w:rFonts w:hint="eastAsia"/>
          <w:sz w:val="21"/>
          <w:szCs w:val="21"/>
        </w:rPr>
        <w:t>公司</w:t>
      </w:r>
      <w:r>
        <w:rPr>
          <w:rFonts w:hint="eastAsia"/>
          <w:sz w:val="21"/>
          <w:szCs w:val="21"/>
        </w:rPr>
        <w:t>2020-2024</w:t>
      </w:r>
      <w:r>
        <w:rPr>
          <w:rFonts w:hint="eastAsia"/>
          <w:sz w:val="21"/>
          <w:szCs w:val="21"/>
        </w:rPr>
        <w:t>年营运风险相对贴近度</w:t>
      </w:r>
    </w:p>
    <w:p w14:paraId="106C7E9C" w14:textId="77777777" w:rsidR="00000000" w:rsidRDefault="00000000">
      <w:pPr>
        <w:pStyle w:val="afd"/>
        <w:numPr>
          <w:ilvl w:val="0"/>
          <w:numId w:val="38"/>
        </w:numPr>
        <w:ind w:firstLineChars="0"/>
        <w:rPr>
          <w:color w:val="auto"/>
        </w:rPr>
      </w:pPr>
      <w:r>
        <w:rPr>
          <w:rFonts w:hint="eastAsia"/>
          <w:color w:val="auto"/>
        </w:rPr>
        <w:t>收益分配风险评价结果分析</w:t>
      </w:r>
    </w:p>
    <w:p w14:paraId="2D41F280" w14:textId="77777777" w:rsidR="00000000" w:rsidRDefault="00000000">
      <w:pPr>
        <w:pStyle w:val="afd"/>
        <w:ind w:firstLine="486"/>
        <w:rPr>
          <w:rFonts w:cs="宋体" w:hint="eastAsia"/>
          <w:color w:val="auto"/>
        </w:rPr>
      </w:pPr>
      <w:r>
        <w:rPr>
          <w:rFonts w:cs="宋体" w:hint="eastAsia"/>
          <w:color w:val="auto"/>
        </w:rPr>
        <w:t>如图5-4所示，2020-2024年期间，M公司收益分配风险的相对贴近度波动显著，2022年跌至0.294的低点，2023年则强势回升至区间高位。从表5-8分析，营业收入增速、净利润增速、股利分配率按程度依次为影响M公司收益分配风险的主要因素。结合前面的收益分配风险识别分析，尽管M公司在2020-2024年度保持了稳定的分红派息，如果不能建立动态调整的收益分配机制，股东短期利益与企业长期发展之间难以取得有效平衡，最终将损害财务可持续性。同时，M公司净利润现金含量呈现逐渐下降波动特征，反映了其现金回款能力由强转弱，资产运营效率不足限制了现金获取能力，这种收益分配与现金生成能力的失衡，不仅加剧财务脆弱性，更可能形成风险传导链条，影响企业可持续发展能力。</w:t>
      </w:r>
    </w:p>
    <w:p w14:paraId="5600EB72" w14:textId="77777777" w:rsidR="00000000" w:rsidRDefault="00000000">
      <w:pPr>
        <w:autoSpaceDE w:val="0"/>
        <w:autoSpaceDN w:val="0"/>
        <w:adjustRightInd w:val="0"/>
        <w:ind w:firstLine="0"/>
        <w:jc w:val="center"/>
      </w:pPr>
      <w:r>
        <w:lastRenderedPageBreak/>
        <w:pict w14:anchorId="7D52492B">
          <v:shape id="图片 13" o:spid="_x0000_i1040" type="#_x0000_t75" style="width:361.5pt;height:217.5pt;mso-wrap-style:square;mso-position-horizontal-relative:page;mso-position-vertical-relative:page">
            <v:imagedata r:id="rId46" o:title=""/>
          </v:shape>
        </w:pict>
      </w:r>
    </w:p>
    <w:p w14:paraId="7C55512C" w14:textId="77777777" w:rsidR="00000000" w:rsidRDefault="00000000">
      <w:pPr>
        <w:autoSpaceDE w:val="0"/>
        <w:autoSpaceDN w:val="0"/>
        <w:adjustRightInd w:val="0"/>
        <w:ind w:firstLine="0"/>
        <w:jc w:val="center"/>
        <w:rPr>
          <w:sz w:val="21"/>
          <w:szCs w:val="21"/>
        </w:rPr>
      </w:pPr>
      <w:r>
        <w:rPr>
          <w:rFonts w:hint="eastAsia"/>
          <w:sz w:val="21"/>
          <w:szCs w:val="21"/>
        </w:rPr>
        <w:t>图</w:t>
      </w:r>
      <w:r>
        <w:rPr>
          <w:rFonts w:hint="eastAsia"/>
          <w:sz w:val="21"/>
          <w:szCs w:val="21"/>
        </w:rPr>
        <w:t>5-4 M</w:t>
      </w:r>
      <w:r>
        <w:rPr>
          <w:rFonts w:hint="eastAsia"/>
          <w:sz w:val="21"/>
          <w:szCs w:val="21"/>
        </w:rPr>
        <w:t>公司</w:t>
      </w:r>
      <w:r>
        <w:rPr>
          <w:rFonts w:hint="eastAsia"/>
          <w:sz w:val="21"/>
          <w:szCs w:val="21"/>
        </w:rPr>
        <w:t>2020-2024</w:t>
      </w:r>
      <w:r>
        <w:rPr>
          <w:rFonts w:hint="eastAsia"/>
          <w:sz w:val="21"/>
          <w:szCs w:val="21"/>
        </w:rPr>
        <w:t>年收益分配风险相对贴近度</w:t>
      </w:r>
    </w:p>
    <w:p w14:paraId="7018003D" w14:textId="77777777" w:rsidR="00000000" w:rsidRDefault="00000000">
      <w:pPr>
        <w:pStyle w:val="afc"/>
        <w:numPr>
          <w:ilvl w:val="0"/>
          <w:numId w:val="37"/>
        </w:numPr>
        <w:tabs>
          <w:tab w:val="left" w:pos="0"/>
        </w:tabs>
        <w:spacing w:before="207"/>
      </w:pPr>
      <w:bookmarkStart w:id="102" w:name="_Toc22437"/>
      <w:bookmarkStart w:id="103" w:name="_Toc23300"/>
      <w:r>
        <w:rPr>
          <w:rFonts w:hint="eastAsia"/>
        </w:rPr>
        <w:t>M公司财务风险综合评价过程及分析</w:t>
      </w:r>
      <w:bookmarkEnd w:id="102"/>
      <w:bookmarkEnd w:id="103"/>
    </w:p>
    <w:p w14:paraId="63CE1CB8" w14:textId="77777777" w:rsidR="00000000" w:rsidRDefault="00000000">
      <w:pPr>
        <w:pStyle w:val="afd"/>
        <w:ind w:firstLine="486"/>
        <w:rPr>
          <w:rFonts w:cs="宋体" w:hint="eastAsia"/>
          <w:color w:val="auto"/>
        </w:rPr>
      </w:pPr>
      <w:bookmarkStart w:id="104" w:name="OLE_LINK15"/>
      <w:r>
        <w:rPr>
          <w:rFonts w:cs="宋体" w:hint="eastAsia"/>
          <w:color w:val="auto"/>
        </w:rPr>
        <w:t>如表 5-9 所示，一级指标评价仅能反映2020-2024年间，M 公司在轻资产运营模式下于筹资、投资、营运及收益分配风险四个维度的具体表现，尚无法体现企业整体财务风险水平。为此，本文进一步以四个一级指标的相对贴近度值构建原始评价矩阵，对 M 公司财务风险进行综合测度。具体步骤如下：</w:t>
      </w:r>
    </w:p>
    <w:bookmarkEnd w:id="104"/>
    <w:p w14:paraId="7530A2B8" w14:textId="77777777" w:rsidR="00000000" w:rsidRDefault="00000000">
      <w:pPr>
        <w:pStyle w:val="afd"/>
        <w:ind w:firstLine="486"/>
        <w:rPr>
          <w:rFonts w:cs="宋体" w:hint="eastAsia"/>
          <w:color w:val="auto"/>
        </w:rPr>
      </w:pPr>
      <w:r>
        <w:rPr>
          <w:rFonts w:cs="宋体" w:hint="eastAsia"/>
          <w:color w:val="auto"/>
        </w:rPr>
        <w:t>步骤一：以表5-9中各一级指标的相对贴近度构建初始决策矩阵。鉴于该矩阵已具备标准化特征，故省去数据标准化步骤。但由于矩阵数据中存在0值，故需对数据进行平移，平移量为0.001个单位，最终得到规范化矩阵，结果详见表5-10。</w:t>
      </w:r>
    </w:p>
    <w:p w14:paraId="65DF71EA" w14:textId="77777777" w:rsidR="00000000" w:rsidRDefault="00000000">
      <w:pPr>
        <w:autoSpaceDE w:val="0"/>
        <w:autoSpaceDN w:val="0"/>
        <w:adjustRightInd w:val="0"/>
        <w:spacing w:beforeLines="50" w:before="207" w:afterLines="50" w:after="207" w:line="400" w:lineRule="exact"/>
        <w:ind w:firstLine="0"/>
        <w:jc w:val="center"/>
        <w:rPr>
          <w:rFonts w:ascii="宋体" w:hAnsi="宋体" w:cs="宋体"/>
          <w:sz w:val="21"/>
          <w:szCs w:val="21"/>
        </w:rPr>
      </w:pPr>
      <w:r>
        <w:rPr>
          <w:rFonts w:ascii="宋体" w:hAnsi="宋体" w:cs="宋体" w:hint="eastAsia"/>
        </w:rPr>
        <w:tab/>
      </w:r>
      <w:r>
        <w:rPr>
          <w:rFonts w:ascii="宋体" w:hAnsi="宋体" w:cs="宋体" w:hint="eastAsia"/>
          <w:sz w:val="21"/>
          <w:szCs w:val="21"/>
        </w:rPr>
        <w:t>表5-10 M公司2020-2024年综合评价标准化矩阵</w:t>
      </w:r>
    </w:p>
    <w:tbl>
      <w:tblPr>
        <w:tblW w:w="8641" w:type="dxa"/>
        <w:jc w:val="center"/>
        <w:tblInd w:w="0" w:type="dxa"/>
        <w:tblBorders>
          <w:top w:val="single" w:sz="12" w:space="0" w:color="auto"/>
          <w:bottom w:val="single" w:sz="12" w:space="0" w:color="auto"/>
        </w:tblBorders>
        <w:tblCellMar>
          <w:top w:w="56" w:type="dxa"/>
          <w:left w:w="96" w:type="dxa"/>
          <w:bottom w:w="56" w:type="dxa"/>
          <w:right w:w="96" w:type="dxa"/>
        </w:tblCellMar>
        <w:tblLook w:val="0000" w:firstRow="0" w:lastRow="0" w:firstColumn="0" w:lastColumn="0" w:noHBand="0" w:noVBand="0"/>
      </w:tblPr>
      <w:tblGrid>
        <w:gridCol w:w="1246"/>
        <w:gridCol w:w="1479"/>
        <w:gridCol w:w="1479"/>
        <w:gridCol w:w="1479"/>
        <w:gridCol w:w="1479"/>
        <w:gridCol w:w="1479"/>
      </w:tblGrid>
      <w:tr w:rsidR="00000000" w14:paraId="28E5BB65" w14:textId="77777777">
        <w:trPr>
          <w:jc w:val="center"/>
        </w:trPr>
        <w:tc>
          <w:tcPr>
            <w:tcW w:w="1246" w:type="dxa"/>
            <w:tcBorders>
              <w:bottom w:val="single" w:sz="6" w:space="0" w:color="auto"/>
            </w:tcBorders>
            <w:noWrap/>
            <w:vAlign w:val="center"/>
          </w:tcPr>
          <w:p w14:paraId="48220EA0" w14:textId="77777777" w:rsidR="00000000" w:rsidRDefault="00000000">
            <w:pPr>
              <w:widowControl/>
              <w:snapToGrid w:val="0"/>
              <w:spacing w:line="360" w:lineRule="auto"/>
              <w:ind w:firstLine="0"/>
              <w:jc w:val="center"/>
              <w:textAlignment w:val="center"/>
              <w:rPr>
                <w:rFonts w:ascii="宋体" w:hAnsi="宋体" w:cs="宋体"/>
                <w:b/>
                <w:bCs/>
                <w:sz w:val="21"/>
                <w:szCs w:val="21"/>
              </w:rPr>
            </w:pPr>
            <w:r>
              <w:rPr>
                <w:rFonts w:ascii="宋体" w:hAnsi="宋体" w:cs="宋体" w:hint="eastAsia"/>
                <w:b/>
                <w:bCs/>
                <w:kern w:val="0"/>
                <w:sz w:val="21"/>
                <w:szCs w:val="21"/>
                <w:lang w:bidi="ar"/>
              </w:rPr>
              <w:t>一级指标</w:t>
            </w:r>
          </w:p>
        </w:tc>
        <w:tc>
          <w:tcPr>
            <w:tcW w:w="1479" w:type="dxa"/>
            <w:tcBorders>
              <w:bottom w:val="single" w:sz="6" w:space="0" w:color="auto"/>
            </w:tcBorders>
            <w:noWrap/>
            <w:vAlign w:val="center"/>
          </w:tcPr>
          <w:p w14:paraId="5D97EA30" w14:textId="77777777" w:rsidR="00000000" w:rsidRDefault="00000000">
            <w:pPr>
              <w:widowControl/>
              <w:snapToGrid w:val="0"/>
              <w:spacing w:line="360" w:lineRule="auto"/>
              <w:ind w:firstLine="0"/>
              <w:jc w:val="center"/>
              <w:textAlignment w:val="center"/>
              <w:rPr>
                <w:rFonts w:ascii="宋体" w:hAnsi="宋体" w:cs="宋体"/>
                <w:b/>
                <w:bCs/>
                <w:sz w:val="21"/>
                <w:szCs w:val="21"/>
              </w:rPr>
            </w:pPr>
            <w:r>
              <w:rPr>
                <w:rFonts w:ascii="宋体" w:hAnsi="宋体" w:cs="宋体" w:hint="eastAsia"/>
                <w:b/>
                <w:bCs/>
                <w:kern w:val="0"/>
                <w:sz w:val="21"/>
                <w:szCs w:val="21"/>
                <w:lang w:bidi="ar"/>
              </w:rPr>
              <w:t>2020年</w:t>
            </w:r>
          </w:p>
        </w:tc>
        <w:tc>
          <w:tcPr>
            <w:tcW w:w="1479" w:type="dxa"/>
            <w:tcBorders>
              <w:bottom w:val="single" w:sz="6" w:space="0" w:color="auto"/>
            </w:tcBorders>
            <w:noWrap/>
            <w:vAlign w:val="center"/>
          </w:tcPr>
          <w:p w14:paraId="28001A04" w14:textId="77777777" w:rsidR="00000000" w:rsidRDefault="00000000">
            <w:pPr>
              <w:widowControl/>
              <w:snapToGrid w:val="0"/>
              <w:spacing w:line="360" w:lineRule="auto"/>
              <w:ind w:firstLine="0"/>
              <w:jc w:val="center"/>
              <w:textAlignment w:val="center"/>
              <w:rPr>
                <w:rFonts w:ascii="宋体" w:hAnsi="宋体" w:cs="宋体"/>
                <w:b/>
                <w:bCs/>
                <w:sz w:val="21"/>
                <w:szCs w:val="21"/>
              </w:rPr>
            </w:pPr>
            <w:r>
              <w:rPr>
                <w:rFonts w:ascii="宋体" w:hAnsi="宋体" w:cs="宋体" w:hint="eastAsia"/>
                <w:b/>
                <w:bCs/>
                <w:kern w:val="0"/>
                <w:sz w:val="21"/>
                <w:szCs w:val="21"/>
                <w:lang w:bidi="ar"/>
              </w:rPr>
              <w:t>2021年</w:t>
            </w:r>
          </w:p>
        </w:tc>
        <w:tc>
          <w:tcPr>
            <w:tcW w:w="1479" w:type="dxa"/>
            <w:tcBorders>
              <w:bottom w:val="single" w:sz="6" w:space="0" w:color="auto"/>
            </w:tcBorders>
            <w:noWrap/>
            <w:vAlign w:val="center"/>
          </w:tcPr>
          <w:p w14:paraId="26F2D87B" w14:textId="77777777" w:rsidR="00000000" w:rsidRDefault="00000000">
            <w:pPr>
              <w:widowControl/>
              <w:snapToGrid w:val="0"/>
              <w:spacing w:line="360" w:lineRule="auto"/>
              <w:ind w:firstLine="0"/>
              <w:jc w:val="center"/>
              <w:textAlignment w:val="center"/>
              <w:rPr>
                <w:rFonts w:ascii="宋体" w:hAnsi="宋体" w:cs="宋体"/>
                <w:b/>
                <w:bCs/>
                <w:sz w:val="21"/>
                <w:szCs w:val="21"/>
              </w:rPr>
            </w:pPr>
            <w:r>
              <w:rPr>
                <w:rFonts w:ascii="宋体" w:hAnsi="宋体" w:cs="宋体" w:hint="eastAsia"/>
                <w:b/>
                <w:bCs/>
                <w:kern w:val="0"/>
                <w:sz w:val="21"/>
                <w:szCs w:val="21"/>
                <w:lang w:bidi="ar"/>
              </w:rPr>
              <w:t>2022年</w:t>
            </w:r>
          </w:p>
        </w:tc>
        <w:tc>
          <w:tcPr>
            <w:tcW w:w="1479" w:type="dxa"/>
            <w:tcBorders>
              <w:bottom w:val="single" w:sz="6" w:space="0" w:color="auto"/>
            </w:tcBorders>
            <w:noWrap/>
            <w:vAlign w:val="center"/>
          </w:tcPr>
          <w:p w14:paraId="4D67B608" w14:textId="77777777" w:rsidR="00000000" w:rsidRDefault="00000000">
            <w:pPr>
              <w:widowControl/>
              <w:snapToGrid w:val="0"/>
              <w:spacing w:line="360" w:lineRule="auto"/>
              <w:ind w:firstLine="0"/>
              <w:jc w:val="center"/>
              <w:textAlignment w:val="center"/>
              <w:rPr>
                <w:rFonts w:ascii="宋体" w:hAnsi="宋体" w:cs="宋体"/>
                <w:b/>
                <w:bCs/>
                <w:sz w:val="21"/>
                <w:szCs w:val="21"/>
              </w:rPr>
            </w:pPr>
            <w:r>
              <w:rPr>
                <w:rFonts w:ascii="宋体" w:hAnsi="宋体" w:cs="宋体" w:hint="eastAsia"/>
                <w:b/>
                <w:bCs/>
                <w:kern w:val="0"/>
                <w:sz w:val="21"/>
                <w:szCs w:val="21"/>
                <w:lang w:bidi="ar"/>
              </w:rPr>
              <w:t>2023年</w:t>
            </w:r>
          </w:p>
        </w:tc>
        <w:tc>
          <w:tcPr>
            <w:tcW w:w="1479" w:type="dxa"/>
            <w:tcBorders>
              <w:bottom w:val="single" w:sz="6" w:space="0" w:color="auto"/>
            </w:tcBorders>
            <w:noWrap/>
            <w:vAlign w:val="center"/>
          </w:tcPr>
          <w:p w14:paraId="1EBF3876" w14:textId="77777777" w:rsidR="00000000" w:rsidRDefault="00000000">
            <w:pPr>
              <w:widowControl/>
              <w:snapToGrid w:val="0"/>
              <w:spacing w:line="360" w:lineRule="auto"/>
              <w:ind w:firstLine="0"/>
              <w:jc w:val="center"/>
              <w:textAlignment w:val="center"/>
              <w:rPr>
                <w:rFonts w:ascii="宋体" w:hAnsi="宋体" w:cs="宋体"/>
                <w:b/>
                <w:bCs/>
                <w:sz w:val="21"/>
                <w:szCs w:val="21"/>
              </w:rPr>
            </w:pPr>
            <w:r>
              <w:rPr>
                <w:rFonts w:ascii="宋体" w:hAnsi="宋体" w:cs="宋体" w:hint="eastAsia"/>
                <w:b/>
                <w:bCs/>
                <w:kern w:val="0"/>
                <w:sz w:val="21"/>
                <w:szCs w:val="21"/>
                <w:lang w:bidi="ar"/>
              </w:rPr>
              <w:t>2024年</w:t>
            </w:r>
          </w:p>
        </w:tc>
      </w:tr>
      <w:tr w:rsidR="00000000" w14:paraId="79DE21BA" w14:textId="77777777">
        <w:trPr>
          <w:jc w:val="center"/>
        </w:trPr>
        <w:tc>
          <w:tcPr>
            <w:tcW w:w="1246" w:type="dxa"/>
            <w:tcBorders>
              <w:top w:val="single" w:sz="6" w:space="0" w:color="auto"/>
            </w:tcBorders>
            <w:noWrap/>
            <w:vAlign w:val="center"/>
          </w:tcPr>
          <w:p w14:paraId="1052D1D5" w14:textId="77777777" w:rsidR="00000000" w:rsidRDefault="00000000">
            <w:pPr>
              <w:widowControl/>
              <w:snapToGrid w:val="0"/>
              <w:spacing w:line="360" w:lineRule="auto"/>
              <w:ind w:firstLine="0"/>
              <w:jc w:val="center"/>
              <w:textAlignment w:val="center"/>
              <w:rPr>
                <w:rFonts w:ascii="宋体" w:hAnsi="宋体" w:cs="宋体"/>
                <w:sz w:val="21"/>
                <w:szCs w:val="21"/>
              </w:rPr>
            </w:pPr>
            <w:r>
              <w:rPr>
                <w:rFonts w:ascii="宋体" w:hAnsi="宋体" w:cs="宋体" w:hint="eastAsia"/>
                <w:kern w:val="0"/>
                <w:sz w:val="21"/>
                <w:szCs w:val="21"/>
                <w:lang w:bidi="ar"/>
              </w:rPr>
              <w:t>A1</w:t>
            </w:r>
          </w:p>
        </w:tc>
        <w:tc>
          <w:tcPr>
            <w:tcW w:w="1479" w:type="dxa"/>
            <w:tcBorders>
              <w:top w:val="single" w:sz="6" w:space="0" w:color="auto"/>
            </w:tcBorders>
            <w:noWrap/>
            <w:vAlign w:val="center"/>
          </w:tcPr>
          <w:p w14:paraId="54489E70" w14:textId="77777777" w:rsidR="00000000" w:rsidRDefault="00000000">
            <w:pPr>
              <w:widowControl/>
              <w:snapToGrid w:val="0"/>
              <w:spacing w:line="360" w:lineRule="auto"/>
              <w:ind w:firstLine="0"/>
              <w:jc w:val="center"/>
              <w:textAlignment w:val="center"/>
              <w:rPr>
                <w:rFonts w:ascii="宋体" w:hAnsi="宋体" w:cs="宋体"/>
                <w:sz w:val="21"/>
                <w:szCs w:val="21"/>
              </w:rPr>
            </w:pPr>
            <w:r>
              <w:rPr>
                <w:rFonts w:ascii="宋体" w:hAnsi="宋体" w:cs="宋体" w:hint="eastAsia"/>
                <w:kern w:val="0"/>
                <w:sz w:val="21"/>
                <w:szCs w:val="21"/>
                <w:lang w:bidi="ar"/>
              </w:rPr>
              <w:t>0.993</w:t>
            </w:r>
          </w:p>
        </w:tc>
        <w:tc>
          <w:tcPr>
            <w:tcW w:w="1479" w:type="dxa"/>
            <w:tcBorders>
              <w:top w:val="single" w:sz="6" w:space="0" w:color="auto"/>
            </w:tcBorders>
            <w:noWrap/>
            <w:vAlign w:val="center"/>
          </w:tcPr>
          <w:p w14:paraId="00F30229" w14:textId="77777777" w:rsidR="00000000" w:rsidRDefault="00000000">
            <w:pPr>
              <w:widowControl/>
              <w:snapToGrid w:val="0"/>
              <w:spacing w:line="360" w:lineRule="auto"/>
              <w:ind w:firstLine="0"/>
              <w:jc w:val="center"/>
              <w:textAlignment w:val="center"/>
              <w:rPr>
                <w:rFonts w:ascii="宋体" w:hAnsi="宋体" w:cs="宋体"/>
                <w:sz w:val="21"/>
                <w:szCs w:val="21"/>
              </w:rPr>
            </w:pPr>
            <w:r>
              <w:rPr>
                <w:rFonts w:ascii="宋体" w:hAnsi="宋体" w:cs="宋体" w:hint="eastAsia"/>
                <w:kern w:val="0"/>
                <w:sz w:val="21"/>
                <w:szCs w:val="21"/>
                <w:lang w:bidi="ar"/>
              </w:rPr>
              <w:t>0.27</w:t>
            </w:r>
          </w:p>
        </w:tc>
        <w:tc>
          <w:tcPr>
            <w:tcW w:w="1479" w:type="dxa"/>
            <w:tcBorders>
              <w:top w:val="single" w:sz="6" w:space="0" w:color="auto"/>
            </w:tcBorders>
            <w:noWrap/>
            <w:vAlign w:val="center"/>
          </w:tcPr>
          <w:p w14:paraId="05A69FB6" w14:textId="77777777" w:rsidR="00000000" w:rsidRDefault="00000000">
            <w:pPr>
              <w:widowControl/>
              <w:snapToGrid w:val="0"/>
              <w:spacing w:line="360" w:lineRule="auto"/>
              <w:ind w:firstLine="0"/>
              <w:jc w:val="center"/>
              <w:textAlignment w:val="center"/>
              <w:rPr>
                <w:rFonts w:ascii="宋体" w:hAnsi="宋体" w:cs="宋体"/>
                <w:sz w:val="21"/>
                <w:szCs w:val="21"/>
              </w:rPr>
            </w:pPr>
            <w:r>
              <w:rPr>
                <w:rFonts w:ascii="宋体" w:hAnsi="宋体" w:cs="宋体" w:hint="eastAsia"/>
                <w:kern w:val="0"/>
                <w:sz w:val="21"/>
                <w:szCs w:val="21"/>
                <w:lang w:bidi="ar"/>
              </w:rPr>
              <w:t>0.001</w:t>
            </w:r>
          </w:p>
        </w:tc>
        <w:tc>
          <w:tcPr>
            <w:tcW w:w="1479" w:type="dxa"/>
            <w:tcBorders>
              <w:top w:val="single" w:sz="6" w:space="0" w:color="auto"/>
            </w:tcBorders>
            <w:noWrap/>
            <w:vAlign w:val="center"/>
          </w:tcPr>
          <w:p w14:paraId="6449C12A" w14:textId="77777777" w:rsidR="00000000" w:rsidRDefault="00000000">
            <w:pPr>
              <w:widowControl/>
              <w:snapToGrid w:val="0"/>
              <w:spacing w:line="360" w:lineRule="auto"/>
              <w:ind w:firstLine="0"/>
              <w:jc w:val="center"/>
              <w:textAlignment w:val="center"/>
              <w:rPr>
                <w:rFonts w:ascii="宋体" w:hAnsi="宋体" w:cs="宋体"/>
                <w:sz w:val="21"/>
                <w:szCs w:val="21"/>
              </w:rPr>
            </w:pPr>
            <w:r>
              <w:rPr>
                <w:rFonts w:ascii="宋体" w:hAnsi="宋体" w:cs="宋体" w:hint="eastAsia"/>
                <w:kern w:val="0"/>
                <w:sz w:val="21"/>
                <w:szCs w:val="21"/>
                <w:lang w:bidi="ar"/>
              </w:rPr>
              <w:t>0.428</w:t>
            </w:r>
          </w:p>
        </w:tc>
        <w:tc>
          <w:tcPr>
            <w:tcW w:w="1479" w:type="dxa"/>
            <w:tcBorders>
              <w:top w:val="single" w:sz="6" w:space="0" w:color="auto"/>
            </w:tcBorders>
            <w:noWrap/>
            <w:vAlign w:val="center"/>
          </w:tcPr>
          <w:p w14:paraId="7C84487F" w14:textId="77777777" w:rsidR="00000000" w:rsidRDefault="00000000">
            <w:pPr>
              <w:widowControl/>
              <w:snapToGrid w:val="0"/>
              <w:spacing w:line="360" w:lineRule="auto"/>
              <w:ind w:firstLine="0"/>
              <w:jc w:val="center"/>
              <w:textAlignment w:val="center"/>
              <w:rPr>
                <w:rFonts w:ascii="宋体" w:hAnsi="宋体" w:cs="宋体"/>
                <w:sz w:val="21"/>
                <w:szCs w:val="21"/>
              </w:rPr>
            </w:pPr>
            <w:r>
              <w:rPr>
                <w:rFonts w:ascii="宋体" w:hAnsi="宋体" w:cs="宋体" w:hint="eastAsia"/>
                <w:kern w:val="0"/>
                <w:sz w:val="21"/>
                <w:szCs w:val="21"/>
                <w:lang w:bidi="ar"/>
              </w:rPr>
              <w:t>0.639</w:t>
            </w:r>
          </w:p>
        </w:tc>
      </w:tr>
      <w:tr w:rsidR="00000000" w14:paraId="200A8872" w14:textId="77777777">
        <w:trPr>
          <w:jc w:val="center"/>
        </w:trPr>
        <w:tc>
          <w:tcPr>
            <w:tcW w:w="1246" w:type="dxa"/>
            <w:noWrap/>
            <w:vAlign w:val="center"/>
          </w:tcPr>
          <w:p w14:paraId="59C0C47F" w14:textId="77777777" w:rsidR="00000000" w:rsidRDefault="00000000">
            <w:pPr>
              <w:widowControl/>
              <w:snapToGrid w:val="0"/>
              <w:spacing w:line="360" w:lineRule="auto"/>
              <w:ind w:firstLine="0"/>
              <w:jc w:val="center"/>
              <w:textAlignment w:val="center"/>
              <w:rPr>
                <w:rFonts w:ascii="宋体" w:hAnsi="宋体" w:cs="宋体"/>
                <w:sz w:val="21"/>
                <w:szCs w:val="21"/>
              </w:rPr>
            </w:pPr>
            <w:r>
              <w:rPr>
                <w:rFonts w:ascii="宋体" w:hAnsi="宋体" w:cs="宋体" w:hint="eastAsia"/>
                <w:kern w:val="0"/>
                <w:sz w:val="21"/>
                <w:szCs w:val="21"/>
                <w:lang w:bidi="ar"/>
              </w:rPr>
              <w:t>A2</w:t>
            </w:r>
          </w:p>
        </w:tc>
        <w:tc>
          <w:tcPr>
            <w:tcW w:w="1479" w:type="dxa"/>
            <w:noWrap/>
            <w:vAlign w:val="center"/>
          </w:tcPr>
          <w:p w14:paraId="533F1394" w14:textId="77777777" w:rsidR="00000000" w:rsidRDefault="00000000">
            <w:pPr>
              <w:widowControl/>
              <w:snapToGrid w:val="0"/>
              <w:spacing w:line="360" w:lineRule="auto"/>
              <w:ind w:firstLine="0"/>
              <w:jc w:val="center"/>
              <w:textAlignment w:val="center"/>
              <w:rPr>
                <w:rFonts w:ascii="宋体" w:hAnsi="宋体" w:cs="宋体"/>
                <w:sz w:val="21"/>
                <w:szCs w:val="21"/>
              </w:rPr>
            </w:pPr>
            <w:r>
              <w:rPr>
                <w:rFonts w:ascii="宋体" w:hAnsi="宋体" w:cs="宋体" w:hint="eastAsia"/>
                <w:kern w:val="0"/>
                <w:sz w:val="21"/>
                <w:szCs w:val="21"/>
                <w:lang w:bidi="ar"/>
              </w:rPr>
              <w:t>0.275</w:t>
            </w:r>
          </w:p>
        </w:tc>
        <w:tc>
          <w:tcPr>
            <w:tcW w:w="1479" w:type="dxa"/>
            <w:noWrap/>
            <w:vAlign w:val="center"/>
          </w:tcPr>
          <w:p w14:paraId="35DEEDA2" w14:textId="77777777" w:rsidR="00000000" w:rsidRDefault="00000000">
            <w:pPr>
              <w:widowControl/>
              <w:snapToGrid w:val="0"/>
              <w:spacing w:line="360" w:lineRule="auto"/>
              <w:ind w:firstLine="0"/>
              <w:jc w:val="center"/>
              <w:textAlignment w:val="center"/>
              <w:rPr>
                <w:rFonts w:ascii="宋体" w:hAnsi="宋体" w:cs="宋体"/>
                <w:sz w:val="21"/>
                <w:szCs w:val="21"/>
              </w:rPr>
            </w:pPr>
            <w:r>
              <w:rPr>
                <w:rFonts w:ascii="宋体" w:hAnsi="宋体" w:cs="宋体" w:hint="eastAsia"/>
                <w:kern w:val="0"/>
                <w:sz w:val="21"/>
                <w:szCs w:val="21"/>
                <w:lang w:bidi="ar"/>
              </w:rPr>
              <w:t>0.53</w:t>
            </w:r>
          </w:p>
        </w:tc>
        <w:tc>
          <w:tcPr>
            <w:tcW w:w="1479" w:type="dxa"/>
            <w:noWrap/>
            <w:vAlign w:val="center"/>
          </w:tcPr>
          <w:p w14:paraId="444F23A9" w14:textId="77777777" w:rsidR="00000000" w:rsidRDefault="00000000">
            <w:pPr>
              <w:widowControl/>
              <w:snapToGrid w:val="0"/>
              <w:spacing w:line="360" w:lineRule="auto"/>
              <w:ind w:firstLine="0"/>
              <w:jc w:val="center"/>
              <w:textAlignment w:val="center"/>
              <w:rPr>
                <w:rFonts w:ascii="宋体" w:hAnsi="宋体" w:cs="宋体"/>
                <w:sz w:val="21"/>
                <w:szCs w:val="21"/>
              </w:rPr>
            </w:pPr>
            <w:r>
              <w:rPr>
                <w:rFonts w:ascii="宋体" w:hAnsi="宋体" w:cs="宋体" w:hint="eastAsia"/>
                <w:kern w:val="0"/>
                <w:sz w:val="21"/>
                <w:szCs w:val="21"/>
                <w:lang w:bidi="ar"/>
              </w:rPr>
              <w:t>0.001</w:t>
            </w:r>
          </w:p>
        </w:tc>
        <w:tc>
          <w:tcPr>
            <w:tcW w:w="1479" w:type="dxa"/>
            <w:noWrap/>
            <w:vAlign w:val="center"/>
          </w:tcPr>
          <w:p w14:paraId="2B17F2FF" w14:textId="77777777" w:rsidR="00000000" w:rsidRDefault="00000000">
            <w:pPr>
              <w:widowControl/>
              <w:snapToGrid w:val="0"/>
              <w:spacing w:line="360" w:lineRule="auto"/>
              <w:ind w:firstLine="0"/>
              <w:jc w:val="center"/>
              <w:textAlignment w:val="center"/>
              <w:rPr>
                <w:rFonts w:ascii="宋体" w:hAnsi="宋体" w:cs="宋体"/>
                <w:sz w:val="21"/>
                <w:szCs w:val="21"/>
              </w:rPr>
            </w:pPr>
            <w:r>
              <w:rPr>
                <w:rFonts w:ascii="宋体" w:hAnsi="宋体" w:cs="宋体" w:hint="eastAsia"/>
                <w:kern w:val="0"/>
                <w:sz w:val="21"/>
                <w:szCs w:val="21"/>
                <w:lang w:bidi="ar"/>
              </w:rPr>
              <w:t>0.83</w:t>
            </w:r>
          </w:p>
        </w:tc>
        <w:tc>
          <w:tcPr>
            <w:tcW w:w="1479" w:type="dxa"/>
            <w:noWrap/>
            <w:vAlign w:val="center"/>
          </w:tcPr>
          <w:p w14:paraId="50D1E9FE" w14:textId="77777777" w:rsidR="00000000" w:rsidRDefault="00000000">
            <w:pPr>
              <w:widowControl/>
              <w:snapToGrid w:val="0"/>
              <w:spacing w:line="360" w:lineRule="auto"/>
              <w:ind w:firstLine="0"/>
              <w:jc w:val="center"/>
              <w:textAlignment w:val="center"/>
              <w:rPr>
                <w:rFonts w:ascii="宋体" w:hAnsi="宋体" w:cs="宋体"/>
                <w:sz w:val="21"/>
                <w:szCs w:val="21"/>
              </w:rPr>
            </w:pPr>
            <w:r>
              <w:rPr>
                <w:rFonts w:ascii="宋体" w:hAnsi="宋体" w:cs="宋体" w:hint="eastAsia"/>
                <w:kern w:val="0"/>
                <w:sz w:val="21"/>
                <w:szCs w:val="21"/>
                <w:lang w:bidi="ar"/>
              </w:rPr>
              <w:t>0.9</w:t>
            </w:r>
          </w:p>
        </w:tc>
      </w:tr>
      <w:tr w:rsidR="00000000" w14:paraId="5804BFA1" w14:textId="77777777">
        <w:trPr>
          <w:jc w:val="center"/>
        </w:trPr>
        <w:tc>
          <w:tcPr>
            <w:tcW w:w="1246" w:type="dxa"/>
            <w:noWrap/>
            <w:vAlign w:val="center"/>
          </w:tcPr>
          <w:p w14:paraId="4F2148B7" w14:textId="77777777" w:rsidR="00000000" w:rsidRDefault="00000000">
            <w:pPr>
              <w:widowControl/>
              <w:snapToGrid w:val="0"/>
              <w:spacing w:line="360" w:lineRule="auto"/>
              <w:ind w:firstLine="0"/>
              <w:jc w:val="center"/>
              <w:textAlignment w:val="center"/>
              <w:rPr>
                <w:rFonts w:ascii="宋体" w:hAnsi="宋体" w:cs="宋体"/>
                <w:sz w:val="21"/>
                <w:szCs w:val="21"/>
              </w:rPr>
            </w:pPr>
            <w:r>
              <w:rPr>
                <w:rFonts w:ascii="宋体" w:hAnsi="宋体" w:cs="宋体" w:hint="eastAsia"/>
                <w:kern w:val="0"/>
                <w:sz w:val="21"/>
                <w:szCs w:val="21"/>
                <w:lang w:bidi="ar"/>
              </w:rPr>
              <w:t>A3</w:t>
            </w:r>
          </w:p>
        </w:tc>
        <w:tc>
          <w:tcPr>
            <w:tcW w:w="1479" w:type="dxa"/>
            <w:noWrap/>
            <w:vAlign w:val="center"/>
          </w:tcPr>
          <w:p w14:paraId="4AEF8360" w14:textId="77777777" w:rsidR="00000000" w:rsidRDefault="00000000">
            <w:pPr>
              <w:widowControl/>
              <w:snapToGrid w:val="0"/>
              <w:spacing w:line="360" w:lineRule="auto"/>
              <w:ind w:firstLine="0"/>
              <w:jc w:val="center"/>
              <w:textAlignment w:val="center"/>
              <w:rPr>
                <w:rFonts w:ascii="宋体" w:hAnsi="宋体" w:cs="宋体"/>
                <w:sz w:val="21"/>
                <w:szCs w:val="21"/>
              </w:rPr>
            </w:pPr>
            <w:r>
              <w:rPr>
                <w:rFonts w:ascii="宋体" w:hAnsi="宋体" w:cs="宋体" w:hint="eastAsia"/>
                <w:kern w:val="0"/>
                <w:sz w:val="21"/>
                <w:szCs w:val="21"/>
                <w:lang w:bidi="ar"/>
              </w:rPr>
              <w:t>0.627</w:t>
            </w:r>
          </w:p>
        </w:tc>
        <w:tc>
          <w:tcPr>
            <w:tcW w:w="1479" w:type="dxa"/>
            <w:noWrap/>
            <w:vAlign w:val="center"/>
          </w:tcPr>
          <w:p w14:paraId="618FCD1E" w14:textId="77777777" w:rsidR="00000000" w:rsidRDefault="00000000">
            <w:pPr>
              <w:widowControl/>
              <w:snapToGrid w:val="0"/>
              <w:spacing w:line="360" w:lineRule="auto"/>
              <w:ind w:firstLine="0"/>
              <w:jc w:val="center"/>
              <w:textAlignment w:val="center"/>
              <w:rPr>
                <w:rFonts w:ascii="宋体" w:hAnsi="宋体" w:cs="宋体"/>
                <w:sz w:val="21"/>
                <w:szCs w:val="21"/>
              </w:rPr>
            </w:pPr>
            <w:r>
              <w:rPr>
                <w:rFonts w:ascii="宋体" w:hAnsi="宋体" w:cs="宋体" w:hint="eastAsia"/>
                <w:kern w:val="0"/>
                <w:sz w:val="21"/>
                <w:szCs w:val="21"/>
                <w:lang w:bidi="ar"/>
              </w:rPr>
              <w:t>0.917</w:t>
            </w:r>
          </w:p>
        </w:tc>
        <w:tc>
          <w:tcPr>
            <w:tcW w:w="1479" w:type="dxa"/>
            <w:noWrap/>
            <w:vAlign w:val="center"/>
          </w:tcPr>
          <w:p w14:paraId="64BCF088" w14:textId="77777777" w:rsidR="00000000" w:rsidRDefault="00000000">
            <w:pPr>
              <w:widowControl/>
              <w:snapToGrid w:val="0"/>
              <w:spacing w:line="360" w:lineRule="auto"/>
              <w:ind w:firstLine="0"/>
              <w:jc w:val="center"/>
              <w:textAlignment w:val="center"/>
              <w:rPr>
                <w:rFonts w:ascii="宋体" w:hAnsi="宋体" w:cs="宋体"/>
                <w:sz w:val="21"/>
                <w:szCs w:val="21"/>
              </w:rPr>
            </w:pPr>
            <w:r>
              <w:rPr>
                <w:rFonts w:ascii="宋体" w:hAnsi="宋体" w:cs="宋体" w:hint="eastAsia"/>
                <w:kern w:val="0"/>
                <w:sz w:val="21"/>
                <w:szCs w:val="21"/>
                <w:lang w:bidi="ar"/>
              </w:rPr>
              <w:t>0.357</w:t>
            </w:r>
          </w:p>
        </w:tc>
        <w:tc>
          <w:tcPr>
            <w:tcW w:w="1479" w:type="dxa"/>
            <w:noWrap/>
            <w:vAlign w:val="center"/>
          </w:tcPr>
          <w:p w14:paraId="3F647C2E" w14:textId="77777777" w:rsidR="00000000" w:rsidRDefault="00000000">
            <w:pPr>
              <w:widowControl/>
              <w:snapToGrid w:val="0"/>
              <w:spacing w:line="360" w:lineRule="auto"/>
              <w:ind w:firstLine="0"/>
              <w:jc w:val="center"/>
              <w:textAlignment w:val="center"/>
              <w:rPr>
                <w:rFonts w:ascii="宋体" w:hAnsi="宋体" w:cs="宋体"/>
                <w:sz w:val="21"/>
                <w:szCs w:val="21"/>
              </w:rPr>
            </w:pPr>
            <w:r>
              <w:rPr>
                <w:rFonts w:ascii="宋体" w:hAnsi="宋体" w:cs="宋体" w:hint="eastAsia"/>
                <w:kern w:val="0"/>
                <w:sz w:val="21"/>
                <w:szCs w:val="21"/>
                <w:lang w:bidi="ar"/>
              </w:rPr>
              <w:t>0.642</w:t>
            </w:r>
          </w:p>
        </w:tc>
        <w:tc>
          <w:tcPr>
            <w:tcW w:w="1479" w:type="dxa"/>
            <w:noWrap/>
            <w:vAlign w:val="center"/>
          </w:tcPr>
          <w:p w14:paraId="0CFCC456" w14:textId="77777777" w:rsidR="00000000" w:rsidRDefault="00000000">
            <w:pPr>
              <w:widowControl/>
              <w:snapToGrid w:val="0"/>
              <w:spacing w:line="360" w:lineRule="auto"/>
              <w:ind w:firstLine="0"/>
              <w:jc w:val="center"/>
              <w:textAlignment w:val="center"/>
              <w:rPr>
                <w:rFonts w:ascii="宋体" w:hAnsi="宋体" w:cs="宋体"/>
                <w:sz w:val="21"/>
                <w:szCs w:val="21"/>
              </w:rPr>
            </w:pPr>
            <w:r>
              <w:rPr>
                <w:rFonts w:ascii="宋体" w:hAnsi="宋体" w:cs="宋体" w:hint="eastAsia"/>
                <w:kern w:val="0"/>
                <w:sz w:val="21"/>
                <w:szCs w:val="21"/>
                <w:lang w:bidi="ar"/>
              </w:rPr>
              <w:t>0.001</w:t>
            </w:r>
          </w:p>
        </w:tc>
      </w:tr>
      <w:tr w:rsidR="00000000" w14:paraId="7BD39DE1" w14:textId="77777777">
        <w:trPr>
          <w:jc w:val="center"/>
        </w:trPr>
        <w:tc>
          <w:tcPr>
            <w:tcW w:w="1246" w:type="dxa"/>
            <w:noWrap/>
            <w:vAlign w:val="center"/>
          </w:tcPr>
          <w:p w14:paraId="493859A8" w14:textId="77777777" w:rsidR="00000000" w:rsidRDefault="00000000">
            <w:pPr>
              <w:widowControl/>
              <w:snapToGrid w:val="0"/>
              <w:spacing w:line="360" w:lineRule="auto"/>
              <w:ind w:firstLine="0"/>
              <w:jc w:val="center"/>
              <w:textAlignment w:val="center"/>
              <w:rPr>
                <w:rFonts w:ascii="宋体" w:hAnsi="宋体" w:cs="宋体"/>
                <w:sz w:val="21"/>
                <w:szCs w:val="21"/>
              </w:rPr>
            </w:pPr>
            <w:r>
              <w:rPr>
                <w:rFonts w:ascii="宋体" w:hAnsi="宋体" w:cs="宋体" w:hint="eastAsia"/>
                <w:kern w:val="0"/>
                <w:sz w:val="21"/>
                <w:szCs w:val="21"/>
                <w:lang w:bidi="ar"/>
              </w:rPr>
              <w:t>A4</w:t>
            </w:r>
          </w:p>
        </w:tc>
        <w:tc>
          <w:tcPr>
            <w:tcW w:w="1479" w:type="dxa"/>
            <w:noWrap/>
            <w:vAlign w:val="center"/>
          </w:tcPr>
          <w:p w14:paraId="11D45787" w14:textId="77777777" w:rsidR="00000000" w:rsidRDefault="00000000">
            <w:pPr>
              <w:widowControl/>
              <w:snapToGrid w:val="0"/>
              <w:spacing w:line="360" w:lineRule="auto"/>
              <w:ind w:firstLine="0"/>
              <w:jc w:val="center"/>
              <w:textAlignment w:val="center"/>
              <w:rPr>
                <w:rFonts w:ascii="宋体" w:hAnsi="宋体" w:cs="宋体"/>
                <w:sz w:val="21"/>
                <w:szCs w:val="21"/>
              </w:rPr>
            </w:pPr>
            <w:r>
              <w:rPr>
                <w:rFonts w:ascii="宋体" w:hAnsi="宋体" w:cs="宋体" w:hint="eastAsia"/>
                <w:kern w:val="0"/>
                <w:sz w:val="21"/>
                <w:szCs w:val="21"/>
                <w:lang w:bidi="ar"/>
              </w:rPr>
              <w:t>0.166</w:t>
            </w:r>
          </w:p>
        </w:tc>
        <w:tc>
          <w:tcPr>
            <w:tcW w:w="1479" w:type="dxa"/>
            <w:noWrap/>
            <w:vAlign w:val="center"/>
          </w:tcPr>
          <w:p w14:paraId="1A2E9330" w14:textId="77777777" w:rsidR="00000000" w:rsidRDefault="00000000">
            <w:pPr>
              <w:widowControl/>
              <w:snapToGrid w:val="0"/>
              <w:spacing w:line="360" w:lineRule="auto"/>
              <w:ind w:firstLine="0"/>
              <w:jc w:val="center"/>
              <w:textAlignment w:val="center"/>
              <w:rPr>
                <w:rFonts w:ascii="宋体" w:hAnsi="宋体" w:cs="宋体"/>
                <w:sz w:val="21"/>
                <w:szCs w:val="21"/>
              </w:rPr>
            </w:pPr>
            <w:r>
              <w:rPr>
                <w:rFonts w:ascii="宋体" w:hAnsi="宋体" w:cs="宋体" w:hint="eastAsia"/>
                <w:kern w:val="0"/>
                <w:sz w:val="21"/>
                <w:szCs w:val="21"/>
                <w:lang w:bidi="ar"/>
              </w:rPr>
              <w:t>0.644</w:t>
            </w:r>
          </w:p>
        </w:tc>
        <w:tc>
          <w:tcPr>
            <w:tcW w:w="1479" w:type="dxa"/>
            <w:noWrap/>
            <w:vAlign w:val="center"/>
          </w:tcPr>
          <w:p w14:paraId="07D1544F" w14:textId="77777777" w:rsidR="00000000" w:rsidRDefault="00000000">
            <w:pPr>
              <w:widowControl/>
              <w:snapToGrid w:val="0"/>
              <w:spacing w:line="360" w:lineRule="auto"/>
              <w:ind w:firstLine="0"/>
              <w:jc w:val="center"/>
              <w:textAlignment w:val="center"/>
              <w:rPr>
                <w:rFonts w:ascii="宋体" w:hAnsi="宋体" w:cs="宋体"/>
                <w:sz w:val="21"/>
                <w:szCs w:val="21"/>
              </w:rPr>
            </w:pPr>
            <w:r>
              <w:rPr>
                <w:rFonts w:ascii="宋体" w:hAnsi="宋体" w:cs="宋体" w:hint="eastAsia"/>
                <w:kern w:val="0"/>
                <w:sz w:val="21"/>
                <w:szCs w:val="21"/>
                <w:lang w:bidi="ar"/>
              </w:rPr>
              <w:t>0.294</w:t>
            </w:r>
          </w:p>
        </w:tc>
        <w:tc>
          <w:tcPr>
            <w:tcW w:w="1479" w:type="dxa"/>
            <w:noWrap/>
            <w:vAlign w:val="center"/>
          </w:tcPr>
          <w:p w14:paraId="049C1333" w14:textId="77777777" w:rsidR="00000000" w:rsidRDefault="00000000">
            <w:pPr>
              <w:widowControl/>
              <w:snapToGrid w:val="0"/>
              <w:spacing w:line="360" w:lineRule="auto"/>
              <w:ind w:firstLine="0"/>
              <w:jc w:val="center"/>
              <w:textAlignment w:val="center"/>
              <w:rPr>
                <w:rFonts w:ascii="宋体" w:hAnsi="宋体" w:cs="宋体"/>
                <w:sz w:val="21"/>
                <w:szCs w:val="21"/>
              </w:rPr>
            </w:pPr>
            <w:r>
              <w:rPr>
                <w:rFonts w:ascii="宋体" w:hAnsi="宋体" w:cs="宋体" w:hint="eastAsia"/>
                <w:kern w:val="0"/>
                <w:sz w:val="21"/>
                <w:szCs w:val="21"/>
                <w:lang w:bidi="ar"/>
              </w:rPr>
              <w:t>0.787</w:t>
            </w:r>
          </w:p>
        </w:tc>
        <w:tc>
          <w:tcPr>
            <w:tcW w:w="1479" w:type="dxa"/>
            <w:noWrap/>
            <w:vAlign w:val="center"/>
          </w:tcPr>
          <w:p w14:paraId="72993D5A" w14:textId="77777777" w:rsidR="00000000" w:rsidRDefault="00000000">
            <w:pPr>
              <w:widowControl/>
              <w:snapToGrid w:val="0"/>
              <w:spacing w:line="360" w:lineRule="auto"/>
              <w:ind w:firstLine="0"/>
              <w:jc w:val="center"/>
              <w:textAlignment w:val="center"/>
              <w:rPr>
                <w:rFonts w:ascii="宋体" w:hAnsi="宋体" w:cs="宋体"/>
                <w:sz w:val="21"/>
                <w:szCs w:val="21"/>
              </w:rPr>
            </w:pPr>
            <w:r>
              <w:rPr>
                <w:rFonts w:ascii="宋体" w:hAnsi="宋体" w:cs="宋体" w:hint="eastAsia"/>
                <w:kern w:val="0"/>
                <w:sz w:val="21"/>
                <w:szCs w:val="21"/>
                <w:lang w:bidi="ar"/>
              </w:rPr>
              <w:t>0.185</w:t>
            </w:r>
          </w:p>
        </w:tc>
      </w:tr>
    </w:tbl>
    <w:p w14:paraId="005CA812" w14:textId="77777777" w:rsidR="00000000" w:rsidRDefault="00000000">
      <w:pPr>
        <w:pStyle w:val="afd"/>
        <w:ind w:firstLine="486"/>
        <w:rPr>
          <w:rFonts w:cs="宋体" w:hint="eastAsia"/>
          <w:color w:val="auto"/>
        </w:rPr>
      </w:pPr>
    </w:p>
    <w:p w14:paraId="7DA85A3B" w14:textId="77777777" w:rsidR="00000000" w:rsidRDefault="00000000">
      <w:pPr>
        <w:pStyle w:val="afd"/>
        <w:ind w:firstLine="486"/>
        <w:rPr>
          <w:rFonts w:cs="宋体" w:hint="eastAsia"/>
          <w:color w:val="auto"/>
        </w:rPr>
        <w:sectPr w:rsidR="00000000">
          <w:headerReference w:type="even" r:id="rId47"/>
          <w:headerReference w:type="default" r:id="rId48"/>
          <w:footnotePr>
            <w:numRestart w:val="eachPage"/>
          </w:footnotePr>
          <w:pgSz w:w="11909" w:h="16834"/>
          <w:pgMar w:top="1701" w:right="1701" w:bottom="1418" w:left="1701" w:header="1304" w:footer="1021" w:gutter="0"/>
          <w:cols w:space="720"/>
          <w:docGrid w:type="linesAndChars" w:linePitch="415" w:charSpace="614"/>
        </w:sectPr>
      </w:pPr>
      <w:r>
        <w:rPr>
          <w:rFonts w:cs="宋体" w:hint="eastAsia"/>
          <w:color w:val="auto"/>
        </w:rPr>
        <w:t>步骤二：</w:t>
      </w:r>
      <w:bookmarkStart w:id="105" w:name="OLE_LINK16"/>
      <w:r>
        <w:rPr>
          <w:rFonts w:cs="宋体" w:hint="eastAsia"/>
          <w:color w:val="auto"/>
        </w:rPr>
        <w:t>计算各一级指标熵值与熵权。计算结果如下表5-11所示。</w:t>
      </w:r>
    </w:p>
    <w:bookmarkEnd w:id="105"/>
    <w:p w14:paraId="3E9A8345" w14:textId="77777777" w:rsidR="00000000" w:rsidRDefault="00000000">
      <w:pPr>
        <w:autoSpaceDE w:val="0"/>
        <w:autoSpaceDN w:val="0"/>
        <w:adjustRightInd w:val="0"/>
        <w:spacing w:beforeLines="50" w:before="207" w:afterLines="50" w:after="207" w:line="400" w:lineRule="exact"/>
        <w:ind w:firstLine="0"/>
        <w:jc w:val="center"/>
        <w:rPr>
          <w:rFonts w:ascii="宋体" w:hAnsi="宋体" w:cs="宋体"/>
          <w:sz w:val="21"/>
          <w:szCs w:val="21"/>
        </w:rPr>
      </w:pPr>
      <w:r>
        <w:rPr>
          <w:rFonts w:ascii="宋体" w:hAnsi="宋体" w:cs="宋体" w:hint="eastAsia"/>
          <w:sz w:val="21"/>
          <w:szCs w:val="21"/>
        </w:rPr>
        <w:lastRenderedPageBreak/>
        <w:t>表5-11 M公司2020-2024年财务风险评价一级指标熵值和熵权</w:t>
      </w:r>
    </w:p>
    <w:tbl>
      <w:tblPr>
        <w:tblW w:w="8639" w:type="dxa"/>
        <w:jc w:val="center"/>
        <w:tblInd w:w="0" w:type="dxa"/>
        <w:tblBorders>
          <w:top w:val="single" w:sz="12" w:space="0" w:color="000000"/>
          <w:bottom w:val="single" w:sz="12" w:space="0" w:color="000000"/>
        </w:tblBorders>
        <w:tblCellMar>
          <w:top w:w="80" w:type="dxa"/>
          <w:left w:w="128" w:type="dxa"/>
          <w:bottom w:w="80" w:type="dxa"/>
          <w:right w:w="128" w:type="dxa"/>
        </w:tblCellMar>
        <w:tblLook w:val="0000" w:firstRow="0" w:lastRow="0" w:firstColumn="0" w:lastColumn="0" w:noHBand="0" w:noVBand="0"/>
      </w:tblPr>
      <w:tblGrid>
        <w:gridCol w:w="2221"/>
        <w:gridCol w:w="3209"/>
        <w:gridCol w:w="3209"/>
      </w:tblGrid>
      <w:tr w:rsidR="00000000" w14:paraId="7D93E656" w14:textId="77777777">
        <w:trPr>
          <w:jc w:val="center"/>
        </w:trPr>
        <w:tc>
          <w:tcPr>
            <w:tcW w:w="2221" w:type="dxa"/>
            <w:tcBorders>
              <w:bottom w:val="single" w:sz="6" w:space="0" w:color="000000"/>
            </w:tcBorders>
            <w:noWrap/>
            <w:vAlign w:val="center"/>
          </w:tcPr>
          <w:p w14:paraId="48AABD44" w14:textId="77777777" w:rsidR="00000000" w:rsidRDefault="00000000">
            <w:pPr>
              <w:widowControl/>
              <w:snapToGrid w:val="0"/>
              <w:spacing w:line="360" w:lineRule="auto"/>
              <w:ind w:firstLine="0"/>
              <w:jc w:val="center"/>
              <w:textAlignment w:val="center"/>
              <w:rPr>
                <w:rFonts w:ascii="宋体" w:hAnsi="宋体" w:cs="宋体"/>
                <w:b/>
                <w:bCs/>
                <w:sz w:val="21"/>
                <w:szCs w:val="21"/>
              </w:rPr>
            </w:pPr>
            <w:r>
              <w:rPr>
                <w:rFonts w:ascii="宋体" w:hAnsi="宋体" w:cs="宋体" w:hint="eastAsia"/>
                <w:b/>
                <w:bCs/>
                <w:kern w:val="0"/>
                <w:sz w:val="21"/>
                <w:szCs w:val="21"/>
                <w:lang w:bidi="ar"/>
              </w:rPr>
              <w:t>项</w:t>
            </w:r>
          </w:p>
        </w:tc>
        <w:tc>
          <w:tcPr>
            <w:tcW w:w="3209" w:type="dxa"/>
            <w:tcBorders>
              <w:bottom w:val="single" w:sz="6" w:space="0" w:color="000000"/>
            </w:tcBorders>
            <w:noWrap/>
            <w:vAlign w:val="center"/>
          </w:tcPr>
          <w:p w14:paraId="592BB351" w14:textId="77777777" w:rsidR="00000000" w:rsidRDefault="00000000">
            <w:pPr>
              <w:widowControl/>
              <w:snapToGrid w:val="0"/>
              <w:spacing w:line="360" w:lineRule="auto"/>
              <w:ind w:firstLine="0"/>
              <w:jc w:val="center"/>
              <w:textAlignment w:val="center"/>
              <w:rPr>
                <w:rFonts w:ascii="宋体" w:hAnsi="宋体" w:cs="宋体"/>
                <w:b/>
                <w:bCs/>
                <w:sz w:val="21"/>
                <w:szCs w:val="21"/>
              </w:rPr>
            </w:pPr>
            <w:r>
              <w:rPr>
                <w:rFonts w:ascii="宋体" w:hAnsi="宋体" w:cs="宋体" w:hint="eastAsia"/>
                <w:b/>
                <w:bCs/>
                <w:kern w:val="0"/>
                <w:sz w:val="21"/>
                <w:szCs w:val="21"/>
                <w:lang w:bidi="ar"/>
              </w:rPr>
              <w:t>熵值</w:t>
            </w:r>
          </w:p>
        </w:tc>
        <w:tc>
          <w:tcPr>
            <w:tcW w:w="3209" w:type="dxa"/>
            <w:tcBorders>
              <w:bottom w:val="single" w:sz="6" w:space="0" w:color="000000"/>
            </w:tcBorders>
            <w:noWrap/>
            <w:vAlign w:val="center"/>
          </w:tcPr>
          <w:p w14:paraId="7C8B0D8D" w14:textId="77777777" w:rsidR="00000000" w:rsidRDefault="00000000">
            <w:pPr>
              <w:widowControl/>
              <w:snapToGrid w:val="0"/>
              <w:spacing w:line="360" w:lineRule="auto"/>
              <w:ind w:firstLine="0"/>
              <w:jc w:val="center"/>
              <w:textAlignment w:val="center"/>
              <w:rPr>
                <w:rFonts w:ascii="宋体" w:hAnsi="宋体" w:cs="宋体"/>
                <w:b/>
                <w:bCs/>
                <w:sz w:val="21"/>
                <w:szCs w:val="21"/>
              </w:rPr>
            </w:pPr>
            <w:r>
              <w:rPr>
                <w:rFonts w:ascii="宋体" w:hAnsi="宋体" w:cs="宋体" w:hint="eastAsia"/>
                <w:b/>
                <w:bCs/>
                <w:kern w:val="0"/>
                <w:sz w:val="21"/>
                <w:szCs w:val="21"/>
                <w:lang w:bidi="ar"/>
              </w:rPr>
              <w:t>熵权</w:t>
            </w:r>
          </w:p>
        </w:tc>
      </w:tr>
      <w:tr w:rsidR="00000000" w14:paraId="71D04AA6" w14:textId="77777777">
        <w:trPr>
          <w:jc w:val="center"/>
        </w:trPr>
        <w:tc>
          <w:tcPr>
            <w:tcW w:w="2221" w:type="dxa"/>
            <w:tcBorders>
              <w:top w:val="single" w:sz="6" w:space="0" w:color="000000"/>
            </w:tcBorders>
            <w:noWrap/>
            <w:vAlign w:val="center"/>
          </w:tcPr>
          <w:p w14:paraId="2DF864DC" w14:textId="77777777" w:rsidR="00000000" w:rsidRDefault="00000000">
            <w:pPr>
              <w:widowControl/>
              <w:snapToGrid w:val="0"/>
              <w:spacing w:line="360" w:lineRule="auto"/>
              <w:ind w:firstLine="0"/>
              <w:jc w:val="center"/>
              <w:textAlignment w:val="center"/>
              <w:rPr>
                <w:rFonts w:ascii="宋体" w:hAnsi="宋体" w:cs="宋体"/>
                <w:sz w:val="21"/>
                <w:szCs w:val="21"/>
              </w:rPr>
            </w:pPr>
            <w:r>
              <w:rPr>
                <w:rFonts w:ascii="宋体" w:hAnsi="宋体" w:cs="宋体" w:hint="eastAsia"/>
                <w:kern w:val="0"/>
                <w:sz w:val="21"/>
                <w:szCs w:val="21"/>
                <w:lang w:bidi="ar"/>
              </w:rPr>
              <w:t>A1</w:t>
            </w:r>
          </w:p>
        </w:tc>
        <w:tc>
          <w:tcPr>
            <w:tcW w:w="3209" w:type="dxa"/>
            <w:tcBorders>
              <w:top w:val="single" w:sz="6" w:space="0" w:color="000000"/>
            </w:tcBorders>
            <w:noWrap/>
            <w:vAlign w:val="center"/>
          </w:tcPr>
          <w:p w14:paraId="2D4209E4" w14:textId="77777777" w:rsidR="00000000" w:rsidRDefault="00000000">
            <w:pPr>
              <w:widowControl/>
              <w:snapToGrid w:val="0"/>
              <w:spacing w:line="360" w:lineRule="auto"/>
              <w:ind w:firstLine="0"/>
              <w:jc w:val="center"/>
              <w:textAlignment w:val="center"/>
              <w:rPr>
                <w:rFonts w:ascii="宋体" w:hAnsi="宋体" w:cs="宋体"/>
                <w:sz w:val="21"/>
                <w:szCs w:val="21"/>
              </w:rPr>
            </w:pPr>
            <w:r>
              <w:rPr>
                <w:rFonts w:ascii="宋体" w:hAnsi="宋体" w:cs="宋体" w:hint="eastAsia"/>
                <w:kern w:val="0"/>
                <w:sz w:val="21"/>
                <w:szCs w:val="21"/>
                <w:lang w:bidi="ar"/>
              </w:rPr>
              <w:t>0.7969</w:t>
            </w:r>
          </w:p>
        </w:tc>
        <w:tc>
          <w:tcPr>
            <w:tcW w:w="3209" w:type="dxa"/>
            <w:tcBorders>
              <w:top w:val="single" w:sz="6" w:space="0" w:color="000000"/>
            </w:tcBorders>
            <w:noWrap/>
            <w:vAlign w:val="center"/>
          </w:tcPr>
          <w:p w14:paraId="59822B9F" w14:textId="77777777" w:rsidR="00000000" w:rsidRDefault="00000000">
            <w:pPr>
              <w:widowControl/>
              <w:snapToGrid w:val="0"/>
              <w:spacing w:line="360" w:lineRule="auto"/>
              <w:ind w:firstLine="0"/>
              <w:jc w:val="center"/>
              <w:textAlignment w:val="center"/>
              <w:rPr>
                <w:rFonts w:ascii="宋体" w:hAnsi="宋体" w:cs="宋体"/>
                <w:sz w:val="21"/>
                <w:szCs w:val="21"/>
              </w:rPr>
            </w:pPr>
            <w:r>
              <w:rPr>
                <w:rFonts w:ascii="宋体" w:hAnsi="宋体" w:cs="宋体" w:hint="eastAsia"/>
                <w:kern w:val="0"/>
                <w:sz w:val="21"/>
                <w:szCs w:val="21"/>
                <w:lang w:bidi="ar"/>
              </w:rPr>
              <w:t>0.3008</w:t>
            </w:r>
          </w:p>
        </w:tc>
      </w:tr>
      <w:tr w:rsidR="00000000" w14:paraId="7E1EEEFA" w14:textId="77777777">
        <w:trPr>
          <w:jc w:val="center"/>
        </w:trPr>
        <w:tc>
          <w:tcPr>
            <w:tcW w:w="2221" w:type="dxa"/>
            <w:noWrap/>
            <w:vAlign w:val="center"/>
          </w:tcPr>
          <w:p w14:paraId="5ECCC4FA" w14:textId="77777777" w:rsidR="00000000" w:rsidRDefault="00000000">
            <w:pPr>
              <w:widowControl/>
              <w:snapToGrid w:val="0"/>
              <w:spacing w:line="360" w:lineRule="auto"/>
              <w:ind w:firstLine="0"/>
              <w:jc w:val="center"/>
              <w:textAlignment w:val="center"/>
              <w:rPr>
                <w:rFonts w:ascii="宋体" w:hAnsi="宋体" w:cs="宋体"/>
                <w:sz w:val="21"/>
                <w:szCs w:val="21"/>
              </w:rPr>
            </w:pPr>
            <w:r>
              <w:rPr>
                <w:rFonts w:ascii="宋体" w:hAnsi="宋体" w:cs="宋体" w:hint="eastAsia"/>
                <w:kern w:val="0"/>
                <w:sz w:val="21"/>
                <w:szCs w:val="21"/>
                <w:lang w:bidi="ar"/>
              </w:rPr>
              <w:t>A2</w:t>
            </w:r>
          </w:p>
        </w:tc>
        <w:tc>
          <w:tcPr>
            <w:tcW w:w="3209" w:type="dxa"/>
            <w:noWrap/>
            <w:vAlign w:val="center"/>
          </w:tcPr>
          <w:p w14:paraId="70ADA2A1" w14:textId="77777777" w:rsidR="00000000" w:rsidRDefault="00000000">
            <w:pPr>
              <w:widowControl/>
              <w:snapToGrid w:val="0"/>
              <w:spacing w:line="360" w:lineRule="auto"/>
              <w:ind w:firstLine="0"/>
              <w:jc w:val="center"/>
              <w:textAlignment w:val="center"/>
              <w:rPr>
                <w:rFonts w:ascii="宋体" w:hAnsi="宋体" w:cs="宋体"/>
                <w:sz w:val="21"/>
                <w:szCs w:val="21"/>
              </w:rPr>
            </w:pPr>
            <w:r>
              <w:rPr>
                <w:rFonts w:ascii="宋体" w:hAnsi="宋体" w:cs="宋体" w:hint="eastAsia"/>
                <w:kern w:val="0"/>
                <w:sz w:val="21"/>
                <w:szCs w:val="21"/>
                <w:lang w:bidi="ar"/>
              </w:rPr>
              <w:t>0.8104</w:t>
            </w:r>
          </w:p>
        </w:tc>
        <w:tc>
          <w:tcPr>
            <w:tcW w:w="3209" w:type="dxa"/>
            <w:noWrap/>
            <w:vAlign w:val="center"/>
          </w:tcPr>
          <w:p w14:paraId="5044E556" w14:textId="77777777" w:rsidR="00000000" w:rsidRDefault="00000000">
            <w:pPr>
              <w:widowControl/>
              <w:snapToGrid w:val="0"/>
              <w:spacing w:line="360" w:lineRule="auto"/>
              <w:ind w:firstLine="0"/>
              <w:jc w:val="center"/>
              <w:textAlignment w:val="center"/>
              <w:rPr>
                <w:rFonts w:ascii="宋体" w:hAnsi="宋体" w:cs="宋体"/>
                <w:sz w:val="21"/>
                <w:szCs w:val="21"/>
              </w:rPr>
            </w:pPr>
            <w:r>
              <w:rPr>
                <w:rFonts w:ascii="宋体" w:hAnsi="宋体" w:cs="宋体" w:hint="eastAsia"/>
                <w:kern w:val="0"/>
                <w:sz w:val="21"/>
                <w:szCs w:val="21"/>
                <w:lang w:bidi="ar"/>
              </w:rPr>
              <w:t>0.2807</w:t>
            </w:r>
          </w:p>
        </w:tc>
      </w:tr>
      <w:tr w:rsidR="00000000" w14:paraId="7A960D0C" w14:textId="77777777">
        <w:trPr>
          <w:jc w:val="center"/>
        </w:trPr>
        <w:tc>
          <w:tcPr>
            <w:tcW w:w="2221" w:type="dxa"/>
            <w:noWrap/>
            <w:vAlign w:val="center"/>
          </w:tcPr>
          <w:p w14:paraId="03C2EBC1" w14:textId="77777777" w:rsidR="00000000" w:rsidRDefault="00000000">
            <w:pPr>
              <w:widowControl/>
              <w:snapToGrid w:val="0"/>
              <w:spacing w:line="360" w:lineRule="auto"/>
              <w:ind w:firstLine="0"/>
              <w:jc w:val="center"/>
              <w:textAlignment w:val="center"/>
              <w:rPr>
                <w:rFonts w:ascii="宋体" w:hAnsi="宋体" w:cs="宋体"/>
                <w:sz w:val="21"/>
                <w:szCs w:val="21"/>
              </w:rPr>
            </w:pPr>
            <w:r>
              <w:rPr>
                <w:rFonts w:ascii="宋体" w:hAnsi="宋体" w:cs="宋体" w:hint="eastAsia"/>
                <w:kern w:val="0"/>
                <w:sz w:val="21"/>
                <w:szCs w:val="21"/>
                <w:lang w:bidi="ar"/>
              </w:rPr>
              <w:t>A3</w:t>
            </w:r>
          </w:p>
        </w:tc>
        <w:tc>
          <w:tcPr>
            <w:tcW w:w="3209" w:type="dxa"/>
            <w:noWrap/>
            <w:vAlign w:val="center"/>
          </w:tcPr>
          <w:p w14:paraId="67DAF333" w14:textId="77777777" w:rsidR="00000000" w:rsidRDefault="00000000">
            <w:pPr>
              <w:widowControl/>
              <w:snapToGrid w:val="0"/>
              <w:spacing w:line="360" w:lineRule="auto"/>
              <w:ind w:firstLine="0"/>
              <w:jc w:val="center"/>
              <w:textAlignment w:val="center"/>
              <w:rPr>
                <w:rFonts w:ascii="宋体" w:hAnsi="宋体" w:cs="宋体"/>
                <w:sz w:val="21"/>
                <w:szCs w:val="21"/>
              </w:rPr>
            </w:pPr>
            <w:r>
              <w:rPr>
                <w:rFonts w:ascii="宋体" w:hAnsi="宋体" w:cs="宋体" w:hint="eastAsia"/>
                <w:kern w:val="0"/>
                <w:sz w:val="21"/>
                <w:szCs w:val="21"/>
                <w:lang w:bidi="ar"/>
              </w:rPr>
              <w:t>0.8320</w:t>
            </w:r>
          </w:p>
        </w:tc>
        <w:tc>
          <w:tcPr>
            <w:tcW w:w="3209" w:type="dxa"/>
            <w:noWrap/>
            <w:vAlign w:val="center"/>
          </w:tcPr>
          <w:p w14:paraId="55B0CC2F" w14:textId="77777777" w:rsidR="00000000" w:rsidRDefault="00000000">
            <w:pPr>
              <w:widowControl/>
              <w:snapToGrid w:val="0"/>
              <w:spacing w:line="360" w:lineRule="auto"/>
              <w:ind w:firstLine="0"/>
              <w:jc w:val="center"/>
              <w:textAlignment w:val="center"/>
              <w:rPr>
                <w:rFonts w:ascii="宋体" w:hAnsi="宋体" w:cs="宋体"/>
                <w:sz w:val="21"/>
                <w:szCs w:val="21"/>
              </w:rPr>
            </w:pPr>
            <w:r>
              <w:rPr>
                <w:rFonts w:ascii="宋体" w:hAnsi="宋体" w:cs="宋体" w:hint="eastAsia"/>
                <w:kern w:val="0"/>
                <w:sz w:val="21"/>
                <w:szCs w:val="21"/>
                <w:lang w:bidi="ar"/>
              </w:rPr>
              <w:t>0.2487</w:t>
            </w:r>
          </w:p>
        </w:tc>
      </w:tr>
      <w:tr w:rsidR="00000000" w14:paraId="43317D84" w14:textId="77777777">
        <w:trPr>
          <w:jc w:val="center"/>
        </w:trPr>
        <w:tc>
          <w:tcPr>
            <w:tcW w:w="2221" w:type="dxa"/>
            <w:noWrap/>
            <w:vAlign w:val="center"/>
          </w:tcPr>
          <w:p w14:paraId="697F8DBA" w14:textId="77777777" w:rsidR="00000000" w:rsidRDefault="00000000">
            <w:pPr>
              <w:widowControl/>
              <w:snapToGrid w:val="0"/>
              <w:spacing w:line="360" w:lineRule="auto"/>
              <w:ind w:firstLine="0"/>
              <w:jc w:val="center"/>
              <w:textAlignment w:val="center"/>
              <w:rPr>
                <w:rFonts w:ascii="宋体" w:hAnsi="宋体" w:cs="宋体"/>
                <w:sz w:val="21"/>
                <w:szCs w:val="21"/>
              </w:rPr>
            </w:pPr>
            <w:r>
              <w:rPr>
                <w:rFonts w:ascii="宋体" w:hAnsi="宋体" w:cs="宋体" w:hint="eastAsia"/>
                <w:kern w:val="0"/>
                <w:sz w:val="21"/>
                <w:szCs w:val="21"/>
                <w:lang w:bidi="ar"/>
              </w:rPr>
              <w:t>A4</w:t>
            </w:r>
          </w:p>
        </w:tc>
        <w:tc>
          <w:tcPr>
            <w:tcW w:w="3209" w:type="dxa"/>
            <w:noWrap/>
            <w:vAlign w:val="center"/>
          </w:tcPr>
          <w:p w14:paraId="5D6D08E3" w14:textId="77777777" w:rsidR="00000000" w:rsidRDefault="00000000">
            <w:pPr>
              <w:widowControl/>
              <w:snapToGrid w:val="0"/>
              <w:spacing w:line="360" w:lineRule="auto"/>
              <w:ind w:firstLine="0"/>
              <w:jc w:val="center"/>
              <w:textAlignment w:val="center"/>
              <w:rPr>
                <w:rFonts w:ascii="宋体" w:hAnsi="宋体" w:cs="宋体"/>
                <w:sz w:val="21"/>
                <w:szCs w:val="21"/>
              </w:rPr>
            </w:pPr>
            <w:r>
              <w:rPr>
                <w:rFonts w:ascii="宋体" w:hAnsi="宋体" w:cs="宋体" w:hint="eastAsia"/>
                <w:kern w:val="0"/>
                <w:sz w:val="21"/>
                <w:szCs w:val="21"/>
                <w:lang w:bidi="ar"/>
              </w:rPr>
              <w:t>0.8855</w:t>
            </w:r>
          </w:p>
        </w:tc>
        <w:tc>
          <w:tcPr>
            <w:tcW w:w="3209" w:type="dxa"/>
            <w:noWrap/>
            <w:vAlign w:val="center"/>
          </w:tcPr>
          <w:p w14:paraId="3AFAD105" w14:textId="77777777" w:rsidR="00000000" w:rsidRDefault="00000000">
            <w:pPr>
              <w:widowControl/>
              <w:snapToGrid w:val="0"/>
              <w:spacing w:line="360" w:lineRule="auto"/>
              <w:ind w:firstLine="0"/>
              <w:jc w:val="center"/>
              <w:textAlignment w:val="center"/>
              <w:rPr>
                <w:rFonts w:ascii="宋体" w:hAnsi="宋体" w:cs="宋体"/>
                <w:sz w:val="21"/>
                <w:szCs w:val="21"/>
              </w:rPr>
            </w:pPr>
            <w:r>
              <w:rPr>
                <w:rFonts w:ascii="宋体" w:hAnsi="宋体" w:cs="宋体" w:hint="eastAsia"/>
                <w:kern w:val="0"/>
                <w:sz w:val="21"/>
                <w:szCs w:val="21"/>
                <w:lang w:bidi="ar"/>
              </w:rPr>
              <w:t>0.1696</w:t>
            </w:r>
          </w:p>
        </w:tc>
      </w:tr>
    </w:tbl>
    <w:p w14:paraId="5CA8FC7B" w14:textId="77777777" w:rsidR="00000000" w:rsidRDefault="00000000">
      <w:pPr>
        <w:widowControl/>
        <w:rPr>
          <w:sz w:val="21"/>
          <w:szCs w:val="21"/>
        </w:rPr>
      </w:pPr>
    </w:p>
    <w:p w14:paraId="59EAD81E" w14:textId="77777777" w:rsidR="00000000" w:rsidRDefault="00000000">
      <w:pPr>
        <w:pStyle w:val="afd"/>
        <w:ind w:firstLine="486"/>
        <w:rPr>
          <w:rFonts w:cs="宋体" w:hint="eastAsia"/>
          <w:color w:val="auto"/>
        </w:rPr>
      </w:pPr>
      <w:r>
        <w:rPr>
          <w:rFonts w:cs="宋体" w:hint="eastAsia"/>
          <w:color w:val="auto"/>
        </w:rPr>
        <w:t>步骤三：基于已获取的数据，计算一级指标的加权规范化矩阵，并据此确定一级指标的正理想解与负理想解。具体计算结果详见下表5-12。</w:t>
      </w:r>
    </w:p>
    <w:p w14:paraId="2171E425" w14:textId="77777777" w:rsidR="00000000" w:rsidRDefault="00000000">
      <w:pPr>
        <w:autoSpaceDE w:val="0"/>
        <w:autoSpaceDN w:val="0"/>
        <w:adjustRightInd w:val="0"/>
        <w:spacing w:beforeLines="50" w:before="207" w:afterLines="50" w:after="207" w:line="400" w:lineRule="exact"/>
        <w:ind w:firstLine="0"/>
        <w:jc w:val="center"/>
        <w:rPr>
          <w:rFonts w:ascii="宋体" w:hAnsi="宋体" w:cs="宋体"/>
          <w:sz w:val="21"/>
          <w:szCs w:val="21"/>
        </w:rPr>
      </w:pPr>
      <w:r>
        <w:rPr>
          <w:rFonts w:ascii="宋体" w:hAnsi="宋体" w:cs="宋体" w:hint="eastAsia"/>
          <w:sz w:val="21"/>
          <w:szCs w:val="21"/>
        </w:rPr>
        <w:t>表5-12 M公司2020-2024年财务风险评价一级指标理想解</w:t>
      </w:r>
    </w:p>
    <w:tbl>
      <w:tblPr>
        <w:tblW w:w="8639" w:type="dxa"/>
        <w:jc w:val="center"/>
        <w:tblInd w:w="0" w:type="dxa"/>
        <w:tblBorders>
          <w:top w:val="single" w:sz="12" w:space="0" w:color="auto"/>
          <w:bottom w:val="single" w:sz="12" w:space="0" w:color="auto"/>
        </w:tblBorders>
        <w:tblCellMar>
          <w:top w:w="80" w:type="dxa"/>
          <w:left w:w="128" w:type="dxa"/>
          <w:bottom w:w="80" w:type="dxa"/>
          <w:right w:w="128" w:type="dxa"/>
        </w:tblCellMar>
        <w:tblLook w:val="0000" w:firstRow="0" w:lastRow="0" w:firstColumn="0" w:lastColumn="0" w:noHBand="0" w:noVBand="0"/>
      </w:tblPr>
      <w:tblGrid>
        <w:gridCol w:w="1800"/>
        <w:gridCol w:w="3317"/>
        <w:gridCol w:w="3522"/>
      </w:tblGrid>
      <w:tr w:rsidR="00000000" w14:paraId="1C15A892" w14:textId="77777777">
        <w:trPr>
          <w:jc w:val="center"/>
        </w:trPr>
        <w:tc>
          <w:tcPr>
            <w:tcW w:w="1800" w:type="dxa"/>
            <w:tcBorders>
              <w:bottom w:val="single" w:sz="6" w:space="0" w:color="auto"/>
            </w:tcBorders>
            <w:noWrap/>
            <w:vAlign w:val="center"/>
          </w:tcPr>
          <w:p w14:paraId="294A32D7" w14:textId="77777777" w:rsidR="00000000" w:rsidRDefault="00000000">
            <w:pPr>
              <w:widowControl/>
              <w:snapToGrid w:val="0"/>
              <w:spacing w:line="360" w:lineRule="auto"/>
              <w:ind w:firstLine="0"/>
              <w:jc w:val="center"/>
              <w:textAlignment w:val="center"/>
              <w:rPr>
                <w:rFonts w:ascii="宋体" w:hAnsi="宋体" w:cs="宋体"/>
                <w:b/>
                <w:bCs/>
                <w:sz w:val="21"/>
                <w:szCs w:val="21"/>
              </w:rPr>
            </w:pPr>
            <w:r>
              <w:rPr>
                <w:rFonts w:ascii="宋体" w:hAnsi="宋体" w:cs="宋体" w:hint="eastAsia"/>
                <w:b/>
                <w:bCs/>
                <w:kern w:val="0"/>
                <w:sz w:val="21"/>
                <w:szCs w:val="21"/>
                <w:lang w:bidi="ar"/>
              </w:rPr>
              <w:t>项</w:t>
            </w:r>
          </w:p>
        </w:tc>
        <w:tc>
          <w:tcPr>
            <w:tcW w:w="3317" w:type="dxa"/>
            <w:tcBorders>
              <w:bottom w:val="single" w:sz="6" w:space="0" w:color="auto"/>
            </w:tcBorders>
            <w:noWrap/>
            <w:vAlign w:val="center"/>
          </w:tcPr>
          <w:p w14:paraId="1E8D1BF4" w14:textId="77777777" w:rsidR="00000000" w:rsidRDefault="00000000">
            <w:pPr>
              <w:widowControl/>
              <w:snapToGrid w:val="0"/>
              <w:spacing w:line="360" w:lineRule="auto"/>
              <w:ind w:firstLine="0"/>
              <w:jc w:val="center"/>
              <w:textAlignment w:val="center"/>
              <w:rPr>
                <w:rFonts w:ascii="宋体" w:hAnsi="宋体" w:cs="宋体"/>
                <w:b/>
                <w:bCs/>
                <w:sz w:val="21"/>
                <w:szCs w:val="21"/>
              </w:rPr>
            </w:pPr>
            <w:r>
              <w:rPr>
                <w:rFonts w:ascii="宋体" w:hAnsi="宋体" w:cs="宋体" w:hint="eastAsia"/>
                <w:b/>
                <w:bCs/>
                <w:kern w:val="0"/>
                <w:sz w:val="21"/>
                <w:szCs w:val="21"/>
                <w:lang w:bidi="ar"/>
              </w:rPr>
              <w:t>正理想解A</w:t>
            </w:r>
          </w:p>
        </w:tc>
        <w:tc>
          <w:tcPr>
            <w:tcW w:w="3522" w:type="dxa"/>
            <w:tcBorders>
              <w:bottom w:val="single" w:sz="6" w:space="0" w:color="auto"/>
            </w:tcBorders>
            <w:noWrap/>
            <w:vAlign w:val="center"/>
          </w:tcPr>
          <w:p w14:paraId="26761BCF" w14:textId="77777777" w:rsidR="00000000" w:rsidRDefault="00000000">
            <w:pPr>
              <w:widowControl/>
              <w:snapToGrid w:val="0"/>
              <w:spacing w:line="360" w:lineRule="auto"/>
              <w:ind w:firstLine="0"/>
              <w:jc w:val="center"/>
              <w:textAlignment w:val="center"/>
              <w:rPr>
                <w:rFonts w:ascii="宋体" w:hAnsi="宋体" w:cs="宋体"/>
                <w:b/>
                <w:bCs/>
                <w:sz w:val="21"/>
                <w:szCs w:val="21"/>
              </w:rPr>
            </w:pPr>
            <w:r>
              <w:rPr>
                <w:rFonts w:ascii="宋体" w:hAnsi="宋体" w:cs="宋体" w:hint="eastAsia"/>
                <w:b/>
                <w:bCs/>
                <w:kern w:val="0"/>
                <w:sz w:val="21"/>
                <w:szCs w:val="21"/>
                <w:lang w:bidi="ar"/>
              </w:rPr>
              <w:t>负理想解A-</w:t>
            </w:r>
          </w:p>
        </w:tc>
      </w:tr>
      <w:tr w:rsidR="00000000" w14:paraId="19700101" w14:textId="77777777">
        <w:trPr>
          <w:jc w:val="center"/>
        </w:trPr>
        <w:tc>
          <w:tcPr>
            <w:tcW w:w="1800" w:type="dxa"/>
            <w:tcBorders>
              <w:top w:val="single" w:sz="6" w:space="0" w:color="auto"/>
            </w:tcBorders>
            <w:noWrap/>
            <w:vAlign w:val="center"/>
          </w:tcPr>
          <w:p w14:paraId="05F0B0C0" w14:textId="77777777" w:rsidR="00000000" w:rsidRDefault="00000000">
            <w:pPr>
              <w:widowControl/>
              <w:snapToGrid w:val="0"/>
              <w:spacing w:line="360" w:lineRule="auto"/>
              <w:ind w:firstLine="0"/>
              <w:jc w:val="center"/>
              <w:textAlignment w:val="center"/>
              <w:rPr>
                <w:rFonts w:ascii="宋体" w:hAnsi="宋体" w:cs="宋体"/>
                <w:sz w:val="21"/>
                <w:szCs w:val="21"/>
              </w:rPr>
            </w:pPr>
            <w:r>
              <w:rPr>
                <w:rFonts w:ascii="宋体" w:hAnsi="宋体" w:cs="宋体" w:hint="eastAsia"/>
                <w:kern w:val="0"/>
                <w:sz w:val="21"/>
                <w:szCs w:val="21"/>
                <w:lang w:bidi="ar"/>
              </w:rPr>
              <w:t>A1</w:t>
            </w:r>
          </w:p>
        </w:tc>
        <w:tc>
          <w:tcPr>
            <w:tcW w:w="3317" w:type="dxa"/>
            <w:tcBorders>
              <w:top w:val="single" w:sz="6" w:space="0" w:color="auto"/>
            </w:tcBorders>
            <w:noWrap/>
            <w:vAlign w:val="center"/>
          </w:tcPr>
          <w:p w14:paraId="7DB962B4" w14:textId="77777777" w:rsidR="00000000" w:rsidRDefault="00000000">
            <w:pPr>
              <w:widowControl/>
              <w:snapToGrid w:val="0"/>
              <w:spacing w:line="360" w:lineRule="auto"/>
              <w:ind w:firstLine="0"/>
              <w:jc w:val="center"/>
              <w:textAlignment w:val="center"/>
              <w:rPr>
                <w:rFonts w:ascii="宋体" w:hAnsi="宋体" w:cs="宋体"/>
                <w:sz w:val="21"/>
                <w:szCs w:val="21"/>
              </w:rPr>
            </w:pPr>
            <w:r>
              <w:rPr>
                <w:rFonts w:ascii="宋体" w:hAnsi="宋体" w:cs="宋体" w:hint="eastAsia"/>
                <w:kern w:val="0"/>
                <w:sz w:val="21"/>
                <w:szCs w:val="21"/>
                <w:lang w:bidi="ar"/>
              </w:rPr>
              <w:t>0.299</w:t>
            </w:r>
          </w:p>
        </w:tc>
        <w:tc>
          <w:tcPr>
            <w:tcW w:w="3522" w:type="dxa"/>
            <w:tcBorders>
              <w:top w:val="single" w:sz="6" w:space="0" w:color="auto"/>
            </w:tcBorders>
            <w:noWrap/>
            <w:vAlign w:val="center"/>
          </w:tcPr>
          <w:p w14:paraId="4C0C92FE" w14:textId="77777777" w:rsidR="00000000" w:rsidRDefault="00000000">
            <w:pPr>
              <w:widowControl/>
              <w:snapToGrid w:val="0"/>
              <w:spacing w:line="360" w:lineRule="auto"/>
              <w:ind w:firstLine="0"/>
              <w:jc w:val="center"/>
              <w:textAlignment w:val="center"/>
              <w:rPr>
                <w:rFonts w:ascii="宋体" w:hAnsi="宋体" w:cs="宋体"/>
                <w:sz w:val="21"/>
                <w:szCs w:val="21"/>
              </w:rPr>
            </w:pPr>
            <w:r>
              <w:rPr>
                <w:rFonts w:ascii="宋体" w:hAnsi="宋体" w:cs="宋体" w:hint="eastAsia"/>
                <w:kern w:val="0"/>
                <w:sz w:val="21"/>
                <w:szCs w:val="21"/>
                <w:lang w:bidi="ar"/>
              </w:rPr>
              <w:t>0.000</w:t>
            </w:r>
          </w:p>
        </w:tc>
      </w:tr>
      <w:tr w:rsidR="00000000" w14:paraId="2E25D8B7" w14:textId="77777777">
        <w:trPr>
          <w:jc w:val="center"/>
        </w:trPr>
        <w:tc>
          <w:tcPr>
            <w:tcW w:w="1800" w:type="dxa"/>
            <w:noWrap/>
            <w:vAlign w:val="center"/>
          </w:tcPr>
          <w:p w14:paraId="78E337F6" w14:textId="77777777" w:rsidR="00000000" w:rsidRDefault="00000000">
            <w:pPr>
              <w:widowControl/>
              <w:snapToGrid w:val="0"/>
              <w:spacing w:line="360" w:lineRule="auto"/>
              <w:ind w:firstLine="0"/>
              <w:jc w:val="center"/>
              <w:textAlignment w:val="center"/>
              <w:rPr>
                <w:rFonts w:ascii="宋体" w:hAnsi="宋体" w:cs="宋体"/>
                <w:sz w:val="21"/>
                <w:szCs w:val="21"/>
              </w:rPr>
            </w:pPr>
            <w:r>
              <w:rPr>
                <w:rFonts w:ascii="宋体" w:hAnsi="宋体" w:cs="宋体" w:hint="eastAsia"/>
                <w:kern w:val="0"/>
                <w:sz w:val="21"/>
                <w:szCs w:val="21"/>
                <w:lang w:bidi="ar"/>
              </w:rPr>
              <w:t>A2</w:t>
            </w:r>
          </w:p>
        </w:tc>
        <w:tc>
          <w:tcPr>
            <w:tcW w:w="3317" w:type="dxa"/>
            <w:noWrap/>
            <w:vAlign w:val="center"/>
          </w:tcPr>
          <w:p w14:paraId="3FE6C5D6" w14:textId="77777777" w:rsidR="00000000" w:rsidRDefault="00000000">
            <w:pPr>
              <w:widowControl/>
              <w:snapToGrid w:val="0"/>
              <w:spacing w:line="360" w:lineRule="auto"/>
              <w:ind w:firstLine="0"/>
              <w:jc w:val="center"/>
              <w:textAlignment w:val="center"/>
              <w:rPr>
                <w:rFonts w:ascii="宋体" w:hAnsi="宋体" w:cs="宋体"/>
                <w:sz w:val="21"/>
                <w:szCs w:val="21"/>
              </w:rPr>
            </w:pPr>
            <w:r>
              <w:rPr>
                <w:rFonts w:ascii="宋体" w:hAnsi="宋体" w:cs="宋体" w:hint="eastAsia"/>
                <w:kern w:val="0"/>
                <w:sz w:val="21"/>
                <w:szCs w:val="21"/>
                <w:lang w:bidi="ar"/>
              </w:rPr>
              <w:t>0.253</w:t>
            </w:r>
          </w:p>
        </w:tc>
        <w:tc>
          <w:tcPr>
            <w:tcW w:w="3522" w:type="dxa"/>
            <w:noWrap/>
            <w:vAlign w:val="center"/>
          </w:tcPr>
          <w:p w14:paraId="13408B1F" w14:textId="77777777" w:rsidR="00000000" w:rsidRDefault="00000000">
            <w:pPr>
              <w:widowControl/>
              <w:snapToGrid w:val="0"/>
              <w:spacing w:line="360" w:lineRule="auto"/>
              <w:ind w:firstLine="0"/>
              <w:jc w:val="center"/>
              <w:textAlignment w:val="center"/>
              <w:rPr>
                <w:rFonts w:ascii="宋体" w:hAnsi="宋体" w:cs="宋体"/>
                <w:sz w:val="21"/>
                <w:szCs w:val="21"/>
              </w:rPr>
            </w:pPr>
            <w:r>
              <w:rPr>
                <w:rFonts w:ascii="宋体" w:hAnsi="宋体" w:cs="宋体" w:hint="eastAsia"/>
                <w:kern w:val="0"/>
                <w:sz w:val="21"/>
                <w:szCs w:val="21"/>
                <w:lang w:bidi="ar"/>
              </w:rPr>
              <w:t>0.000</w:t>
            </w:r>
          </w:p>
        </w:tc>
      </w:tr>
      <w:tr w:rsidR="00000000" w14:paraId="6B572A89" w14:textId="77777777">
        <w:trPr>
          <w:jc w:val="center"/>
        </w:trPr>
        <w:tc>
          <w:tcPr>
            <w:tcW w:w="1800" w:type="dxa"/>
            <w:noWrap/>
            <w:vAlign w:val="center"/>
          </w:tcPr>
          <w:p w14:paraId="7CF79DA6" w14:textId="77777777" w:rsidR="00000000" w:rsidRDefault="00000000">
            <w:pPr>
              <w:widowControl/>
              <w:snapToGrid w:val="0"/>
              <w:spacing w:line="360" w:lineRule="auto"/>
              <w:ind w:firstLine="0"/>
              <w:jc w:val="center"/>
              <w:textAlignment w:val="center"/>
              <w:rPr>
                <w:rFonts w:ascii="宋体" w:hAnsi="宋体" w:cs="宋体"/>
                <w:sz w:val="21"/>
                <w:szCs w:val="21"/>
              </w:rPr>
            </w:pPr>
            <w:r>
              <w:rPr>
                <w:rFonts w:ascii="宋体" w:hAnsi="宋体" w:cs="宋体" w:hint="eastAsia"/>
                <w:kern w:val="0"/>
                <w:sz w:val="21"/>
                <w:szCs w:val="21"/>
                <w:lang w:bidi="ar"/>
              </w:rPr>
              <w:t>A3</w:t>
            </w:r>
          </w:p>
        </w:tc>
        <w:tc>
          <w:tcPr>
            <w:tcW w:w="3317" w:type="dxa"/>
            <w:noWrap/>
            <w:vAlign w:val="center"/>
          </w:tcPr>
          <w:p w14:paraId="4267D9D9" w14:textId="77777777" w:rsidR="00000000" w:rsidRDefault="00000000">
            <w:pPr>
              <w:widowControl/>
              <w:snapToGrid w:val="0"/>
              <w:spacing w:line="360" w:lineRule="auto"/>
              <w:ind w:firstLine="0"/>
              <w:jc w:val="center"/>
              <w:textAlignment w:val="center"/>
              <w:rPr>
                <w:rFonts w:ascii="宋体" w:hAnsi="宋体" w:cs="宋体"/>
                <w:sz w:val="21"/>
                <w:szCs w:val="21"/>
              </w:rPr>
            </w:pPr>
            <w:r>
              <w:rPr>
                <w:rFonts w:ascii="宋体" w:hAnsi="宋体" w:cs="宋体" w:hint="eastAsia"/>
                <w:kern w:val="0"/>
                <w:sz w:val="21"/>
                <w:szCs w:val="21"/>
                <w:lang w:bidi="ar"/>
              </w:rPr>
              <w:t>0.228</w:t>
            </w:r>
          </w:p>
        </w:tc>
        <w:tc>
          <w:tcPr>
            <w:tcW w:w="3522" w:type="dxa"/>
            <w:noWrap/>
            <w:vAlign w:val="center"/>
          </w:tcPr>
          <w:p w14:paraId="251D2D14" w14:textId="77777777" w:rsidR="00000000" w:rsidRDefault="00000000">
            <w:pPr>
              <w:widowControl/>
              <w:snapToGrid w:val="0"/>
              <w:spacing w:line="360" w:lineRule="auto"/>
              <w:ind w:firstLine="0"/>
              <w:jc w:val="center"/>
              <w:textAlignment w:val="center"/>
              <w:rPr>
                <w:rFonts w:ascii="宋体" w:hAnsi="宋体" w:cs="宋体"/>
                <w:sz w:val="21"/>
                <w:szCs w:val="21"/>
              </w:rPr>
            </w:pPr>
            <w:r>
              <w:rPr>
                <w:rFonts w:ascii="宋体" w:hAnsi="宋体" w:cs="宋体" w:hint="eastAsia"/>
                <w:kern w:val="0"/>
                <w:sz w:val="21"/>
                <w:szCs w:val="21"/>
                <w:lang w:bidi="ar"/>
              </w:rPr>
              <w:t>0.000</w:t>
            </w:r>
          </w:p>
        </w:tc>
      </w:tr>
      <w:tr w:rsidR="00000000" w14:paraId="015E855E" w14:textId="77777777">
        <w:trPr>
          <w:jc w:val="center"/>
        </w:trPr>
        <w:tc>
          <w:tcPr>
            <w:tcW w:w="1800" w:type="dxa"/>
            <w:noWrap/>
            <w:vAlign w:val="center"/>
          </w:tcPr>
          <w:p w14:paraId="0A07B48C" w14:textId="77777777" w:rsidR="00000000" w:rsidRDefault="00000000">
            <w:pPr>
              <w:widowControl/>
              <w:snapToGrid w:val="0"/>
              <w:spacing w:line="360" w:lineRule="auto"/>
              <w:ind w:firstLine="0"/>
              <w:jc w:val="center"/>
              <w:textAlignment w:val="center"/>
              <w:rPr>
                <w:rFonts w:ascii="宋体" w:hAnsi="宋体" w:cs="宋体"/>
                <w:sz w:val="21"/>
                <w:szCs w:val="21"/>
              </w:rPr>
            </w:pPr>
            <w:r>
              <w:rPr>
                <w:rFonts w:ascii="宋体" w:hAnsi="宋体" w:cs="宋体" w:hint="eastAsia"/>
                <w:kern w:val="0"/>
                <w:sz w:val="21"/>
                <w:szCs w:val="21"/>
                <w:lang w:bidi="ar"/>
              </w:rPr>
              <w:t>A4</w:t>
            </w:r>
          </w:p>
        </w:tc>
        <w:tc>
          <w:tcPr>
            <w:tcW w:w="3317" w:type="dxa"/>
            <w:noWrap/>
            <w:vAlign w:val="center"/>
          </w:tcPr>
          <w:p w14:paraId="64A60C30" w14:textId="77777777" w:rsidR="00000000" w:rsidRDefault="00000000">
            <w:pPr>
              <w:widowControl/>
              <w:snapToGrid w:val="0"/>
              <w:spacing w:line="360" w:lineRule="auto"/>
              <w:ind w:firstLine="0"/>
              <w:jc w:val="center"/>
              <w:textAlignment w:val="center"/>
              <w:rPr>
                <w:rFonts w:ascii="宋体" w:hAnsi="宋体" w:cs="宋体"/>
                <w:sz w:val="21"/>
                <w:szCs w:val="21"/>
              </w:rPr>
            </w:pPr>
            <w:r>
              <w:rPr>
                <w:rFonts w:ascii="宋体" w:hAnsi="宋体" w:cs="宋体" w:hint="eastAsia"/>
                <w:kern w:val="0"/>
                <w:sz w:val="21"/>
                <w:szCs w:val="21"/>
                <w:lang w:bidi="ar"/>
              </w:rPr>
              <w:t>0.134</w:t>
            </w:r>
          </w:p>
        </w:tc>
        <w:tc>
          <w:tcPr>
            <w:tcW w:w="3522" w:type="dxa"/>
            <w:noWrap/>
            <w:vAlign w:val="center"/>
          </w:tcPr>
          <w:p w14:paraId="512E8985" w14:textId="77777777" w:rsidR="00000000" w:rsidRDefault="00000000">
            <w:pPr>
              <w:widowControl/>
              <w:snapToGrid w:val="0"/>
              <w:spacing w:line="360" w:lineRule="auto"/>
              <w:ind w:firstLine="0"/>
              <w:jc w:val="center"/>
              <w:textAlignment w:val="center"/>
              <w:rPr>
                <w:rFonts w:ascii="宋体" w:hAnsi="宋体" w:cs="宋体"/>
                <w:sz w:val="21"/>
                <w:szCs w:val="21"/>
              </w:rPr>
            </w:pPr>
            <w:r>
              <w:rPr>
                <w:rFonts w:ascii="宋体" w:hAnsi="宋体" w:cs="宋体" w:hint="eastAsia"/>
                <w:kern w:val="0"/>
                <w:sz w:val="21"/>
                <w:szCs w:val="21"/>
                <w:lang w:bidi="ar"/>
              </w:rPr>
              <w:t>0.028</w:t>
            </w:r>
          </w:p>
        </w:tc>
      </w:tr>
    </w:tbl>
    <w:p w14:paraId="222F16A8" w14:textId="77777777" w:rsidR="00000000" w:rsidRDefault="00000000">
      <w:pPr>
        <w:pStyle w:val="afd"/>
        <w:ind w:firstLine="486"/>
        <w:rPr>
          <w:rFonts w:cs="宋体" w:hint="eastAsia"/>
          <w:color w:val="auto"/>
        </w:rPr>
        <w:sectPr w:rsidR="00000000">
          <w:footnotePr>
            <w:numRestart w:val="eachPage"/>
          </w:footnotePr>
          <w:pgSz w:w="11909" w:h="16834"/>
          <w:pgMar w:top="1701" w:right="1701" w:bottom="1418" w:left="1701" w:header="1304" w:footer="1021" w:gutter="0"/>
          <w:cols w:space="720"/>
          <w:docGrid w:type="linesAndChars" w:linePitch="415" w:charSpace="614"/>
        </w:sectPr>
      </w:pPr>
      <w:r>
        <w:rPr>
          <w:rFonts w:cs="宋体" w:hint="eastAsia"/>
          <w:color w:val="auto"/>
        </w:rPr>
        <w:t>步骤四：计算得出一级指标与理想解之间的距离以及相对贴近度。计算结果如表5-13所示。</w:t>
      </w:r>
    </w:p>
    <w:p w14:paraId="0384E4A8" w14:textId="77777777" w:rsidR="00000000" w:rsidRDefault="00000000">
      <w:pPr>
        <w:autoSpaceDE w:val="0"/>
        <w:autoSpaceDN w:val="0"/>
        <w:adjustRightInd w:val="0"/>
        <w:spacing w:beforeLines="50" w:before="207" w:afterLines="50" w:after="207" w:line="400" w:lineRule="exact"/>
        <w:ind w:firstLine="0"/>
        <w:jc w:val="center"/>
        <w:rPr>
          <w:rFonts w:ascii="宋体" w:hAnsi="宋体" w:cs="宋体"/>
          <w:sz w:val="21"/>
          <w:szCs w:val="21"/>
        </w:rPr>
      </w:pPr>
      <w:r>
        <w:rPr>
          <w:rFonts w:ascii="宋体" w:hAnsi="宋体" w:cs="宋体" w:hint="eastAsia"/>
          <w:sz w:val="21"/>
          <w:szCs w:val="21"/>
        </w:rPr>
        <w:lastRenderedPageBreak/>
        <w:t>表5-13 M公司2020-2024年财务风险评价一级指标到理想解的距离及相对贴近度</w:t>
      </w:r>
    </w:p>
    <w:tbl>
      <w:tblPr>
        <w:tblW w:w="8638" w:type="dxa"/>
        <w:jc w:val="center"/>
        <w:tblInd w:w="0" w:type="dxa"/>
        <w:tblBorders>
          <w:top w:val="single" w:sz="12" w:space="0" w:color="auto"/>
          <w:bottom w:val="single" w:sz="12" w:space="0" w:color="auto"/>
        </w:tblBorders>
        <w:tblCellMar>
          <w:top w:w="56" w:type="dxa"/>
          <w:left w:w="96" w:type="dxa"/>
          <w:bottom w:w="56" w:type="dxa"/>
          <w:right w:w="96" w:type="dxa"/>
        </w:tblCellMar>
        <w:tblLook w:val="0000" w:firstRow="0" w:lastRow="0" w:firstColumn="0" w:lastColumn="0" w:noHBand="0" w:noVBand="0"/>
      </w:tblPr>
      <w:tblGrid>
        <w:gridCol w:w="1337"/>
        <w:gridCol w:w="2043"/>
        <w:gridCol w:w="2181"/>
        <w:gridCol w:w="1775"/>
        <w:gridCol w:w="1302"/>
      </w:tblGrid>
      <w:tr w:rsidR="00000000" w14:paraId="00187DAF" w14:textId="77777777">
        <w:trPr>
          <w:jc w:val="center"/>
        </w:trPr>
        <w:tc>
          <w:tcPr>
            <w:tcW w:w="1337" w:type="dxa"/>
            <w:tcBorders>
              <w:bottom w:val="single" w:sz="6" w:space="0" w:color="auto"/>
            </w:tcBorders>
            <w:noWrap/>
            <w:vAlign w:val="center"/>
          </w:tcPr>
          <w:p w14:paraId="1C44B3CC" w14:textId="77777777" w:rsidR="00000000" w:rsidRDefault="00000000">
            <w:pPr>
              <w:keepNext/>
              <w:widowControl/>
              <w:snapToGrid w:val="0"/>
              <w:spacing w:line="400" w:lineRule="exact"/>
              <w:ind w:firstLine="0"/>
              <w:jc w:val="center"/>
              <w:textAlignment w:val="center"/>
              <w:rPr>
                <w:rFonts w:ascii="宋体" w:hAnsi="宋体" w:cs="宋体"/>
                <w:b/>
                <w:bCs/>
                <w:sz w:val="21"/>
                <w:szCs w:val="21"/>
              </w:rPr>
            </w:pPr>
            <w:r>
              <w:rPr>
                <w:rFonts w:ascii="宋体" w:hAnsi="宋体" w:cs="宋体" w:hint="eastAsia"/>
                <w:b/>
                <w:bCs/>
                <w:kern w:val="0"/>
                <w:sz w:val="21"/>
                <w:szCs w:val="21"/>
                <w:lang w:bidi="ar"/>
              </w:rPr>
              <w:t>年份</w:t>
            </w:r>
          </w:p>
        </w:tc>
        <w:tc>
          <w:tcPr>
            <w:tcW w:w="2043" w:type="dxa"/>
            <w:tcBorders>
              <w:bottom w:val="single" w:sz="6" w:space="0" w:color="auto"/>
            </w:tcBorders>
            <w:noWrap/>
            <w:vAlign w:val="center"/>
          </w:tcPr>
          <w:p w14:paraId="12B26221" w14:textId="77777777" w:rsidR="00000000" w:rsidRDefault="00000000">
            <w:pPr>
              <w:keepNext/>
              <w:widowControl/>
              <w:snapToGrid w:val="0"/>
              <w:spacing w:line="400" w:lineRule="exact"/>
              <w:ind w:firstLine="0"/>
              <w:jc w:val="center"/>
              <w:textAlignment w:val="center"/>
              <w:rPr>
                <w:rFonts w:ascii="宋体" w:hAnsi="宋体" w:cs="宋体"/>
                <w:b/>
                <w:bCs/>
                <w:sz w:val="21"/>
                <w:szCs w:val="21"/>
              </w:rPr>
            </w:pPr>
            <w:r>
              <w:rPr>
                <w:rFonts w:ascii="宋体" w:hAnsi="宋体" w:cs="宋体" w:hint="eastAsia"/>
                <w:b/>
                <w:bCs/>
                <w:kern w:val="0"/>
                <w:sz w:val="21"/>
                <w:szCs w:val="21"/>
                <w:lang w:bidi="ar"/>
              </w:rPr>
              <w:t>正理想解距离D</w:t>
            </w:r>
          </w:p>
        </w:tc>
        <w:tc>
          <w:tcPr>
            <w:tcW w:w="2181" w:type="dxa"/>
            <w:tcBorders>
              <w:bottom w:val="single" w:sz="6" w:space="0" w:color="auto"/>
            </w:tcBorders>
            <w:noWrap/>
            <w:vAlign w:val="center"/>
          </w:tcPr>
          <w:p w14:paraId="606B52FB" w14:textId="77777777" w:rsidR="00000000" w:rsidRDefault="00000000">
            <w:pPr>
              <w:keepNext/>
              <w:widowControl/>
              <w:snapToGrid w:val="0"/>
              <w:spacing w:line="400" w:lineRule="exact"/>
              <w:ind w:firstLine="0"/>
              <w:jc w:val="center"/>
              <w:textAlignment w:val="center"/>
              <w:rPr>
                <w:rFonts w:ascii="宋体" w:hAnsi="宋体" w:cs="宋体"/>
                <w:b/>
                <w:bCs/>
                <w:sz w:val="21"/>
                <w:szCs w:val="21"/>
              </w:rPr>
            </w:pPr>
            <w:r>
              <w:rPr>
                <w:rFonts w:ascii="宋体" w:hAnsi="宋体" w:cs="宋体" w:hint="eastAsia"/>
                <w:b/>
                <w:bCs/>
                <w:kern w:val="0"/>
                <w:sz w:val="21"/>
                <w:szCs w:val="21"/>
                <w:lang w:bidi="ar"/>
              </w:rPr>
              <w:t>负理想解距离D-</w:t>
            </w:r>
          </w:p>
        </w:tc>
        <w:tc>
          <w:tcPr>
            <w:tcW w:w="1775" w:type="dxa"/>
            <w:tcBorders>
              <w:bottom w:val="single" w:sz="6" w:space="0" w:color="auto"/>
            </w:tcBorders>
            <w:noWrap/>
            <w:vAlign w:val="center"/>
          </w:tcPr>
          <w:p w14:paraId="105B5837" w14:textId="77777777" w:rsidR="00000000" w:rsidRDefault="00000000">
            <w:pPr>
              <w:keepNext/>
              <w:widowControl/>
              <w:snapToGrid w:val="0"/>
              <w:spacing w:line="400" w:lineRule="exact"/>
              <w:ind w:firstLine="0"/>
              <w:jc w:val="center"/>
              <w:textAlignment w:val="center"/>
              <w:rPr>
                <w:rFonts w:ascii="宋体" w:hAnsi="宋体" w:cs="宋体"/>
                <w:b/>
                <w:bCs/>
                <w:sz w:val="21"/>
                <w:szCs w:val="21"/>
              </w:rPr>
            </w:pPr>
            <w:r>
              <w:rPr>
                <w:rFonts w:ascii="宋体" w:hAnsi="宋体" w:cs="宋体" w:hint="eastAsia"/>
                <w:b/>
                <w:bCs/>
                <w:kern w:val="0"/>
                <w:sz w:val="21"/>
                <w:szCs w:val="21"/>
                <w:lang w:bidi="ar"/>
              </w:rPr>
              <w:t>相对贴近度C</w:t>
            </w:r>
          </w:p>
        </w:tc>
        <w:tc>
          <w:tcPr>
            <w:tcW w:w="1302" w:type="dxa"/>
            <w:tcBorders>
              <w:bottom w:val="single" w:sz="6" w:space="0" w:color="auto"/>
            </w:tcBorders>
            <w:noWrap/>
            <w:vAlign w:val="center"/>
          </w:tcPr>
          <w:p w14:paraId="1B53FCDD" w14:textId="77777777" w:rsidR="00000000" w:rsidRDefault="00000000">
            <w:pPr>
              <w:keepNext/>
              <w:widowControl/>
              <w:snapToGrid w:val="0"/>
              <w:spacing w:line="400" w:lineRule="exact"/>
              <w:ind w:firstLine="0"/>
              <w:jc w:val="center"/>
              <w:textAlignment w:val="center"/>
              <w:rPr>
                <w:rFonts w:ascii="宋体" w:hAnsi="宋体" w:cs="宋体"/>
                <w:b/>
                <w:bCs/>
                <w:sz w:val="21"/>
                <w:szCs w:val="21"/>
              </w:rPr>
            </w:pPr>
            <w:r>
              <w:rPr>
                <w:rFonts w:ascii="宋体" w:hAnsi="宋体" w:cs="宋体" w:hint="eastAsia"/>
                <w:b/>
                <w:bCs/>
                <w:kern w:val="0"/>
                <w:sz w:val="21"/>
                <w:szCs w:val="21"/>
                <w:lang w:bidi="ar"/>
              </w:rPr>
              <w:t>排序结果</w:t>
            </w:r>
          </w:p>
        </w:tc>
      </w:tr>
      <w:tr w:rsidR="00000000" w14:paraId="3D7A6724" w14:textId="77777777">
        <w:trPr>
          <w:jc w:val="center"/>
        </w:trPr>
        <w:tc>
          <w:tcPr>
            <w:tcW w:w="1337" w:type="dxa"/>
            <w:tcBorders>
              <w:top w:val="single" w:sz="6" w:space="0" w:color="auto"/>
            </w:tcBorders>
            <w:noWrap/>
            <w:vAlign w:val="center"/>
          </w:tcPr>
          <w:p w14:paraId="469A5C6B" w14:textId="77777777" w:rsidR="00000000" w:rsidRDefault="00000000">
            <w:pPr>
              <w:keepNext/>
              <w:widowControl/>
              <w:snapToGrid w:val="0"/>
              <w:spacing w:line="400" w:lineRule="exact"/>
              <w:ind w:firstLine="0"/>
              <w:jc w:val="center"/>
              <w:textAlignment w:val="center"/>
              <w:rPr>
                <w:rFonts w:ascii="宋体" w:hAnsi="宋体" w:cs="宋体"/>
                <w:sz w:val="21"/>
                <w:szCs w:val="21"/>
              </w:rPr>
            </w:pPr>
            <w:r>
              <w:rPr>
                <w:rFonts w:ascii="宋体" w:hAnsi="宋体" w:cs="宋体" w:hint="eastAsia"/>
                <w:kern w:val="0"/>
                <w:sz w:val="21"/>
                <w:szCs w:val="21"/>
                <w:lang w:bidi="ar"/>
              </w:rPr>
              <w:t>2020年</w:t>
            </w:r>
          </w:p>
        </w:tc>
        <w:tc>
          <w:tcPr>
            <w:tcW w:w="2043" w:type="dxa"/>
            <w:tcBorders>
              <w:top w:val="single" w:sz="6" w:space="0" w:color="auto"/>
            </w:tcBorders>
            <w:noWrap/>
            <w:vAlign w:val="center"/>
          </w:tcPr>
          <w:p w14:paraId="2AD85768" w14:textId="77777777" w:rsidR="00000000" w:rsidRDefault="00000000">
            <w:pPr>
              <w:keepNext/>
              <w:widowControl/>
              <w:snapToGrid w:val="0"/>
              <w:spacing w:line="400" w:lineRule="exact"/>
              <w:ind w:firstLine="0"/>
              <w:jc w:val="center"/>
              <w:textAlignment w:val="center"/>
              <w:rPr>
                <w:rFonts w:ascii="宋体" w:hAnsi="宋体" w:cs="宋体"/>
                <w:sz w:val="21"/>
                <w:szCs w:val="21"/>
              </w:rPr>
            </w:pPr>
            <w:r>
              <w:rPr>
                <w:rFonts w:ascii="宋体" w:hAnsi="宋体" w:cs="宋体" w:hint="eastAsia"/>
                <w:kern w:val="0"/>
                <w:sz w:val="21"/>
                <w:szCs w:val="21"/>
                <w:lang w:bidi="ar"/>
              </w:rPr>
              <w:t>0.217</w:t>
            </w:r>
          </w:p>
        </w:tc>
        <w:tc>
          <w:tcPr>
            <w:tcW w:w="2181" w:type="dxa"/>
            <w:tcBorders>
              <w:top w:val="single" w:sz="6" w:space="0" w:color="auto"/>
            </w:tcBorders>
            <w:noWrap/>
            <w:vAlign w:val="center"/>
          </w:tcPr>
          <w:p w14:paraId="489DEC6D" w14:textId="77777777" w:rsidR="00000000" w:rsidRDefault="00000000">
            <w:pPr>
              <w:keepNext/>
              <w:widowControl/>
              <w:snapToGrid w:val="0"/>
              <w:spacing w:line="400" w:lineRule="exact"/>
              <w:ind w:firstLine="0"/>
              <w:jc w:val="center"/>
              <w:textAlignment w:val="center"/>
              <w:rPr>
                <w:rFonts w:ascii="宋体" w:hAnsi="宋体" w:cs="宋体"/>
                <w:sz w:val="21"/>
                <w:szCs w:val="21"/>
              </w:rPr>
            </w:pPr>
            <w:r>
              <w:rPr>
                <w:rFonts w:ascii="宋体" w:hAnsi="宋体" w:cs="宋体" w:hint="eastAsia"/>
                <w:kern w:val="0"/>
                <w:sz w:val="21"/>
                <w:szCs w:val="21"/>
                <w:lang w:bidi="ar"/>
              </w:rPr>
              <w:t>0.345</w:t>
            </w:r>
          </w:p>
        </w:tc>
        <w:tc>
          <w:tcPr>
            <w:tcW w:w="1775" w:type="dxa"/>
            <w:tcBorders>
              <w:top w:val="single" w:sz="6" w:space="0" w:color="auto"/>
            </w:tcBorders>
            <w:noWrap/>
            <w:vAlign w:val="center"/>
          </w:tcPr>
          <w:p w14:paraId="6D83DB8D" w14:textId="77777777" w:rsidR="00000000" w:rsidRDefault="00000000">
            <w:pPr>
              <w:keepNext/>
              <w:widowControl/>
              <w:snapToGrid w:val="0"/>
              <w:spacing w:line="400" w:lineRule="exact"/>
              <w:ind w:firstLine="0"/>
              <w:jc w:val="center"/>
              <w:textAlignment w:val="center"/>
              <w:rPr>
                <w:rFonts w:ascii="宋体" w:hAnsi="宋体" w:cs="宋体"/>
                <w:sz w:val="21"/>
                <w:szCs w:val="21"/>
              </w:rPr>
            </w:pPr>
            <w:r>
              <w:rPr>
                <w:rFonts w:ascii="宋体" w:hAnsi="宋体" w:cs="宋体" w:hint="eastAsia"/>
                <w:kern w:val="0"/>
                <w:sz w:val="21"/>
                <w:szCs w:val="21"/>
                <w:lang w:bidi="ar"/>
              </w:rPr>
              <w:t>0.614</w:t>
            </w:r>
          </w:p>
        </w:tc>
        <w:tc>
          <w:tcPr>
            <w:tcW w:w="1302" w:type="dxa"/>
            <w:tcBorders>
              <w:top w:val="single" w:sz="6" w:space="0" w:color="auto"/>
            </w:tcBorders>
            <w:noWrap/>
            <w:vAlign w:val="center"/>
          </w:tcPr>
          <w:p w14:paraId="768A94C6" w14:textId="77777777" w:rsidR="00000000" w:rsidRDefault="00000000">
            <w:pPr>
              <w:keepNext/>
              <w:widowControl/>
              <w:snapToGrid w:val="0"/>
              <w:spacing w:line="400" w:lineRule="exact"/>
              <w:ind w:firstLine="0"/>
              <w:jc w:val="center"/>
              <w:textAlignment w:val="center"/>
              <w:rPr>
                <w:rFonts w:ascii="宋体" w:hAnsi="宋体" w:cs="宋体"/>
                <w:sz w:val="21"/>
                <w:szCs w:val="21"/>
              </w:rPr>
            </w:pPr>
            <w:r>
              <w:rPr>
                <w:rFonts w:ascii="宋体" w:hAnsi="宋体" w:cs="宋体" w:hint="eastAsia"/>
                <w:kern w:val="0"/>
                <w:sz w:val="21"/>
                <w:szCs w:val="21"/>
                <w:lang w:bidi="ar"/>
              </w:rPr>
              <w:t>2</w:t>
            </w:r>
          </w:p>
        </w:tc>
      </w:tr>
      <w:tr w:rsidR="00000000" w14:paraId="1839CBF1" w14:textId="77777777">
        <w:trPr>
          <w:jc w:val="center"/>
        </w:trPr>
        <w:tc>
          <w:tcPr>
            <w:tcW w:w="1337" w:type="dxa"/>
            <w:noWrap/>
            <w:vAlign w:val="center"/>
          </w:tcPr>
          <w:p w14:paraId="1BD3A99F" w14:textId="77777777" w:rsidR="00000000" w:rsidRDefault="00000000">
            <w:pPr>
              <w:keepNext/>
              <w:widowControl/>
              <w:snapToGrid w:val="0"/>
              <w:spacing w:line="400" w:lineRule="exact"/>
              <w:ind w:firstLine="0"/>
              <w:jc w:val="center"/>
              <w:textAlignment w:val="center"/>
              <w:rPr>
                <w:rFonts w:ascii="宋体" w:hAnsi="宋体" w:cs="宋体"/>
                <w:sz w:val="21"/>
                <w:szCs w:val="21"/>
              </w:rPr>
            </w:pPr>
            <w:r>
              <w:rPr>
                <w:rFonts w:ascii="宋体" w:hAnsi="宋体" w:cs="宋体" w:hint="eastAsia"/>
                <w:kern w:val="0"/>
                <w:sz w:val="21"/>
                <w:szCs w:val="21"/>
                <w:lang w:bidi="ar"/>
              </w:rPr>
              <w:t>2021年</w:t>
            </w:r>
          </w:p>
        </w:tc>
        <w:tc>
          <w:tcPr>
            <w:tcW w:w="2043" w:type="dxa"/>
            <w:noWrap/>
            <w:vAlign w:val="center"/>
          </w:tcPr>
          <w:p w14:paraId="221EEE90" w14:textId="77777777" w:rsidR="00000000" w:rsidRDefault="00000000">
            <w:pPr>
              <w:keepNext/>
              <w:widowControl/>
              <w:snapToGrid w:val="0"/>
              <w:spacing w:line="400" w:lineRule="exact"/>
              <w:ind w:firstLine="0"/>
              <w:jc w:val="center"/>
              <w:textAlignment w:val="center"/>
              <w:rPr>
                <w:rFonts w:ascii="宋体" w:hAnsi="宋体" w:cs="宋体"/>
                <w:sz w:val="21"/>
                <w:szCs w:val="21"/>
              </w:rPr>
            </w:pPr>
            <w:r>
              <w:rPr>
                <w:rFonts w:ascii="宋体" w:hAnsi="宋体" w:cs="宋体" w:hint="eastAsia"/>
                <w:kern w:val="0"/>
                <w:sz w:val="21"/>
                <w:szCs w:val="21"/>
                <w:lang w:bidi="ar"/>
              </w:rPr>
              <w:t>0.242</w:t>
            </w:r>
          </w:p>
        </w:tc>
        <w:tc>
          <w:tcPr>
            <w:tcW w:w="2181" w:type="dxa"/>
            <w:noWrap/>
            <w:vAlign w:val="center"/>
          </w:tcPr>
          <w:p w14:paraId="17B2CDD3" w14:textId="77777777" w:rsidR="00000000" w:rsidRDefault="00000000">
            <w:pPr>
              <w:keepNext/>
              <w:widowControl/>
              <w:snapToGrid w:val="0"/>
              <w:spacing w:line="400" w:lineRule="exact"/>
              <w:ind w:firstLine="0"/>
              <w:jc w:val="center"/>
              <w:textAlignment w:val="center"/>
              <w:rPr>
                <w:rFonts w:ascii="宋体" w:hAnsi="宋体" w:cs="宋体"/>
                <w:sz w:val="21"/>
                <w:szCs w:val="21"/>
              </w:rPr>
            </w:pPr>
            <w:r>
              <w:rPr>
                <w:rFonts w:ascii="宋体" w:hAnsi="宋体" w:cs="宋体" w:hint="eastAsia"/>
                <w:kern w:val="0"/>
                <w:sz w:val="21"/>
                <w:szCs w:val="21"/>
                <w:lang w:bidi="ar"/>
              </w:rPr>
              <w:t>0.295</w:t>
            </w:r>
          </w:p>
        </w:tc>
        <w:tc>
          <w:tcPr>
            <w:tcW w:w="1775" w:type="dxa"/>
            <w:noWrap/>
            <w:vAlign w:val="center"/>
          </w:tcPr>
          <w:p w14:paraId="418EE461" w14:textId="77777777" w:rsidR="00000000" w:rsidRDefault="00000000">
            <w:pPr>
              <w:keepNext/>
              <w:widowControl/>
              <w:snapToGrid w:val="0"/>
              <w:spacing w:line="400" w:lineRule="exact"/>
              <w:ind w:firstLine="0"/>
              <w:jc w:val="center"/>
              <w:textAlignment w:val="center"/>
              <w:rPr>
                <w:rFonts w:ascii="宋体" w:hAnsi="宋体" w:cs="宋体"/>
                <w:sz w:val="21"/>
                <w:szCs w:val="21"/>
              </w:rPr>
            </w:pPr>
            <w:r>
              <w:rPr>
                <w:rFonts w:ascii="宋体" w:hAnsi="宋体" w:cs="宋体" w:hint="eastAsia"/>
                <w:kern w:val="0"/>
                <w:sz w:val="21"/>
                <w:szCs w:val="21"/>
                <w:lang w:bidi="ar"/>
              </w:rPr>
              <w:t>0.549</w:t>
            </w:r>
          </w:p>
        </w:tc>
        <w:tc>
          <w:tcPr>
            <w:tcW w:w="1302" w:type="dxa"/>
            <w:noWrap/>
            <w:vAlign w:val="center"/>
          </w:tcPr>
          <w:p w14:paraId="21DC3714" w14:textId="77777777" w:rsidR="00000000" w:rsidRDefault="00000000">
            <w:pPr>
              <w:keepNext/>
              <w:widowControl/>
              <w:snapToGrid w:val="0"/>
              <w:spacing w:line="400" w:lineRule="exact"/>
              <w:ind w:firstLine="0"/>
              <w:jc w:val="center"/>
              <w:textAlignment w:val="center"/>
              <w:rPr>
                <w:rFonts w:ascii="宋体" w:hAnsi="宋体" w:cs="宋体"/>
                <w:sz w:val="21"/>
                <w:szCs w:val="21"/>
              </w:rPr>
            </w:pPr>
            <w:r>
              <w:rPr>
                <w:rFonts w:ascii="宋体" w:hAnsi="宋体" w:cs="宋体" w:hint="eastAsia"/>
                <w:kern w:val="0"/>
                <w:sz w:val="21"/>
                <w:szCs w:val="21"/>
                <w:lang w:bidi="ar"/>
              </w:rPr>
              <w:t>3</w:t>
            </w:r>
          </w:p>
        </w:tc>
      </w:tr>
      <w:tr w:rsidR="00000000" w14:paraId="53FFDE1F" w14:textId="77777777">
        <w:trPr>
          <w:jc w:val="center"/>
        </w:trPr>
        <w:tc>
          <w:tcPr>
            <w:tcW w:w="1337" w:type="dxa"/>
            <w:noWrap/>
            <w:vAlign w:val="center"/>
          </w:tcPr>
          <w:p w14:paraId="7C518F93" w14:textId="77777777" w:rsidR="00000000" w:rsidRDefault="00000000">
            <w:pPr>
              <w:keepNext/>
              <w:widowControl/>
              <w:snapToGrid w:val="0"/>
              <w:spacing w:line="400" w:lineRule="exact"/>
              <w:ind w:firstLine="0"/>
              <w:jc w:val="center"/>
              <w:textAlignment w:val="center"/>
              <w:rPr>
                <w:rFonts w:ascii="宋体" w:hAnsi="宋体" w:cs="宋体"/>
                <w:sz w:val="21"/>
                <w:szCs w:val="21"/>
              </w:rPr>
            </w:pPr>
            <w:r>
              <w:rPr>
                <w:rFonts w:ascii="宋体" w:hAnsi="宋体" w:cs="宋体" w:hint="eastAsia"/>
                <w:kern w:val="0"/>
                <w:sz w:val="21"/>
                <w:szCs w:val="21"/>
                <w:lang w:bidi="ar"/>
              </w:rPr>
              <w:t>2022年</w:t>
            </w:r>
          </w:p>
        </w:tc>
        <w:tc>
          <w:tcPr>
            <w:tcW w:w="2043" w:type="dxa"/>
            <w:noWrap/>
            <w:vAlign w:val="center"/>
          </w:tcPr>
          <w:p w14:paraId="5FFDEEFD" w14:textId="77777777" w:rsidR="00000000" w:rsidRDefault="00000000">
            <w:pPr>
              <w:keepNext/>
              <w:widowControl/>
              <w:snapToGrid w:val="0"/>
              <w:spacing w:line="400" w:lineRule="exact"/>
              <w:ind w:firstLine="0"/>
              <w:jc w:val="center"/>
              <w:textAlignment w:val="center"/>
              <w:rPr>
                <w:rFonts w:ascii="宋体" w:hAnsi="宋体" w:cs="宋体"/>
                <w:sz w:val="21"/>
                <w:szCs w:val="21"/>
              </w:rPr>
            </w:pPr>
            <w:r>
              <w:rPr>
                <w:rFonts w:ascii="宋体" w:hAnsi="宋体" w:cs="宋体" w:hint="eastAsia"/>
                <w:kern w:val="0"/>
                <w:sz w:val="21"/>
                <w:szCs w:val="21"/>
                <w:lang w:bidi="ar"/>
              </w:rPr>
              <w:t>0.423</w:t>
            </w:r>
          </w:p>
        </w:tc>
        <w:tc>
          <w:tcPr>
            <w:tcW w:w="2181" w:type="dxa"/>
            <w:noWrap/>
            <w:vAlign w:val="center"/>
          </w:tcPr>
          <w:p w14:paraId="2BC65207" w14:textId="77777777" w:rsidR="00000000" w:rsidRDefault="00000000">
            <w:pPr>
              <w:keepNext/>
              <w:widowControl/>
              <w:snapToGrid w:val="0"/>
              <w:spacing w:line="400" w:lineRule="exact"/>
              <w:ind w:firstLine="0"/>
              <w:jc w:val="center"/>
              <w:textAlignment w:val="center"/>
              <w:rPr>
                <w:rFonts w:ascii="宋体" w:hAnsi="宋体" w:cs="宋体"/>
                <w:sz w:val="21"/>
                <w:szCs w:val="21"/>
              </w:rPr>
            </w:pPr>
            <w:r>
              <w:rPr>
                <w:rFonts w:ascii="宋体" w:hAnsi="宋体" w:cs="宋体" w:hint="eastAsia"/>
                <w:kern w:val="0"/>
                <w:sz w:val="21"/>
                <w:szCs w:val="21"/>
                <w:lang w:bidi="ar"/>
              </w:rPr>
              <w:t>0.091</w:t>
            </w:r>
          </w:p>
        </w:tc>
        <w:tc>
          <w:tcPr>
            <w:tcW w:w="1775" w:type="dxa"/>
            <w:noWrap/>
            <w:vAlign w:val="center"/>
          </w:tcPr>
          <w:p w14:paraId="7245A284" w14:textId="77777777" w:rsidR="00000000" w:rsidRDefault="00000000">
            <w:pPr>
              <w:keepNext/>
              <w:widowControl/>
              <w:snapToGrid w:val="0"/>
              <w:spacing w:line="400" w:lineRule="exact"/>
              <w:ind w:firstLine="0"/>
              <w:jc w:val="center"/>
              <w:textAlignment w:val="center"/>
              <w:rPr>
                <w:rFonts w:ascii="宋体" w:hAnsi="宋体" w:cs="宋体"/>
                <w:sz w:val="21"/>
                <w:szCs w:val="21"/>
              </w:rPr>
            </w:pPr>
            <w:r>
              <w:rPr>
                <w:rFonts w:ascii="宋体" w:hAnsi="宋体" w:cs="宋体" w:hint="eastAsia"/>
                <w:kern w:val="0"/>
                <w:sz w:val="21"/>
                <w:szCs w:val="21"/>
                <w:lang w:bidi="ar"/>
              </w:rPr>
              <w:t>0.177</w:t>
            </w:r>
          </w:p>
        </w:tc>
        <w:tc>
          <w:tcPr>
            <w:tcW w:w="1302" w:type="dxa"/>
            <w:noWrap/>
            <w:vAlign w:val="center"/>
          </w:tcPr>
          <w:p w14:paraId="7478A932" w14:textId="77777777" w:rsidR="00000000" w:rsidRDefault="00000000">
            <w:pPr>
              <w:keepNext/>
              <w:widowControl/>
              <w:snapToGrid w:val="0"/>
              <w:spacing w:line="400" w:lineRule="exact"/>
              <w:ind w:firstLine="0"/>
              <w:jc w:val="center"/>
              <w:textAlignment w:val="center"/>
              <w:rPr>
                <w:rFonts w:ascii="宋体" w:hAnsi="宋体" w:cs="宋体"/>
                <w:sz w:val="21"/>
                <w:szCs w:val="21"/>
              </w:rPr>
            </w:pPr>
            <w:r>
              <w:rPr>
                <w:rFonts w:ascii="宋体" w:hAnsi="宋体" w:cs="宋体" w:hint="eastAsia"/>
                <w:kern w:val="0"/>
                <w:sz w:val="21"/>
                <w:szCs w:val="21"/>
                <w:lang w:bidi="ar"/>
              </w:rPr>
              <w:t>5</w:t>
            </w:r>
          </w:p>
        </w:tc>
      </w:tr>
      <w:tr w:rsidR="00000000" w14:paraId="711C5484" w14:textId="77777777">
        <w:trPr>
          <w:jc w:val="center"/>
        </w:trPr>
        <w:tc>
          <w:tcPr>
            <w:tcW w:w="1337" w:type="dxa"/>
            <w:noWrap/>
            <w:vAlign w:val="center"/>
          </w:tcPr>
          <w:p w14:paraId="19F927F3" w14:textId="77777777" w:rsidR="00000000" w:rsidRDefault="00000000">
            <w:pPr>
              <w:keepNext/>
              <w:widowControl/>
              <w:snapToGrid w:val="0"/>
              <w:spacing w:line="400" w:lineRule="exact"/>
              <w:ind w:firstLine="0"/>
              <w:jc w:val="center"/>
              <w:textAlignment w:val="center"/>
              <w:rPr>
                <w:rFonts w:ascii="宋体" w:hAnsi="宋体" w:cs="宋体"/>
                <w:sz w:val="21"/>
                <w:szCs w:val="21"/>
              </w:rPr>
            </w:pPr>
            <w:r>
              <w:rPr>
                <w:rFonts w:ascii="宋体" w:hAnsi="宋体" w:cs="宋体" w:hint="eastAsia"/>
                <w:kern w:val="0"/>
                <w:sz w:val="21"/>
                <w:szCs w:val="21"/>
                <w:lang w:bidi="ar"/>
              </w:rPr>
              <w:t>2023年</w:t>
            </w:r>
          </w:p>
        </w:tc>
        <w:tc>
          <w:tcPr>
            <w:tcW w:w="2043" w:type="dxa"/>
            <w:noWrap/>
            <w:vAlign w:val="center"/>
          </w:tcPr>
          <w:p w14:paraId="067E6335" w14:textId="77777777" w:rsidR="00000000" w:rsidRDefault="00000000">
            <w:pPr>
              <w:keepNext/>
              <w:widowControl/>
              <w:snapToGrid w:val="0"/>
              <w:spacing w:line="400" w:lineRule="exact"/>
              <w:ind w:firstLine="0"/>
              <w:jc w:val="center"/>
              <w:textAlignment w:val="center"/>
              <w:rPr>
                <w:rFonts w:ascii="宋体" w:hAnsi="宋体" w:cs="宋体"/>
                <w:sz w:val="21"/>
                <w:szCs w:val="21"/>
              </w:rPr>
            </w:pPr>
            <w:r>
              <w:rPr>
                <w:rFonts w:ascii="宋体" w:hAnsi="宋体" w:cs="宋体" w:hint="eastAsia"/>
                <w:kern w:val="0"/>
                <w:sz w:val="21"/>
                <w:szCs w:val="21"/>
                <w:lang w:bidi="ar"/>
              </w:rPr>
              <w:t>0.184</w:t>
            </w:r>
          </w:p>
        </w:tc>
        <w:tc>
          <w:tcPr>
            <w:tcW w:w="2181" w:type="dxa"/>
            <w:noWrap/>
            <w:vAlign w:val="center"/>
          </w:tcPr>
          <w:p w14:paraId="39B09822" w14:textId="77777777" w:rsidR="00000000" w:rsidRDefault="00000000">
            <w:pPr>
              <w:keepNext/>
              <w:widowControl/>
              <w:snapToGrid w:val="0"/>
              <w:spacing w:line="400" w:lineRule="exact"/>
              <w:ind w:firstLine="0"/>
              <w:jc w:val="center"/>
              <w:textAlignment w:val="center"/>
              <w:rPr>
                <w:rFonts w:ascii="宋体" w:hAnsi="宋体" w:cs="宋体"/>
                <w:sz w:val="21"/>
                <w:szCs w:val="21"/>
              </w:rPr>
            </w:pPr>
            <w:r>
              <w:rPr>
                <w:rFonts w:ascii="宋体" w:hAnsi="宋体" w:cs="宋体" w:hint="eastAsia"/>
                <w:kern w:val="0"/>
                <w:sz w:val="21"/>
                <w:szCs w:val="21"/>
                <w:lang w:bidi="ar"/>
              </w:rPr>
              <w:t>0.327</w:t>
            </w:r>
          </w:p>
        </w:tc>
        <w:tc>
          <w:tcPr>
            <w:tcW w:w="1775" w:type="dxa"/>
            <w:noWrap/>
            <w:vAlign w:val="center"/>
          </w:tcPr>
          <w:p w14:paraId="46C92CD0" w14:textId="77777777" w:rsidR="00000000" w:rsidRDefault="00000000">
            <w:pPr>
              <w:keepNext/>
              <w:widowControl/>
              <w:snapToGrid w:val="0"/>
              <w:spacing w:line="400" w:lineRule="exact"/>
              <w:ind w:firstLine="0"/>
              <w:jc w:val="center"/>
              <w:textAlignment w:val="center"/>
              <w:rPr>
                <w:rFonts w:ascii="宋体" w:hAnsi="宋体" w:cs="宋体"/>
                <w:sz w:val="21"/>
                <w:szCs w:val="21"/>
              </w:rPr>
            </w:pPr>
            <w:r>
              <w:rPr>
                <w:rFonts w:ascii="宋体" w:hAnsi="宋体" w:cs="宋体" w:hint="eastAsia"/>
                <w:kern w:val="0"/>
                <w:sz w:val="21"/>
                <w:szCs w:val="21"/>
                <w:lang w:bidi="ar"/>
              </w:rPr>
              <w:t>0.640</w:t>
            </w:r>
          </w:p>
        </w:tc>
        <w:tc>
          <w:tcPr>
            <w:tcW w:w="1302" w:type="dxa"/>
            <w:noWrap/>
            <w:vAlign w:val="center"/>
          </w:tcPr>
          <w:p w14:paraId="2EC906F3" w14:textId="77777777" w:rsidR="00000000" w:rsidRDefault="00000000">
            <w:pPr>
              <w:keepNext/>
              <w:widowControl/>
              <w:snapToGrid w:val="0"/>
              <w:spacing w:line="400" w:lineRule="exact"/>
              <w:ind w:firstLine="0"/>
              <w:jc w:val="center"/>
              <w:textAlignment w:val="center"/>
              <w:rPr>
                <w:rFonts w:ascii="宋体" w:hAnsi="宋体" w:cs="宋体"/>
                <w:sz w:val="21"/>
                <w:szCs w:val="21"/>
              </w:rPr>
            </w:pPr>
            <w:r>
              <w:rPr>
                <w:rFonts w:ascii="宋体" w:hAnsi="宋体" w:cs="宋体" w:hint="eastAsia"/>
                <w:kern w:val="0"/>
                <w:sz w:val="21"/>
                <w:szCs w:val="21"/>
                <w:lang w:bidi="ar"/>
              </w:rPr>
              <w:t>1</w:t>
            </w:r>
          </w:p>
        </w:tc>
      </w:tr>
      <w:tr w:rsidR="00000000" w14:paraId="2384E789" w14:textId="77777777">
        <w:trPr>
          <w:jc w:val="center"/>
        </w:trPr>
        <w:tc>
          <w:tcPr>
            <w:tcW w:w="1337" w:type="dxa"/>
            <w:noWrap/>
            <w:vAlign w:val="center"/>
          </w:tcPr>
          <w:p w14:paraId="66E34DA7" w14:textId="77777777" w:rsidR="00000000" w:rsidRDefault="00000000">
            <w:pPr>
              <w:keepNext/>
              <w:widowControl/>
              <w:snapToGrid w:val="0"/>
              <w:spacing w:line="400" w:lineRule="exact"/>
              <w:ind w:firstLine="0"/>
              <w:jc w:val="center"/>
              <w:textAlignment w:val="center"/>
              <w:rPr>
                <w:rFonts w:ascii="宋体" w:hAnsi="宋体" w:cs="宋体"/>
                <w:kern w:val="0"/>
                <w:sz w:val="21"/>
                <w:szCs w:val="21"/>
                <w:lang w:bidi="ar"/>
              </w:rPr>
            </w:pPr>
            <w:r>
              <w:rPr>
                <w:rFonts w:ascii="宋体" w:hAnsi="宋体" w:cs="宋体" w:hint="eastAsia"/>
                <w:kern w:val="0"/>
                <w:sz w:val="21"/>
                <w:szCs w:val="21"/>
                <w:lang w:bidi="ar"/>
              </w:rPr>
              <w:t>2024年</w:t>
            </w:r>
          </w:p>
        </w:tc>
        <w:tc>
          <w:tcPr>
            <w:tcW w:w="2043" w:type="dxa"/>
            <w:noWrap/>
            <w:vAlign w:val="center"/>
          </w:tcPr>
          <w:p w14:paraId="3926E9B1" w14:textId="77777777" w:rsidR="00000000" w:rsidRDefault="00000000">
            <w:pPr>
              <w:keepNext/>
              <w:widowControl/>
              <w:snapToGrid w:val="0"/>
              <w:spacing w:line="400" w:lineRule="exact"/>
              <w:ind w:firstLine="0"/>
              <w:jc w:val="center"/>
              <w:textAlignment w:val="center"/>
              <w:rPr>
                <w:rFonts w:ascii="宋体" w:hAnsi="宋体" w:cs="宋体"/>
                <w:kern w:val="0"/>
                <w:sz w:val="21"/>
                <w:szCs w:val="21"/>
                <w:lang w:bidi="ar"/>
              </w:rPr>
            </w:pPr>
            <w:r>
              <w:rPr>
                <w:rFonts w:ascii="宋体" w:hAnsi="宋体" w:cs="宋体" w:hint="eastAsia"/>
                <w:kern w:val="0"/>
                <w:sz w:val="21"/>
                <w:szCs w:val="21"/>
                <w:lang w:bidi="ar"/>
              </w:rPr>
              <w:t>0.271</w:t>
            </w:r>
          </w:p>
        </w:tc>
        <w:tc>
          <w:tcPr>
            <w:tcW w:w="2181" w:type="dxa"/>
            <w:noWrap/>
            <w:vAlign w:val="center"/>
          </w:tcPr>
          <w:p w14:paraId="24E005F7" w14:textId="77777777" w:rsidR="00000000" w:rsidRDefault="00000000">
            <w:pPr>
              <w:keepNext/>
              <w:widowControl/>
              <w:snapToGrid w:val="0"/>
              <w:spacing w:line="400" w:lineRule="exact"/>
              <w:ind w:firstLine="0"/>
              <w:jc w:val="center"/>
              <w:textAlignment w:val="center"/>
              <w:rPr>
                <w:rFonts w:ascii="宋体" w:hAnsi="宋体" w:cs="宋体"/>
                <w:kern w:val="0"/>
                <w:sz w:val="21"/>
                <w:szCs w:val="21"/>
                <w:lang w:bidi="ar"/>
              </w:rPr>
            </w:pPr>
            <w:r>
              <w:rPr>
                <w:rFonts w:ascii="宋体" w:hAnsi="宋体" w:cs="宋体" w:hint="eastAsia"/>
                <w:kern w:val="0"/>
                <w:sz w:val="21"/>
                <w:szCs w:val="21"/>
                <w:lang w:bidi="ar"/>
              </w:rPr>
              <w:t>0.317</w:t>
            </w:r>
          </w:p>
        </w:tc>
        <w:tc>
          <w:tcPr>
            <w:tcW w:w="1775" w:type="dxa"/>
            <w:noWrap/>
            <w:vAlign w:val="center"/>
          </w:tcPr>
          <w:p w14:paraId="4151A654" w14:textId="77777777" w:rsidR="00000000" w:rsidRDefault="00000000">
            <w:pPr>
              <w:keepNext/>
              <w:widowControl/>
              <w:snapToGrid w:val="0"/>
              <w:spacing w:line="400" w:lineRule="exact"/>
              <w:ind w:firstLine="0"/>
              <w:jc w:val="center"/>
              <w:textAlignment w:val="center"/>
              <w:rPr>
                <w:rFonts w:ascii="宋体" w:hAnsi="宋体" w:cs="宋体"/>
                <w:kern w:val="0"/>
                <w:sz w:val="21"/>
                <w:szCs w:val="21"/>
                <w:lang w:bidi="ar"/>
              </w:rPr>
            </w:pPr>
            <w:r>
              <w:rPr>
                <w:rFonts w:ascii="宋体" w:hAnsi="宋体" w:cs="宋体" w:hint="eastAsia"/>
                <w:kern w:val="0"/>
                <w:sz w:val="21"/>
                <w:szCs w:val="21"/>
                <w:lang w:bidi="ar"/>
              </w:rPr>
              <w:t>0.539</w:t>
            </w:r>
          </w:p>
        </w:tc>
        <w:tc>
          <w:tcPr>
            <w:tcW w:w="1302" w:type="dxa"/>
            <w:noWrap/>
            <w:vAlign w:val="center"/>
          </w:tcPr>
          <w:p w14:paraId="7466B6EF" w14:textId="77777777" w:rsidR="00000000" w:rsidRDefault="00000000">
            <w:pPr>
              <w:keepNext/>
              <w:widowControl/>
              <w:snapToGrid w:val="0"/>
              <w:spacing w:line="400" w:lineRule="exact"/>
              <w:ind w:firstLine="0"/>
              <w:jc w:val="center"/>
              <w:textAlignment w:val="center"/>
              <w:rPr>
                <w:rFonts w:ascii="宋体" w:hAnsi="宋体" w:cs="宋体"/>
                <w:kern w:val="0"/>
                <w:sz w:val="21"/>
                <w:szCs w:val="21"/>
                <w:lang w:bidi="ar"/>
              </w:rPr>
            </w:pPr>
            <w:r>
              <w:rPr>
                <w:rFonts w:ascii="宋体" w:hAnsi="宋体" w:cs="宋体" w:hint="eastAsia"/>
                <w:kern w:val="0"/>
                <w:sz w:val="21"/>
                <w:szCs w:val="21"/>
                <w:lang w:bidi="ar"/>
              </w:rPr>
              <w:t>4</w:t>
            </w:r>
          </w:p>
        </w:tc>
      </w:tr>
    </w:tbl>
    <w:p w14:paraId="3CB33E39" w14:textId="77777777" w:rsidR="00000000" w:rsidRDefault="00000000">
      <w:pPr>
        <w:pStyle w:val="afd"/>
        <w:ind w:firstLine="426"/>
        <w:rPr>
          <w:color w:val="auto"/>
          <w:sz w:val="21"/>
          <w:szCs w:val="21"/>
        </w:rPr>
      </w:pPr>
    </w:p>
    <w:p w14:paraId="4366E72D" w14:textId="77777777" w:rsidR="00000000" w:rsidRDefault="00000000">
      <w:pPr>
        <w:pStyle w:val="afd"/>
        <w:ind w:firstLine="486"/>
        <w:rPr>
          <w:rFonts w:cs="宋体" w:hint="eastAsia"/>
          <w:color w:val="auto"/>
        </w:rPr>
      </w:pPr>
      <w:r>
        <w:rPr>
          <w:rFonts w:cs="宋体" w:hint="eastAsia"/>
          <w:color w:val="auto"/>
        </w:rPr>
        <w:t>如图5-5所示，2020-2024年期间，M公司财务安全度排名依次为：2023年＞2020年＞2021年＞2024年＞2022年。企业财务安全度自2020年开始下降，于2022年降至最低点0.177，2023年回升至0.640，此后又开始下降，反映出M公司该阶段财务状况波动显著。</w:t>
      </w:r>
    </w:p>
    <w:p w14:paraId="5DBF7459" w14:textId="77777777" w:rsidR="00000000" w:rsidRDefault="00000000">
      <w:pPr>
        <w:pStyle w:val="afd"/>
        <w:ind w:firstLine="486"/>
        <w:rPr>
          <w:rFonts w:cs="宋体" w:hint="eastAsia"/>
          <w:color w:val="auto"/>
        </w:rPr>
      </w:pPr>
      <w:r>
        <w:rPr>
          <w:rFonts w:cs="宋体" w:hint="eastAsia"/>
          <w:color w:val="auto"/>
        </w:rPr>
        <w:t>受疫情影响，2020-2022 年M公司财务风险显著上升，2022年尤为严重。2023年经济回暖后，其财务安全度虽有回升但幅度有限，这在一定程度上揭示了轻资产运营模式在抗风险能力方面的局限性。若未能及时剖析潜在财务风险成因并采取防控措施，或将对企业持续经营构成威胁。</w:t>
      </w:r>
    </w:p>
    <w:p w14:paraId="14DF73B8" w14:textId="77777777" w:rsidR="00000000" w:rsidRDefault="00000000">
      <w:pPr>
        <w:autoSpaceDE w:val="0"/>
        <w:autoSpaceDN w:val="0"/>
        <w:adjustRightInd w:val="0"/>
        <w:ind w:firstLine="0"/>
        <w:jc w:val="center"/>
      </w:pPr>
      <w:r>
        <w:pict w14:anchorId="58CDE956">
          <v:shape id="图片 14" o:spid="_x0000_i1041" type="#_x0000_t75" style="width:350.25pt;height:183.75pt;mso-wrap-style:square;mso-position-horizontal-relative:page;mso-position-vertical-relative:page">
            <v:imagedata r:id="rId49" o:title=""/>
          </v:shape>
        </w:pict>
      </w:r>
    </w:p>
    <w:p w14:paraId="5B671735" w14:textId="77777777" w:rsidR="00000000" w:rsidRDefault="00000000">
      <w:pPr>
        <w:autoSpaceDE w:val="0"/>
        <w:autoSpaceDN w:val="0"/>
        <w:adjustRightInd w:val="0"/>
        <w:ind w:firstLine="0"/>
        <w:jc w:val="center"/>
        <w:rPr>
          <w:sz w:val="21"/>
          <w:szCs w:val="21"/>
        </w:rPr>
      </w:pPr>
      <w:r>
        <w:rPr>
          <w:rFonts w:hint="eastAsia"/>
          <w:sz w:val="21"/>
          <w:szCs w:val="21"/>
        </w:rPr>
        <w:t>图</w:t>
      </w:r>
      <w:r>
        <w:rPr>
          <w:rFonts w:hint="eastAsia"/>
          <w:sz w:val="21"/>
          <w:szCs w:val="21"/>
        </w:rPr>
        <w:t>5-5 M</w:t>
      </w:r>
      <w:r>
        <w:rPr>
          <w:rFonts w:hint="eastAsia"/>
          <w:sz w:val="21"/>
          <w:szCs w:val="21"/>
        </w:rPr>
        <w:t>公司</w:t>
      </w:r>
      <w:r>
        <w:rPr>
          <w:rFonts w:hint="eastAsia"/>
          <w:sz w:val="21"/>
          <w:szCs w:val="21"/>
        </w:rPr>
        <w:t>2020-2024</w:t>
      </w:r>
      <w:r>
        <w:rPr>
          <w:rFonts w:hint="eastAsia"/>
          <w:sz w:val="21"/>
          <w:szCs w:val="21"/>
        </w:rPr>
        <w:t>年财务安全度排名</w:t>
      </w:r>
    </w:p>
    <w:p w14:paraId="1CF24364" w14:textId="77777777" w:rsidR="00000000" w:rsidRDefault="00000000">
      <w:pPr>
        <w:pStyle w:val="afd"/>
        <w:ind w:firstLine="486"/>
        <w:rPr>
          <w:rFonts w:cs="宋体" w:hint="eastAsia"/>
          <w:color w:val="auto"/>
        </w:rPr>
      </w:pPr>
      <w:r>
        <w:rPr>
          <w:rFonts w:cs="宋体" w:hint="eastAsia"/>
          <w:color w:val="auto"/>
        </w:rPr>
        <w:t>如图5-6所示，一级指标对M公司财务风险的影响程度在轻资产运营模式下从高到低依次为：筹资风险、投资风险、营运风险、收益分配风险。其中，筹资风险和投资风险的熵权分别为30.09%和28.07%，占比最高，表明这两者是影响M公司财务风险的主要因素。尽管2024年M公司在筹资与投资维度的相对贴近</w:t>
      </w:r>
      <w:r>
        <w:rPr>
          <w:rFonts w:cs="宋体" w:hint="eastAsia"/>
          <w:color w:val="auto"/>
        </w:rPr>
        <w:lastRenderedPageBreak/>
        <w:t>度较高，但营运风险与收益分配风险的贴近度分别仅为0.000和0.185，反映出企业在运营效率与利润分配环节面临较大压力，进而推高了整体财务风险水平。基于此，M公司需在轻资产运营框架下，重点加强对这两类风险的识别与管控。</w:t>
      </w:r>
    </w:p>
    <w:p w14:paraId="151025D4" w14:textId="77777777" w:rsidR="00000000" w:rsidRDefault="00000000">
      <w:pPr>
        <w:widowControl/>
        <w:ind w:firstLine="0"/>
        <w:jc w:val="center"/>
      </w:pPr>
      <w:r>
        <w:pict w14:anchorId="6E7D65AD">
          <v:shape id="图片 15" o:spid="_x0000_i1042" type="#_x0000_t75" style="width:387.75pt;height:234.75pt;mso-wrap-style:square;mso-position-horizontal-relative:page;mso-position-vertical-relative:page">
            <v:imagedata r:id="rId50" o:title=""/>
          </v:shape>
        </w:pict>
      </w:r>
      <w:r>
        <w:rPr>
          <w:position w:val="-10"/>
        </w:rPr>
        <w:object w:dxaOrig="179" w:dyaOrig="339" w14:anchorId="5BB28B17">
          <v:shape id="Object 16" o:spid="_x0000_i1043" type="#_x0000_t75" style="width:9pt;height:17.25pt;mso-wrap-style:square;mso-position-horizontal-relative:page;mso-position-vertical-relative:page" o:ole="">
            <v:imagedata r:id="rId51" o:title=""/>
          </v:shape>
          <o:OLEObject Type="Embed" ProgID="Equation.KSEE3" ShapeID="Object 16" DrawAspect="Content" ObjectID="_1838534690" r:id="rId52"/>
        </w:object>
      </w:r>
    </w:p>
    <w:p w14:paraId="2787E8F8" w14:textId="77777777" w:rsidR="00000000" w:rsidRDefault="00000000">
      <w:pPr>
        <w:widowControl/>
        <w:ind w:left="4" w:hanging="4"/>
        <w:jc w:val="center"/>
        <w:rPr>
          <w:sz w:val="21"/>
          <w:szCs w:val="21"/>
        </w:rPr>
        <w:sectPr w:rsidR="00000000">
          <w:footnotePr>
            <w:numRestart w:val="eachPage"/>
          </w:footnotePr>
          <w:pgSz w:w="11909" w:h="16834"/>
          <w:pgMar w:top="1701" w:right="1701" w:bottom="1418" w:left="1701" w:header="1304" w:footer="1021" w:gutter="0"/>
          <w:cols w:space="720"/>
          <w:docGrid w:type="linesAndChars" w:linePitch="415" w:charSpace="614"/>
        </w:sectPr>
      </w:pPr>
      <w:r>
        <w:rPr>
          <w:rFonts w:hint="eastAsia"/>
          <w:sz w:val="21"/>
          <w:szCs w:val="21"/>
        </w:rPr>
        <w:t>图</w:t>
      </w:r>
      <w:r>
        <w:rPr>
          <w:rFonts w:hint="eastAsia"/>
          <w:sz w:val="21"/>
          <w:szCs w:val="21"/>
        </w:rPr>
        <w:t>5-6 M</w:t>
      </w:r>
      <w:r>
        <w:rPr>
          <w:rFonts w:hint="eastAsia"/>
          <w:sz w:val="21"/>
          <w:szCs w:val="21"/>
        </w:rPr>
        <w:t>公司</w:t>
      </w:r>
      <w:r>
        <w:rPr>
          <w:rFonts w:hint="eastAsia"/>
          <w:sz w:val="21"/>
          <w:szCs w:val="21"/>
        </w:rPr>
        <w:t>2020-2024</w:t>
      </w:r>
      <w:r>
        <w:rPr>
          <w:rFonts w:hint="eastAsia"/>
          <w:sz w:val="21"/>
          <w:szCs w:val="21"/>
        </w:rPr>
        <w:t>年财务风险评价指标体系一级指标熵权</w:t>
      </w:r>
    </w:p>
    <w:p w14:paraId="2401395A" w14:textId="77777777" w:rsidR="00000000" w:rsidRDefault="00000000">
      <w:pPr>
        <w:widowControl/>
        <w:ind w:left="4" w:hanging="4"/>
        <w:jc w:val="center"/>
        <w:rPr>
          <w:sz w:val="21"/>
          <w:szCs w:val="21"/>
        </w:rPr>
        <w:sectPr w:rsidR="00000000">
          <w:footnotePr>
            <w:numRestart w:val="eachPage"/>
          </w:footnotePr>
          <w:pgSz w:w="11909" w:h="16834"/>
          <w:pgMar w:top="1701" w:right="1701" w:bottom="1418" w:left="1701" w:header="1304" w:footer="1021" w:gutter="0"/>
          <w:cols w:space="720"/>
          <w:docGrid w:type="linesAndChars" w:linePitch="415" w:charSpace="614"/>
        </w:sectPr>
      </w:pPr>
    </w:p>
    <w:p w14:paraId="5E020191" w14:textId="77777777" w:rsidR="00000000" w:rsidRDefault="00000000">
      <w:pPr>
        <w:pStyle w:val="afa"/>
        <w:numPr>
          <w:ilvl w:val="0"/>
          <w:numId w:val="0"/>
        </w:numPr>
        <w:spacing w:before="415" w:after="207"/>
        <w:ind w:left="402"/>
        <w:rPr>
          <w:rFonts w:hint="default"/>
        </w:rPr>
      </w:pPr>
      <w:bookmarkStart w:id="106" w:name="_Toc1210"/>
      <w:bookmarkStart w:id="107" w:name="_Toc20533"/>
      <w:r>
        <w:lastRenderedPageBreak/>
        <w:t>第六章</w:t>
      </w:r>
      <w:r>
        <w:t xml:space="preserve"> </w:t>
      </w:r>
      <w:r>
        <w:t>轻资产运营模式下</w:t>
      </w:r>
      <w:r>
        <w:t>M</w:t>
      </w:r>
      <w:r>
        <w:t>公司财务风险控制策略</w:t>
      </w:r>
      <w:bookmarkEnd w:id="106"/>
      <w:bookmarkEnd w:id="107"/>
    </w:p>
    <w:p w14:paraId="0E0309A5" w14:textId="77777777" w:rsidR="00000000" w:rsidRDefault="00000000">
      <w:pPr>
        <w:autoSpaceDE w:val="0"/>
        <w:autoSpaceDN w:val="0"/>
        <w:adjustRightInd w:val="0"/>
        <w:spacing w:line="400" w:lineRule="exact"/>
        <w:ind w:firstLine="0"/>
        <w:rPr>
          <w:rFonts w:ascii="宋体" w:hAnsi="宋体" w:cs="宋体"/>
          <w:b/>
          <w:bCs/>
          <w:sz w:val="32"/>
          <w:szCs w:val="32"/>
        </w:rPr>
      </w:pPr>
    </w:p>
    <w:p w14:paraId="2595BCFC" w14:textId="77777777" w:rsidR="00000000" w:rsidRDefault="00000000">
      <w:pPr>
        <w:pStyle w:val="afd"/>
        <w:ind w:firstLine="486"/>
        <w:rPr>
          <w:rFonts w:cs="宋体" w:hint="eastAsia"/>
          <w:color w:val="auto"/>
        </w:rPr>
      </w:pPr>
      <w:r>
        <w:rPr>
          <w:rFonts w:cs="宋体" w:hint="eastAsia"/>
          <w:color w:val="auto"/>
        </w:rPr>
        <w:t>在财务管理体系中，财务风险控制作为风险治理的终端环节，对加速资金周转效率、维护财务活动稳健性、保障资金安全具有决定性意义。鉴于轻资产运营模式的特征，M公司面临着独特的风险画像，亟需构建与之适配的财务风险防控体系。本部分基于前文对M公司财务风险的有效识别和评价，从筹资、投资、营运和收益分配四个维度，系统性制定并提出了相应的风险防范及控制策略，以期为公司财务风险治理提供理论和实践参考</w:t>
      </w:r>
      <w:bookmarkStart w:id="108" w:name="OLE_LINK17"/>
      <w:r>
        <w:rPr>
          <w:rFonts w:cs="宋体" w:hint="eastAsia"/>
          <w:color w:val="auto"/>
        </w:rPr>
        <w:t>。</w:t>
      </w:r>
    </w:p>
    <w:p w14:paraId="7C7FD24E" w14:textId="77777777" w:rsidR="00000000" w:rsidRDefault="00000000">
      <w:pPr>
        <w:pStyle w:val="afb"/>
        <w:numPr>
          <w:ilvl w:val="0"/>
          <w:numId w:val="39"/>
        </w:numPr>
        <w:tabs>
          <w:tab w:val="left" w:pos="0"/>
          <w:tab w:val="left" w:pos="2552"/>
        </w:tabs>
        <w:spacing w:before="207" w:after="207"/>
        <w:rPr>
          <w:rFonts w:hint="default"/>
        </w:rPr>
      </w:pPr>
      <w:bookmarkStart w:id="109" w:name="_Toc9474"/>
      <w:bookmarkStart w:id="110" w:name="_Toc13323"/>
      <w:bookmarkEnd w:id="108"/>
      <w:r>
        <w:t>筹资风险控制策略​</w:t>
      </w:r>
      <w:bookmarkEnd w:id="109"/>
      <w:bookmarkEnd w:id="110"/>
    </w:p>
    <w:p w14:paraId="4EB3F478" w14:textId="77777777" w:rsidR="00000000" w:rsidRDefault="00000000">
      <w:pPr>
        <w:pStyle w:val="afc"/>
        <w:numPr>
          <w:ilvl w:val="0"/>
          <w:numId w:val="40"/>
        </w:numPr>
        <w:tabs>
          <w:tab w:val="left" w:pos="0"/>
        </w:tabs>
        <w:spacing w:before="207"/>
      </w:pPr>
      <w:bookmarkStart w:id="111" w:name="_Toc23362"/>
      <w:bookmarkStart w:id="112" w:name="_Toc764"/>
      <w:r>
        <w:rPr>
          <w:rFonts w:hint="eastAsia"/>
        </w:rPr>
        <w:t>拓宽多元化筹资渠道​</w:t>
      </w:r>
      <w:bookmarkEnd w:id="111"/>
      <w:bookmarkEnd w:id="112"/>
    </w:p>
    <w:p w14:paraId="68B67C6E" w14:textId="77777777" w:rsidR="00000000" w:rsidRDefault="00000000">
      <w:pPr>
        <w:spacing w:line="400" w:lineRule="exact"/>
        <w:ind w:firstLineChars="200" w:firstLine="486"/>
      </w:pPr>
      <w:r>
        <w:rPr>
          <w:rFonts w:hint="eastAsia"/>
        </w:rPr>
        <w:t>在轻资产运营模式下，</w:t>
      </w:r>
      <w:r>
        <w:rPr>
          <w:rFonts w:hint="eastAsia"/>
        </w:rPr>
        <w:t>M</w:t>
      </w:r>
      <w:r>
        <w:rPr>
          <w:rFonts w:hint="eastAsia"/>
        </w:rPr>
        <w:t>公司面临筹资渠道单一、银行授信额度不足及融资成本偏高的多重约束，这已成为制约其发展的关键瓶颈。为突破此困境，需从多维度拓展筹资路径，以实现融资规模扩张与融资效率提升的双重目标，并同步降低财务风险敞口。​</w:t>
      </w:r>
    </w:p>
    <w:p w14:paraId="3BD063D3" w14:textId="77777777" w:rsidR="00000000" w:rsidRDefault="00000000">
      <w:pPr>
        <w:spacing w:line="400" w:lineRule="exact"/>
        <w:ind w:firstLineChars="200" w:firstLine="486"/>
      </w:pPr>
      <w:r>
        <w:rPr>
          <w:rFonts w:hint="eastAsia"/>
        </w:rPr>
        <w:t>（一）构建多元组合的筹资方式</w:t>
      </w:r>
    </w:p>
    <w:p w14:paraId="449263A7" w14:textId="77777777" w:rsidR="00000000" w:rsidRDefault="00000000">
      <w:pPr>
        <w:spacing w:line="400" w:lineRule="exact"/>
        <w:ind w:firstLineChars="200" w:firstLine="486"/>
        <w:rPr>
          <w:rFonts w:hint="eastAsia"/>
        </w:rPr>
      </w:pPr>
      <w:r>
        <w:rPr>
          <w:rFonts w:hint="eastAsia"/>
        </w:rPr>
        <w:t>在轻资产运营模式下，</w:t>
      </w:r>
      <w:r>
        <w:rPr>
          <w:rFonts w:hint="eastAsia"/>
        </w:rPr>
        <w:t>M</w:t>
      </w:r>
      <w:r>
        <w:rPr>
          <w:rFonts w:hint="eastAsia"/>
        </w:rPr>
        <w:t>公司应建立多元化筹资组合体系，具体可从三方面推进：其一，深化市场化融资手段应用，积极整合股权融资、互联网融资及并购重组等方式，优化股权与债权融资的配比结构，依托资本市场规则高效获取发展所需资金；其二，强化政企合作协同，主动对接政府相关部门，争取政策性贷款及专项扶持资金，拓宽政策性资金来源渠道，保障企业流动性储备；其三，完善员工持股计划作为补充机制，通过员工入股不仅能缓解短期融资压力，更能强化员工与企业的利益绑定，提升员工的组织归属感与责任担当，进而实现企业与核心人才的利益协同与共同发展。此外，在新兴业务拓展领域，可适时引入风险投资与战略投资者，借助外部资本与资源优势把握市场机遇。​</w:t>
      </w:r>
    </w:p>
    <w:p w14:paraId="3F05DAE1" w14:textId="77777777" w:rsidR="00000000" w:rsidRDefault="00000000">
      <w:pPr>
        <w:spacing w:line="400" w:lineRule="exact"/>
        <w:ind w:firstLineChars="200" w:firstLine="486"/>
        <w:rPr>
          <w:rFonts w:hint="eastAsia"/>
        </w:rPr>
      </w:pPr>
      <w:r>
        <w:rPr>
          <w:rFonts w:hint="eastAsia"/>
        </w:rPr>
        <w:t>（二）建立系统化决策筹资流程</w:t>
      </w:r>
    </w:p>
    <w:p w14:paraId="5EAAC214" w14:textId="77777777" w:rsidR="00000000" w:rsidRDefault="00000000">
      <w:pPr>
        <w:spacing w:line="400" w:lineRule="exact"/>
        <w:ind w:firstLineChars="200" w:firstLine="486"/>
        <w:rPr>
          <w:rFonts w:hint="eastAsia"/>
        </w:rPr>
      </w:pPr>
      <w:r>
        <w:rPr>
          <w:rFonts w:hint="eastAsia"/>
        </w:rPr>
        <w:t>针对轻资产运营企业的特征，</w:t>
      </w:r>
      <w:r>
        <w:rPr>
          <w:rFonts w:hint="eastAsia"/>
        </w:rPr>
        <w:t>M</w:t>
      </w:r>
      <w:r>
        <w:rPr>
          <w:rFonts w:hint="eastAsia"/>
        </w:rPr>
        <w:t>公司应着手建立系统化的决策筹资流程。首先，在筹资启动阶段明确融资目标与实施计划，精准确定融资金额、资金用途及预期效益指标；其次，通过消费者需求调研、行业市场动态分析，并依托专业财务机构的咨询服务，深度挖掘数据价值，为筹资方案设计提供实证支撑；最后，筹资策略需与企业成长周期、经营状况及长期发展战略高度匹配，综合考量</w:t>
      </w:r>
      <w:r>
        <w:rPr>
          <w:rFonts w:hint="eastAsia"/>
        </w:rPr>
        <w:lastRenderedPageBreak/>
        <w:t>自身资源禀赋与外部环境变化，依据资金需求强度与风险承受能力，合理规划筹资比例，确保融资规模与结构的合理性，有效强化资金链韧性，防范过度负债与流动性枯竭风险。</w:t>
      </w:r>
    </w:p>
    <w:p w14:paraId="57E45906" w14:textId="77777777" w:rsidR="00000000" w:rsidRDefault="00000000">
      <w:pPr>
        <w:pStyle w:val="afc"/>
        <w:numPr>
          <w:ilvl w:val="0"/>
          <w:numId w:val="40"/>
        </w:numPr>
        <w:tabs>
          <w:tab w:val="left" w:pos="0"/>
        </w:tabs>
        <w:spacing w:before="207"/>
      </w:pPr>
      <w:bookmarkStart w:id="113" w:name="_Toc2601"/>
      <w:bookmarkStart w:id="114" w:name="_Toc6333"/>
      <w:r>
        <w:rPr>
          <w:rFonts w:hint="eastAsia"/>
        </w:rPr>
        <w:t>完善资产结构​</w:t>
      </w:r>
      <w:bookmarkEnd w:id="113"/>
      <w:bookmarkEnd w:id="114"/>
    </w:p>
    <w:p w14:paraId="6E381A43" w14:textId="77777777" w:rsidR="00000000" w:rsidRDefault="00000000">
      <w:pPr>
        <w:spacing w:line="400" w:lineRule="exact"/>
        <w:ind w:firstLineChars="200" w:firstLine="486"/>
        <w:rPr>
          <w:rFonts w:hint="eastAsia"/>
        </w:rPr>
      </w:pPr>
      <w:r>
        <w:rPr>
          <w:rFonts w:hint="eastAsia"/>
        </w:rPr>
        <w:t>在轻资产运营模式下，</w:t>
      </w:r>
      <w:r>
        <w:rPr>
          <w:rFonts w:hint="eastAsia"/>
        </w:rPr>
        <w:t>M</w:t>
      </w:r>
      <w:r>
        <w:rPr>
          <w:rFonts w:hint="eastAsia"/>
        </w:rPr>
        <w:t>公司面临着显著的筹资风险，其核心症结在于固定资产占比偏低。由于固定资产是企业申请抵押贷款时的重要抵押物，占比不足直接导致公司抵押贷款能力受限，进而加剧了融资渠道狭窄、资金获取难度大的筹资风险，这一问题已然成为阻碍企业实现稳定发展的核心瓶颈因素。​</w:t>
      </w:r>
    </w:p>
    <w:p w14:paraId="7954696F" w14:textId="77777777" w:rsidR="00000000" w:rsidRDefault="00000000">
      <w:pPr>
        <w:spacing w:line="400" w:lineRule="exact"/>
        <w:ind w:firstLineChars="200" w:firstLine="486"/>
        <w:rPr>
          <w:rFonts w:hint="eastAsia"/>
        </w:rPr>
      </w:pPr>
      <w:r>
        <w:rPr>
          <w:rFonts w:hint="eastAsia"/>
        </w:rPr>
        <w:t>要缓解上述风险，优化资产结构是核心突破口，且需从轻重资产两个层面协同推进，形成“双向发力”的优化格局，而非单一调整某类资产。​</w:t>
      </w:r>
    </w:p>
    <w:p w14:paraId="365DB326" w14:textId="77777777" w:rsidR="00000000" w:rsidRDefault="00000000">
      <w:pPr>
        <w:spacing w:line="400" w:lineRule="exact"/>
        <w:ind w:firstLineChars="200" w:firstLine="486"/>
        <w:rPr>
          <w:rFonts w:hint="eastAsia"/>
        </w:rPr>
      </w:pPr>
      <w:r>
        <w:rPr>
          <w:rFonts w:hint="eastAsia"/>
        </w:rPr>
        <w:t>（一）优化轻重资产配置</w:t>
      </w:r>
    </w:p>
    <w:p w14:paraId="43AE7AF7" w14:textId="77777777" w:rsidR="00000000" w:rsidRDefault="00000000">
      <w:pPr>
        <w:spacing w:line="400" w:lineRule="exact"/>
        <w:ind w:firstLineChars="200" w:firstLine="486"/>
        <w:rPr>
          <w:rFonts w:hint="eastAsia"/>
        </w:rPr>
      </w:pPr>
      <w:r>
        <w:rPr>
          <w:rFonts w:hint="eastAsia"/>
        </w:rPr>
        <w:t>科学的轻重资产比例是轻资产运营企业健康发展的基础，适当增加能产生长期收益的重资产投资，既能为银行贷款提供充足的抵押物，有效改善抵押贷款受限的问题，又能降低企业对上下游供应商的依赖，增强经营自主性。具体而言，</w:t>
      </w:r>
      <w:r>
        <w:rPr>
          <w:rFonts w:hint="eastAsia"/>
        </w:rPr>
        <w:t>M</w:t>
      </w:r>
      <w:r>
        <w:rPr>
          <w:rFonts w:hint="eastAsia"/>
        </w:rPr>
        <w:t>公司可通过建设特色化研发生产基地实现这一目标——在基地设计中融入企业文化，并针对目标消费群体开展沉浸式服装研发生产体验活动。这一做法不仅能直接满足抵押贷款对固定资产的需求，还能通过体验式互动深化客户对品牌的认知，助力提升品牌形象，最终增强企业的市场竞争力，实现“资产增值”与“品牌增值”的双重效果。​</w:t>
      </w:r>
    </w:p>
    <w:p w14:paraId="17B03E7C" w14:textId="77777777" w:rsidR="00000000" w:rsidRDefault="00000000">
      <w:pPr>
        <w:spacing w:line="400" w:lineRule="exact"/>
        <w:ind w:firstLineChars="200" w:firstLine="486"/>
        <w:rPr>
          <w:rFonts w:hint="eastAsia"/>
        </w:rPr>
      </w:pPr>
      <w:r>
        <w:rPr>
          <w:rFonts w:hint="eastAsia"/>
        </w:rPr>
        <w:t>（二）提升轻资产管理效率</w:t>
      </w:r>
    </w:p>
    <w:p w14:paraId="5F59CBF9" w14:textId="77777777" w:rsidR="00000000" w:rsidRDefault="00000000">
      <w:pPr>
        <w:spacing w:line="400" w:lineRule="exact"/>
        <w:ind w:firstLineChars="200" w:firstLine="486"/>
        <w:rPr>
          <w:rFonts w:hint="eastAsia"/>
        </w:rPr>
      </w:pPr>
      <w:r>
        <w:rPr>
          <w:rFonts w:hint="eastAsia"/>
        </w:rPr>
        <w:t>鉴于轻资产企业普遍存在融资能力相对较弱的特点，</w:t>
      </w:r>
      <w:r>
        <w:rPr>
          <w:rFonts w:hint="eastAsia"/>
        </w:rPr>
        <w:t>M</w:t>
      </w:r>
      <w:r>
        <w:rPr>
          <w:rFonts w:hint="eastAsia"/>
        </w:rPr>
        <w:t>公司需充分挖掘自身轻资产的潜在价值，将品牌形象、研发创新、供应链网络等无形资源转化为实际竞争力与收益来源。一方面，可通过品牌联名合作、非核心技术授权等方式实现轻资产的价值变现，拓宽收入渠道；另一方面，需持续优化轻资产运营管理体系，细化流程、提升效能，确保轻资产的运营效率最大化。此外，货币资金作为企业流动性最强的资产，其审慎管理同样不可或缺，</w:t>
      </w:r>
      <w:r>
        <w:rPr>
          <w:rFonts w:hint="eastAsia"/>
        </w:rPr>
        <w:t>M</w:t>
      </w:r>
      <w:r>
        <w:rPr>
          <w:rFonts w:hint="eastAsia"/>
        </w:rPr>
        <w:t>公司需合理规划资金使用，避免资金闲置或低效使用，确保资产在合理流动中实现增值，为企业整体运营提供稳定的资金支撑。​</w:t>
      </w:r>
    </w:p>
    <w:p w14:paraId="12F300C0" w14:textId="77777777" w:rsidR="00000000" w:rsidRDefault="00000000">
      <w:pPr>
        <w:pStyle w:val="afc"/>
        <w:numPr>
          <w:ilvl w:val="0"/>
          <w:numId w:val="40"/>
        </w:numPr>
        <w:tabs>
          <w:tab w:val="left" w:pos="0"/>
        </w:tabs>
        <w:spacing w:before="207"/>
      </w:pPr>
      <w:bookmarkStart w:id="115" w:name="_Toc14827"/>
      <w:bookmarkStart w:id="116" w:name="_Toc947"/>
      <w:r>
        <w:rPr>
          <w:rFonts w:hint="eastAsia"/>
        </w:rPr>
        <w:t>调整债务结构​</w:t>
      </w:r>
      <w:bookmarkEnd w:id="115"/>
      <w:bookmarkEnd w:id="116"/>
    </w:p>
    <w:p w14:paraId="0F7091CE" w14:textId="77777777" w:rsidR="00000000" w:rsidRDefault="00000000">
      <w:pPr>
        <w:spacing w:line="400" w:lineRule="exact"/>
        <w:ind w:firstLineChars="200" w:firstLine="486"/>
        <w:rPr>
          <w:rFonts w:hint="eastAsia"/>
        </w:rPr>
      </w:pPr>
      <w:r>
        <w:rPr>
          <w:rFonts w:hint="eastAsia"/>
        </w:rPr>
        <w:t>在轻资产运营模式下，</w:t>
      </w:r>
      <w:r>
        <w:rPr>
          <w:rFonts w:hint="eastAsia"/>
        </w:rPr>
        <w:t>M</w:t>
      </w:r>
      <w:r>
        <w:rPr>
          <w:rFonts w:hint="eastAsia"/>
        </w:rPr>
        <w:t>公司的债务结构呈现以短期借款为核心的特征，该结构导致企业短期偿债压力显著攀升，显著削弱了企业经营的韧性，对资金链安全构成系统性挑战。因此，优化债务结构已成为</w:t>
      </w:r>
      <w:r>
        <w:rPr>
          <w:rFonts w:hint="eastAsia"/>
        </w:rPr>
        <w:t>M</w:t>
      </w:r>
      <w:r>
        <w:rPr>
          <w:rFonts w:hint="eastAsia"/>
        </w:rPr>
        <w:t>公司降低筹资风险、保障</w:t>
      </w:r>
      <w:r>
        <w:rPr>
          <w:rFonts w:hint="eastAsia"/>
        </w:rPr>
        <w:lastRenderedPageBreak/>
        <w:t>财务可持续性的核心任务之一。</w:t>
      </w:r>
    </w:p>
    <w:p w14:paraId="6C964D52" w14:textId="77777777" w:rsidR="00000000" w:rsidRDefault="00000000">
      <w:pPr>
        <w:spacing w:line="400" w:lineRule="exact"/>
        <w:ind w:firstLineChars="200" w:firstLine="486"/>
      </w:pPr>
      <w:r>
        <w:rPr>
          <w:rFonts w:hint="eastAsia"/>
        </w:rPr>
        <w:t>（一）强化短期借款精细化管理</w:t>
      </w:r>
    </w:p>
    <w:p w14:paraId="5D21398D" w14:textId="77777777" w:rsidR="00000000" w:rsidRDefault="00000000">
      <w:pPr>
        <w:spacing w:line="400" w:lineRule="exact"/>
        <w:ind w:firstLineChars="200" w:firstLine="486"/>
        <w:rPr>
          <w:rFonts w:hint="eastAsia"/>
        </w:rPr>
      </w:pPr>
      <w:r>
        <w:rPr>
          <w:rFonts w:hint="eastAsia"/>
        </w:rPr>
        <w:t>轻资产运营模式企业首先需要通过建立科学的现金流预测模型，精准制定短期借款的偿还计划与资金调度方案，从而有效规避因资金链断裂引发的违约风险。其次，应主动调整债务期限结构，适度增加长期借款在总债务中的占比，以通过长周期资金的注入分摊短期偿债压力，平衡债务的流动性与稳定性。</w:t>
      </w:r>
    </w:p>
    <w:p w14:paraId="5EA9AC50" w14:textId="77777777" w:rsidR="00000000" w:rsidRDefault="00000000">
      <w:pPr>
        <w:spacing w:line="400" w:lineRule="exact"/>
        <w:ind w:firstLineChars="200" w:firstLine="486"/>
      </w:pPr>
      <w:r>
        <w:rPr>
          <w:rFonts w:hint="eastAsia"/>
        </w:rPr>
        <w:t>（二）构建与财务机构良好合作关系</w:t>
      </w:r>
    </w:p>
    <w:p w14:paraId="2E446DF4" w14:textId="77777777" w:rsidR="00000000" w:rsidRDefault="00000000">
      <w:pPr>
        <w:spacing w:line="400" w:lineRule="exact"/>
        <w:ind w:firstLineChars="200" w:firstLine="486"/>
        <w:rPr>
          <w:rFonts w:hint="eastAsia"/>
        </w:rPr>
      </w:pPr>
      <w:r>
        <w:rPr>
          <w:rFonts w:hint="eastAsia"/>
        </w:rPr>
        <w:t>在轻资产运营模式下，</w:t>
      </w:r>
      <w:r>
        <w:rPr>
          <w:rFonts w:hint="eastAsia"/>
        </w:rPr>
        <w:t>M</w:t>
      </w:r>
      <w:r>
        <w:rPr>
          <w:rFonts w:hint="eastAsia"/>
        </w:rPr>
        <w:t>公司因固定资产规模有限，难以满足传统银行信贷业务中抵押担保的核心要求，导致其通过常规渠道获取长期贷款的难度较大。基于此，建议</w:t>
      </w:r>
      <w:r>
        <w:rPr>
          <w:rFonts w:hint="eastAsia"/>
        </w:rPr>
        <w:t>M</w:t>
      </w:r>
      <w:r>
        <w:rPr>
          <w:rFonts w:hint="eastAsia"/>
        </w:rPr>
        <w:t>公司充分发挥其信誉优势，与财务机构构建长期战略合作伙伴关系。具体而言，</w:t>
      </w:r>
      <w:r>
        <w:rPr>
          <w:rFonts w:hint="eastAsia"/>
        </w:rPr>
        <w:t>M</w:t>
      </w:r>
      <w:r>
        <w:rPr>
          <w:rFonts w:hint="eastAsia"/>
        </w:rPr>
        <w:t>公司在生态保护、履行社会责任和完善公司治理等方面的实践成果和绩效数据，可以通过定期发布环境、社会与治理</w:t>
      </w:r>
      <w:r>
        <w:rPr>
          <w:rFonts w:hint="eastAsia"/>
        </w:rPr>
        <w:t>(ESG)</w:t>
      </w:r>
      <w:r>
        <w:rPr>
          <w:rFonts w:hint="eastAsia"/>
        </w:rPr>
        <w:t>报告的方式进行系统披露。</w:t>
      </w:r>
      <w:r>
        <w:rPr>
          <w:rFonts w:hint="eastAsia"/>
        </w:rPr>
        <w:t xml:space="preserve"> </w:t>
      </w:r>
      <w:r>
        <w:rPr>
          <w:rFonts w:hint="eastAsia"/>
        </w:rPr>
        <w:t>此举不仅能够增强投资者及财务机构对企业可持续发展能力的信任，提升其信贷资质评级，进而拓宽长期借款的获取渠道，最终实现债务结构的优化升级与财务风险的可控性管理。</w:t>
      </w:r>
    </w:p>
    <w:p w14:paraId="123AEAE8" w14:textId="77777777" w:rsidR="00000000" w:rsidRDefault="00000000">
      <w:pPr>
        <w:pStyle w:val="afb"/>
        <w:numPr>
          <w:ilvl w:val="0"/>
          <w:numId w:val="39"/>
        </w:numPr>
        <w:tabs>
          <w:tab w:val="left" w:pos="0"/>
          <w:tab w:val="left" w:pos="2552"/>
        </w:tabs>
        <w:spacing w:before="207" w:after="207"/>
        <w:rPr>
          <w:rFonts w:hint="default"/>
        </w:rPr>
      </w:pPr>
      <w:bookmarkStart w:id="117" w:name="_Toc12413"/>
      <w:bookmarkStart w:id="118" w:name="_Toc21186"/>
      <w:r>
        <w:t>投资风险控制策略​</w:t>
      </w:r>
      <w:bookmarkEnd w:id="117"/>
      <w:bookmarkEnd w:id="118"/>
    </w:p>
    <w:p w14:paraId="795281C5" w14:textId="77777777" w:rsidR="00000000" w:rsidRDefault="00000000">
      <w:pPr>
        <w:pStyle w:val="afc"/>
        <w:numPr>
          <w:ilvl w:val="0"/>
          <w:numId w:val="41"/>
        </w:numPr>
        <w:tabs>
          <w:tab w:val="left" w:pos="0"/>
        </w:tabs>
        <w:spacing w:before="207"/>
      </w:pPr>
      <w:bookmarkStart w:id="119" w:name="_Toc1854"/>
      <w:bookmarkStart w:id="120" w:name="_Toc31269"/>
      <w:r>
        <w:rPr>
          <w:rFonts w:hint="eastAsia"/>
        </w:rPr>
        <w:t>加大研发创新投入力度​</w:t>
      </w:r>
      <w:bookmarkEnd w:id="119"/>
      <w:bookmarkEnd w:id="120"/>
    </w:p>
    <w:p w14:paraId="6D496B4F" w14:textId="77777777" w:rsidR="00000000" w:rsidRDefault="00000000">
      <w:pPr>
        <w:spacing w:line="400" w:lineRule="exact"/>
        <w:ind w:firstLineChars="200" w:firstLine="486"/>
        <w:rPr>
          <w:rFonts w:hint="eastAsia"/>
        </w:rPr>
      </w:pPr>
      <w:r>
        <w:rPr>
          <w:rFonts w:hint="eastAsia"/>
        </w:rPr>
        <w:t>在轻资产运营模式下，</w:t>
      </w:r>
      <w:r>
        <w:rPr>
          <w:rFonts w:hint="eastAsia"/>
        </w:rPr>
        <w:t>M</w:t>
      </w:r>
      <w:r>
        <w:rPr>
          <w:rFonts w:hint="eastAsia"/>
        </w:rPr>
        <w:t>公司虽将研发创新界定为核心轻资产要素，但其研发投入规模与销售支出相比存在显著差距，呈现出“重销售、轻研发”的投资结构失衡问题，这一失衡状态已成为制约企业核心竞争力提升的关键瓶颈。因此，调整投资策略、优化资源配置，同步提升研发资金的投入强度与使用效率，成为</w:t>
      </w:r>
      <w:r>
        <w:rPr>
          <w:rFonts w:hint="eastAsia"/>
        </w:rPr>
        <w:t>M</w:t>
      </w:r>
      <w:r>
        <w:rPr>
          <w:rFonts w:hint="eastAsia"/>
        </w:rPr>
        <w:t>公司突破发展桎梏的必然选择。</w:t>
      </w:r>
    </w:p>
    <w:p w14:paraId="34A6A292" w14:textId="77777777" w:rsidR="00000000" w:rsidRDefault="00000000">
      <w:pPr>
        <w:spacing w:line="400" w:lineRule="exact"/>
        <w:ind w:firstLineChars="200" w:firstLine="486"/>
      </w:pPr>
      <w:r>
        <w:rPr>
          <w:rFonts w:hint="eastAsia"/>
        </w:rPr>
        <w:t>（一）加大研发人力资源建设</w:t>
      </w:r>
    </w:p>
    <w:p w14:paraId="77B79207" w14:textId="77777777" w:rsidR="00000000" w:rsidRDefault="00000000">
      <w:pPr>
        <w:spacing w:line="400" w:lineRule="exact"/>
        <w:ind w:firstLineChars="200" w:firstLine="486"/>
        <w:rPr>
          <w:rFonts w:hint="eastAsia"/>
        </w:rPr>
      </w:pPr>
      <w:r>
        <w:rPr>
          <w:rFonts w:hint="eastAsia"/>
        </w:rPr>
        <w:t>对于轻资产运营企业而言，加大研发投入是构筑核心竞争力的必由之路，也是实现价值创造的关键路径。具体而言，</w:t>
      </w:r>
      <w:r>
        <w:rPr>
          <w:rFonts w:hint="eastAsia"/>
        </w:rPr>
        <w:t>M</w:t>
      </w:r>
      <w:r>
        <w:rPr>
          <w:rFonts w:hint="eastAsia"/>
        </w:rPr>
        <w:t>公司可从构建系统化的研发团队能力提升体系着手。一方面，可以设计分层分类的专业培训课程，覆盖技术研发、产品设计等核心领域；同时，大力支持研发团队融入高端学术交流圈层，以提升其对行业尖端技术与未来走向的敏锐洞察力，从而推动研发团队整体专业素养与创新能力的全方位提升。</w:t>
      </w:r>
    </w:p>
    <w:p w14:paraId="586A1253" w14:textId="77777777" w:rsidR="00000000" w:rsidRDefault="00000000">
      <w:pPr>
        <w:spacing w:line="400" w:lineRule="exact"/>
        <w:ind w:firstLineChars="200" w:firstLine="486"/>
      </w:pPr>
      <w:r>
        <w:rPr>
          <w:rFonts w:hint="eastAsia"/>
        </w:rPr>
        <w:t>（二）推进技术赋能服装设计及研发</w:t>
      </w:r>
    </w:p>
    <w:p w14:paraId="784DD6B0" w14:textId="77777777" w:rsidR="00000000" w:rsidRDefault="00000000">
      <w:pPr>
        <w:spacing w:line="400" w:lineRule="exact"/>
        <w:ind w:firstLineChars="200" w:firstLine="486"/>
        <w:rPr>
          <w:rFonts w:hint="eastAsia"/>
        </w:rPr>
      </w:pPr>
      <w:r>
        <w:rPr>
          <w:rFonts w:hint="eastAsia"/>
        </w:rPr>
        <w:t>在轻资产运营模式下，</w:t>
      </w:r>
      <w:r>
        <w:rPr>
          <w:rFonts w:hint="eastAsia"/>
        </w:rPr>
        <w:t>M</w:t>
      </w:r>
      <w:r>
        <w:rPr>
          <w:rFonts w:hint="eastAsia"/>
        </w:rPr>
        <w:t>公司应充分依托数智经济时代的技术赋能优势，重构服装设计与研发的逻辑框架。具体可通过引入人工智能、云计算、区块链等</w:t>
      </w:r>
      <w:r>
        <w:rPr>
          <w:rFonts w:hint="eastAsia"/>
        </w:rPr>
        <w:lastRenderedPageBreak/>
        <w:t>新一代信息技术，精准采集、分析消费者的购买偏好、需求特征等关键决策数据，并将其深度融入研发设计的可行性论证、方案优化等全流程环节。此举不仅能够有效规避盲目研发导致的资源浪费，还能增强产品与市场需求的匹配度，提升企业应对市场动态变化的敏捷性。</w:t>
      </w:r>
    </w:p>
    <w:p w14:paraId="5D32044A" w14:textId="77777777" w:rsidR="00000000" w:rsidRDefault="00000000">
      <w:pPr>
        <w:spacing w:line="400" w:lineRule="exact"/>
        <w:ind w:firstLineChars="200" w:firstLine="486"/>
      </w:pPr>
      <w:r>
        <w:rPr>
          <w:rFonts w:hint="eastAsia"/>
        </w:rPr>
        <w:t>（三）构建知识产权保护机制</w:t>
      </w:r>
    </w:p>
    <w:p w14:paraId="62DB6984" w14:textId="77777777" w:rsidR="00000000" w:rsidRDefault="00000000">
      <w:pPr>
        <w:spacing w:line="400" w:lineRule="exact"/>
        <w:ind w:firstLineChars="200" w:firstLine="486"/>
        <w:rPr>
          <w:rFonts w:hint="eastAsia"/>
        </w:rPr>
      </w:pPr>
      <w:r>
        <w:rPr>
          <w:rFonts w:hint="eastAsia"/>
        </w:rPr>
        <w:t>重视知识产权保护对于轻资产运营企业尤为关键。为此，</w:t>
      </w:r>
      <w:r>
        <w:rPr>
          <w:rFonts w:hint="eastAsia"/>
        </w:rPr>
        <w:t>M</w:t>
      </w:r>
      <w:r>
        <w:rPr>
          <w:rFonts w:hint="eastAsia"/>
        </w:rPr>
        <w:t>公司还需健全知识产权全链条保护机制。重点应建立常态化的专利预警系统，通过对行业专利动态的实时监测与分析，提前识别潜在的侵权风险与技术壁垒，有效防范核心技术与原创设计成果被抄袭、盗用，为研发创新活动提供稳定的制度保障。</w:t>
      </w:r>
    </w:p>
    <w:p w14:paraId="166BD69B" w14:textId="77777777" w:rsidR="00000000" w:rsidRDefault="00000000">
      <w:pPr>
        <w:spacing w:line="400" w:lineRule="exact"/>
        <w:ind w:firstLineChars="200" w:firstLine="486"/>
        <w:rPr>
          <w:rFonts w:hint="eastAsia"/>
        </w:rPr>
      </w:pPr>
      <w:r>
        <w:rPr>
          <w:rFonts w:hint="eastAsia"/>
        </w:rPr>
        <w:t>综上，基于微笑曲线理论，实施轻资产运营模式的</w:t>
      </w:r>
      <w:r>
        <w:rPr>
          <w:rFonts w:hint="eastAsia"/>
        </w:rPr>
        <w:t>M</w:t>
      </w:r>
      <w:r>
        <w:rPr>
          <w:rFonts w:hint="eastAsia"/>
        </w:rPr>
        <w:t>公司应强化创新驱动战略，加大对研发设计环节的资源倾斜力度，并辅以人力资源建设、技术赋能及知识产权保护等配套措施，方能有望突破现有收入增长瓶颈，从而强化核心竞争优势，并最终驱动企业价值与股东财富的持续增长。</w:t>
      </w:r>
    </w:p>
    <w:p w14:paraId="4214B021" w14:textId="77777777" w:rsidR="00000000" w:rsidRDefault="00000000">
      <w:pPr>
        <w:pStyle w:val="afc"/>
        <w:numPr>
          <w:ilvl w:val="0"/>
          <w:numId w:val="41"/>
        </w:numPr>
        <w:tabs>
          <w:tab w:val="left" w:pos="0"/>
        </w:tabs>
        <w:spacing w:before="207"/>
      </w:pPr>
      <w:bookmarkStart w:id="121" w:name="_Toc8708"/>
      <w:bookmarkStart w:id="122" w:name="_Toc18114"/>
      <w:r>
        <w:rPr>
          <w:rFonts w:hint="eastAsia"/>
        </w:rPr>
        <w:t>注重投资项目全程把控​</w:t>
      </w:r>
      <w:bookmarkEnd w:id="121"/>
      <w:bookmarkEnd w:id="122"/>
    </w:p>
    <w:p w14:paraId="2EB5C831" w14:textId="77777777" w:rsidR="00000000" w:rsidRDefault="00000000">
      <w:pPr>
        <w:spacing w:line="400" w:lineRule="exact"/>
        <w:ind w:firstLineChars="200" w:firstLine="486"/>
        <w:rPr>
          <w:rFonts w:hint="eastAsia"/>
        </w:rPr>
      </w:pPr>
      <w:r>
        <w:rPr>
          <w:rFonts w:hint="eastAsia"/>
        </w:rPr>
        <w:t>轻资产运营模式为</w:t>
      </w:r>
      <w:r>
        <w:rPr>
          <w:rFonts w:hint="eastAsia"/>
        </w:rPr>
        <w:t>M</w:t>
      </w:r>
      <w:r>
        <w:rPr>
          <w:rFonts w:hint="eastAsia"/>
        </w:rPr>
        <w:t>公司的规模扩张提供了重要支撑，使其得以快速拓展业务版图，但企业管理能力的滞后性与投资项目全流程管控的缺失，导致扩张规模的扩大未能有效转化为盈利水平的提升，反而因管理半径扩大、协调成本增加等因素推高了整体管理成本，形成“规模不经济”的困境。在此背景下，构建科学完善的投资项目全生命周期管理体系，成为</w:t>
      </w:r>
      <w:r>
        <w:rPr>
          <w:rFonts w:hint="eastAsia"/>
        </w:rPr>
        <w:t>M</w:t>
      </w:r>
      <w:r>
        <w:rPr>
          <w:rFonts w:hint="eastAsia"/>
        </w:rPr>
        <w:t>公司破解扩张与盈利失衡难题、提升资源配置效率的核心路径。​</w:t>
      </w:r>
    </w:p>
    <w:p w14:paraId="0ECDD05A" w14:textId="77777777" w:rsidR="00000000" w:rsidRDefault="00000000">
      <w:pPr>
        <w:spacing w:line="400" w:lineRule="exact"/>
        <w:ind w:firstLineChars="200" w:firstLine="486"/>
      </w:pPr>
      <w:r>
        <w:rPr>
          <w:rFonts w:hint="eastAsia"/>
        </w:rPr>
        <w:t>（一）强化项目可行性分析</w:t>
      </w:r>
    </w:p>
    <w:p w14:paraId="08BECA4A" w14:textId="77777777" w:rsidR="00000000" w:rsidRDefault="00000000">
      <w:pPr>
        <w:spacing w:line="400" w:lineRule="exact"/>
        <w:ind w:firstLineChars="200" w:firstLine="486"/>
        <w:rPr>
          <w:rFonts w:hint="eastAsia"/>
        </w:rPr>
      </w:pPr>
      <w:r>
        <w:rPr>
          <w:rFonts w:hint="eastAsia"/>
        </w:rPr>
        <w:t>及时开展项目可行性分析，对于轻资产运营模式企业尤为关键。在投资项目前期决策阶段，</w:t>
      </w:r>
      <w:r>
        <w:rPr>
          <w:rFonts w:hint="eastAsia"/>
        </w:rPr>
        <w:t>M</w:t>
      </w:r>
      <w:r>
        <w:rPr>
          <w:rFonts w:hint="eastAsia"/>
        </w:rPr>
        <w:t>公司需强化可行性分析的系统性与科学性。首先，应基于内外部环境的综合研判制定详细投资规划：全面梳理宏观经济走势、行业发展规律及市场竞争格局等外部因素，同时客观评价企业自身的资金实力、技术能力及运营水平等内部条件，对扩张战略实施过程中的市场风险、财务风险及运营风险进行精准识别与前瞻性预警。其次，需合理规划资金的投放方向与投放规模，明确投资预算编制标准与预期收益测算方法。以门店扩张为例，应建立多维度评价指标体系，综合考量选址区位优势、人员与资金投入强度、预计客流量及预期营业利润等关键因素，优先对现有门店的升级改造潜力进行评价，避免陷入“重数量、轻质量”的盲目扩张误区。​</w:t>
      </w:r>
    </w:p>
    <w:p w14:paraId="1A633833" w14:textId="77777777" w:rsidR="00000000" w:rsidRDefault="00000000">
      <w:pPr>
        <w:spacing w:line="400" w:lineRule="exact"/>
        <w:ind w:firstLineChars="200" w:firstLine="486"/>
        <w:rPr>
          <w:rFonts w:hint="eastAsia"/>
        </w:rPr>
      </w:pPr>
    </w:p>
    <w:p w14:paraId="6B6FC2A8" w14:textId="77777777" w:rsidR="00000000" w:rsidRDefault="00000000">
      <w:pPr>
        <w:spacing w:line="400" w:lineRule="exact"/>
        <w:ind w:firstLineChars="200" w:firstLine="486"/>
        <w:rPr>
          <w:rFonts w:hint="eastAsia"/>
        </w:rPr>
      </w:pPr>
      <w:r>
        <w:rPr>
          <w:rFonts w:hint="eastAsia"/>
        </w:rPr>
        <w:lastRenderedPageBreak/>
        <w:t>（二）建立动态化监控与调整机制</w:t>
      </w:r>
      <w:r>
        <w:rPr>
          <w:rFonts w:hint="eastAsia"/>
        </w:rPr>
        <w:t xml:space="preserve">                                   </w:t>
      </w:r>
    </w:p>
    <w:p w14:paraId="398BA7D5" w14:textId="77777777" w:rsidR="00000000" w:rsidRDefault="00000000">
      <w:pPr>
        <w:spacing w:line="400" w:lineRule="exact"/>
        <w:ind w:firstLineChars="200" w:firstLine="486"/>
        <w:rPr>
          <w:rFonts w:hint="eastAsia"/>
        </w:rPr>
      </w:pPr>
      <w:r>
        <w:rPr>
          <w:rFonts w:hint="eastAsia"/>
        </w:rPr>
        <w:t>在投资项目实施阶段，实施轻资产运营模式的</w:t>
      </w:r>
      <w:r>
        <w:rPr>
          <w:rFonts w:hint="eastAsia"/>
        </w:rPr>
        <w:t>M</w:t>
      </w:r>
      <w:r>
        <w:rPr>
          <w:rFonts w:hint="eastAsia"/>
        </w:rPr>
        <w:t>公司可通过搭建实时数据监测平台，对项目的资金使用进度、成本控制情况及阶段性运营成果进行跟踪分析，建立动态监控机制，对执行过程中的目标偏差实施实时预警，通过深入诊断成因与评估影响，确保及时采取有效的纠偏行动。确保项目始终沿着预期轨道推进。对于经评价确认预期收益难以实现的低效或无效项目，应果断采取整顿优化或终止退出策略，及时止损以减少资源浪费，并将释放的资金、人力等资源向研发设计、品牌塑造等具有高附加值的核心业务环节倾斜，从而提升整体投资回报率。</w:t>
      </w:r>
    </w:p>
    <w:p w14:paraId="3DB27982" w14:textId="77777777" w:rsidR="00000000" w:rsidRDefault="00000000">
      <w:pPr>
        <w:spacing w:line="400" w:lineRule="exact"/>
        <w:ind w:firstLineChars="200" w:firstLine="486"/>
        <w:rPr>
          <w:rFonts w:hint="eastAsia"/>
        </w:rPr>
      </w:pPr>
      <w:r>
        <w:rPr>
          <w:rFonts w:hint="eastAsia"/>
        </w:rPr>
        <w:t>（三）构建完善的绩效考核与评价体系​</w:t>
      </w:r>
    </w:p>
    <w:p w14:paraId="02EC55FC" w14:textId="77777777" w:rsidR="00000000" w:rsidRDefault="00000000">
      <w:pPr>
        <w:spacing w:line="400" w:lineRule="exact"/>
        <w:ind w:firstLineChars="200" w:firstLine="486"/>
        <w:rPr>
          <w:rFonts w:hint="eastAsia"/>
        </w:rPr>
      </w:pPr>
      <w:r>
        <w:rPr>
          <w:rFonts w:hint="eastAsia"/>
        </w:rPr>
        <w:t>强化投资项目全生命周期管理，构建完善的绩效考核与评价体系对于轻资产运营企业同样重要。在项目收尾阶段实施严格的绩效审计与评价。依据企业战略导向，设定定量与定性相结合的考核阈值，以验证投资效益。对项目的实际投资效果与初始规划方案进行全方位对比分析，对项目实施过程展开系统性梳理，归纳其中的成功经验，同时剖析存在的不足之处。同时，建立经验反馈机制，将评价结果纳入企业投资决策数据库，为后续投资项目的立项、论证与实施提供科学依据，</w:t>
      </w:r>
      <w:bookmarkStart w:id="123" w:name="OLE_LINK18"/>
      <w:r>
        <w:rPr>
          <w:rFonts w:hint="eastAsia"/>
        </w:rPr>
        <w:t>形成集“决策</w:t>
      </w:r>
      <w:r>
        <w:rPr>
          <w:rFonts w:hint="eastAsia"/>
        </w:rPr>
        <w:t>-</w:t>
      </w:r>
      <w:r>
        <w:rPr>
          <w:rFonts w:hint="eastAsia"/>
        </w:rPr>
        <w:t>实施</w:t>
      </w:r>
      <w:r>
        <w:rPr>
          <w:rFonts w:hint="eastAsia"/>
        </w:rPr>
        <w:t>-</w:t>
      </w:r>
      <w:r>
        <w:rPr>
          <w:rFonts w:hint="eastAsia"/>
        </w:rPr>
        <w:t>评价</w:t>
      </w:r>
      <w:r>
        <w:rPr>
          <w:rFonts w:hint="eastAsia"/>
        </w:rPr>
        <w:t>-</w:t>
      </w:r>
      <w:r>
        <w:rPr>
          <w:rFonts w:hint="eastAsia"/>
        </w:rPr>
        <w:t>纠偏”于一体的动态闭环管控体系。</w:t>
      </w:r>
    </w:p>
    <w:p w14:paraId="3FAB4B49" w14:textId="77777777" w:rsidR="00000000" w:rsidRDefault="00000000">
      <w:pPr>
        <w:pStyle w:val="afc"/>
        <w:numPr>
          <w:ilvl w:val="0"/>
          <w:numId w:val="41"/>
        </w:numPr>
        <w:tabs>
          <w:tab w:val="left" w:pos="0"/>
        </w:tabs>
        <w:spacing w:before="207"/>
      </w:pPr>
      <w:bookmarkStart w:id="124" w:name="_Toc27517"/>
      <w:bookmarkStart w:id="125" w:name="_Toc13593"/>
      <w:bookmarkEnd w:id="123"/>
      <w:r>
        <w:rPr>
          <w:rFonts w:hint="eastAsia"/>
        </w:rPr>
        <w:t>合理控制投资项目的成本费用支出​</w:t>
      </w:r>
      <w:bookmarkEnd w:id="124"/>
      <w:bookmarkEnd w:id="125"/>
    </w:p>
    <w:p w14:paraId="297405D7" w14:textId="77777777" w:rsidR="00000000" w:rsidRDefault="00000000">
      <w:pPr>
        <w:spacing w:line="400" w:lineRule="exact"/>
        <w:ind w:firstLineChars="200" w:firstLine="486"/>
        <w:rPr>
          <w:rFonts w:hint="eastAsia"/>
        </w:rPr>
      </w:pPr>
      <w:r>
        <w:rPr>
          <w:rFonts w:hint="eastAsia"/>
        </w:rPr>
        <w:t>（一）建立科学的成本费用预测与动态调整机制</w:t>
      </w:r>
    </w:p>
    <w:p w14:paraId="6310DD2C" w14:textId="77777777" w:rsidR="00000000" w:rsidRDefault="00000000">
      <w:pPr>
        <w:spacing w:line="400" w:lineRule="exact"/>
        <w:ind w:firstLineChars="200" w:firstLine="486"/>
        <w:rPr>
          <w:rFonts w:hint="eastAsia"/>
        </w:rPr>
      </w:pPr>
      <w:r>
        <w:rPr>
          <w:rFonts w:hint="eastAsia"/>
        </w:rPr>
        <w:t>实施轻资产运营模式的</w:t>
      </w:r>
      <w:r>
        <w:rPr>
          <w:rFonts w:hint="eastAsia"/>
        </w:rPr>
        <w:t>M</w:t>
      </w:r>
      <w:r>
        <w:rPr>
          <w:rFonts w:hint="eastAsia"/>
        </w:rPr>
        <w:t>公司，在投资项目正式实施前可基于项目规划目标与内外部经营环境特征，运用定量分析与定性研判相结合的方法，对项目全周期内的成本费用构成、规模及变动趋势进行精准预测，同时构建与宏观经济波动、行业竞争态势及企业战略调整相适配的动态调整模型，确保成本费用管控的前瞻性与灵活性。</w:t>
      </w:r>
    </w:p>
    <w:p w14:paraId="1901D98C" w14:textId="77777777" w:rsidR="00000000" w:rsidRDefault="00000000">
      <w:pPr>
        <w:spacing w:line="400" w:lineRule="exact"/>
        <w:ind w:firstLineChars="200" w:firstLine="486"/>
      </w:pPr>
      <w:r>
        <w:rPr>
          <w:rFonts w:hint="eastAsia"/>
        </w:rPr>
        <w:t>（二）优化资金配置结构​</w:t>
      </w:r>
    </w:p>
    <w:p w14:paraId="77038D4C" w14:textId="77777777" w:rsidR="00000000" w:rsidRDefault="00000000">
      <w:pPr>
        <w:spacing w:line="400" w:lineRule="exact"/>
        <w:ind w:firstLineChars="200" w:firstLine="486"/>
        <w:rPr>
          <w:rFonts w:hint="eastAsia"/>
        </w:rPr>
      </w:pPr>
      <w:r>
        <w:rPr>
          <w:rFonts w:hint="eastAsia"/>
        </w:rPr>
        <w:t>在轻资产运营模式框架下，</w:t>
      </w:r>
      <w:r>
        <w:rPr>
          <w:rFonts w:hint="eastAsia"/>
        </w:rPr>
        <w:t>M</w:t>
      </w:r>
      <w:r>
        <w:rPr>
          <w:rFonts w:hint="eastAsia"/>
        </w:rPr>
        <w:t>公司应依据“高附加值优先”原则优化资金配置结构：一方面，将资金投放重点向产品研发、品牌推广等具有较高价值创造能力的核心环节倾斜，强化企业在产业链高附加值领域的竞争优势；另一方面，建立严格的常规费用管控体系，针对人工薪酬、场地租赁、行政办公等非核心环节的费用支出，制定量化管控标准与精细化审核流程，通过预算约束、流程优化、资源整合等方式压缩无效成本，实现费用支出的集约化管理。​</w:t>
      </w:r>
    </w:p>
    <w:p w14:paraId="5E509AB6" w14:textId="77777777" w:rsidR="00000000" w:rsidRDefault="00000000">
      <w:pPr>
        <w:spacing w:line="400" w:lineRule="exact"/>
        <w:ind w:firstLineChars="200" w:firstLine="486"/>
        <w:rPr>
          <w:rFonts w:hint="eastAsia"/>
        </w:rPr>
      </w:pPr>
      <w:r>
        <w:rPr>
          <w:rFonts w:hint="eastAsia"/>
        </w:rPr>
        <w:t>通过上述成本优化策略的实施，实施轻资产运营模式的</w:t>
      </w:r>
      <w:r>
        <w:rPr>
          <w:rFonts w:hint="eastAsia"/>
        </w:rPr>
        <w:t>M</w:t>
      </w:r>
      <w:r>
        <w:rPr>
          <w:rFonts w:hint="eastAsia"/>
        </w:rPr>
        <w:t>公司可有效释放</w:t>
      </w:r>
      <w:r>
        <w:rPr>
          <w:rFonts w:hint="eastAsia"/>
        </w:rPr>
        <w:lastRenderedPageBreak/>
        <w:t>存量资金与增量现金流，将其定向用于品牌形象的系统化塑造与市场知名度的深度提升，以此提升全要素资金配置效率，实现资本的最优产出比，从而构筑企业难以模仿的竞争护城河。</w:t>
      </w:r>
      <w:bookmarkStart w:id="126" w:name="_Toc9451"/>
    </w:p>
    <w:p w14:paraId="554C2CEE" w14:textId="77777777" w:rsidR="00000000" w:rsidRDefault="00000000">
      <w:pPr>
        <w:pStyle w:val="afb"/>
        <w:numPr>
          <w:ilvl w:val="0"/>
          <w:numId w:val="39"/>
        </w:numPr>
        <w:tabs>
          <w:tab w:val="left" w:pos="0"/>
          <w:tab w:val="left" w:pos="2552"/>
        </w:tabs>
        <w:spacing w:before="207" w:after="207"/>
        <w:rPr>
          <w:rFonts w:hint="default"/>
        </w:rPr>
      </w:pPr>
      <w:bookmarkStart w:id="127" w:name="_Toc20529"/>
      <w:r>
        <w:t>营运风险控制策略​</w:t>
      </w:r>
      <w:bookmarkEnd w:id="126"/>
      <w:bookmarkEnd w:id="127"/>
    </w:p>
    <w:p w14:paraId="6664871E" w14:textId="77777777" w:rsidR="00000000" w:rsidRDefault="00000000">
      <w:pPr>
        <w:pStyle w:val="afc"/>
        <w:numPr>
          <w:ilvl w:val="0"/>
          <w:numId w:val="42"/>
        </w:numPr>
        <w:tabs>
          <w:tab w:val="left" w:pos="0"/>
        </w:tabs>
        <w:spacing w:before="207"/>
      </w:pPr>
      <w:bookmarkStart w:id="128" w:name="_Toc25742"/>
      <w:bookmarkStart w:id="129" w:name="_Toc19828"/>
      <w:r>
        <w:rPr>
          <w:rFonts w:hint="eastAsia"/>
        </w:rPr>
        <w:t>加强供应链风险管控</w:t>
      </w:r>
      <w:bookmarkEnd w:id="128"/>
      <w:bookmarkEnd w:id="129"/>
    </w:p>
    <w:p w14:paraId="39A06FE0" w14:textId="77777777" w:rsidR="00000000" w:rsidRDefault="00000000">
      <w:pPr>
        <w:spacing w:line="400" w:lineRule="exact"/>
        <w:ind w:firstLineChars="200" w:firstLine="486"/>
        <w:rPr>
          <w:rFonts w:hint="eastAsia"/>
        </w:rPr>
      </w:pPr>
      <w:r>
        <w:rPr>
          <w:rFonts w:hint="eastAsia"/>
        </w:rPr>
        <w:t>在轻资产运营模式下，</w:t>
      </w:r>
      <w:r>
        <w:rPr>
          <w:rFonts w:hint="eastAsia"/>
        </w:rPr>
        <w:t>M</w:t>
      </w:r>
      <w:r>
        <w:rPr>
          <w:rFonts w:hint="eastAsia"/>
        </w:rPr>
        <w:t>公司已构建起覆盖研发设计、原料采购、生产运输及销售推广等多环节的复合型供应链体系。该体系虽支撑了企业业务的多元化发展，但结构的复杂性也加剧了管理难度。尽管</w:t>
      </w:r>
      <w:r>
        <w:rPr>
          <w:rFonts w:hint="eastAsia"/>
        </w:rPr>
        <w:t>M</w:t>
      </w:r>
      <w:r>
        <w:rPr>
          <w:rFonts w:hint="eastAsia"/>
        </w:rPr>
        <w:t>公司已设立专门的供应链管理中心，然而生产环节与销售环节的分离式运营，仍导致供应链全链条中的财务风险难以得到有效管控，已成为制约企业营运效率提升的关键桎梏，并对资金链安全构成潜在威胁。</w:t>
      </w:r>
    </w:p>
    <w:p w14:paraId="5AF0C661" w14:textId="77777777" w:rsidR="00000000" w:rsidRDefault="00000000">
      <w:pPr>
        <w:spacing w:line="400" w:lineRule="exact"/>
        <w:ind w:firstLineChars="200" w:firstLine="486"/>
      </w:pPr>
      <w:r>
        <w:rPr>
          <w:rFonts w:hint="eastAsia"/>
        </w:rPr>
        <w:t>（一）建立系统化的供应商评价与筛选体系​</w:t>
      </w:r>
    </w:p>
    <w:p w14:paraId="61F7678E" w14:textId="77777777" w:rsidR="00000000" w:rsidRDefault="00000000">
      <w:pPr>
        <w:spacing w:line="400" w:lineRule="exact"/>
        <w:ind w:firstLineChars="200" w:firstLine="486"/>
      </w:pPr>
      <w:r>
        <w:rPr>
          <w:rFonts w:hint="eastAsia"/>
        </w:rPr>
        <w:t>开展供应商管理是轻资产运营企业加强供应链管控的关键环节。首先，应构建多维度评价指标模型，对合作供应商的发展历程、核心技术水平、财务健康状况、商业诚信度及运营稳定性等关键要素进行全面考察与量化评分；其次，依据评价结果筛选产品质量达标、信用资质优良、具备长期可持续合作能力的优质供应商，搭建稳定持久的战略合作伙伴关系；并通过搭建常态化沟通机制、全程参与供应商生产过程管控等举措，强化对生产进度、质量标准的全流程把控。同时，为规避单一供应商依赖可能引发的供应中断、议价能力失衡等风险，</w:t>
      </w:r>
      <w:r>
        <w:rPr>
          <w:rFonts w:hint="eastAsia"/>
        </w:rPr>
        <w:t>M</w:t>
      </w:r>
      <w:r>
        <w:rPr>
          <w:rFonts w:hint="eastAsia"/>
        </w:rPr>
        <w:t>公司应实施供应商多元化策略，拓展与多家生产加工厂商的合作渠道，通过分散供应源降低供应链波动风险。​</w:t>
      </w:r>
    </w:p>
    <w:p w14:paraId="6B4C9723" w14:textId="77777777" w:rsidR="00000000" w:rsidRDefault="00000000">
      <w:pPr>
        <w:spacing w:line="400" w:lineRule="exact"/>
        <w:ind w:firstLineChars="200" w:firstLine="486"/>
      </w:pPr>
      <w:r>
        <w:rPr>
          <w:rFonts w:hint="eastAsia"/>
        </w:rPr>
        <w:t>（二）完善事前评价与事中管控相结合的管理机制</w:t>
      </w:r>
    </w:p>
    <w:p w14:paraId="744F10C6" w14:textId="77777777" w:rsidR="00000000" w:rsidRDefault="00000000">
      <w:pPr>
        <w:spacing w:line="400" w:lineRule="exact"/>
        <w:ind w:firstLineChars="200" w:firstLine="486"/>
        <w:rPr>
          <w:rFonts w:hint="eastAsia"/>
        </w:rPr>
      </w:pPr>
      <w:r>
        <w:rPr>
          <w:rFonts w:hint="eastAsia"/>
        </w:rPr>
        <w:t>在加盟商管理维度，</w:t>
      </w:r>
      <w:r>
        <w:rPr>
          <w:rFonts w:hint="eastAsia"/>
        </w:rPr>
        <w:t>M</w:t>
      </w:r>
      <w:r>
        <w:rPr>
          <w:rFonts w:hint="eastAsia"/>
        </w:rPr>
        <w:t>公司需在合作前期，应对加盟商的盈利能力、财务状况、运营能力及市场资源等进行全面评价与预测，确保合作主体具备可持续运营基础；在合作过程中，建立常态化绩效评价体系，动态监测加盟商的经营表现。具体措施包括：一是引入专业管理人才团队，为直营店及加盟商提供营销策划、人员培训、物流配送等全流程指导，提升其标准化运营能力；二是设计科学的激励机制，通过返利、奖励等方式激发加盟商的营销积极性，实现上下游主体的协同营收增长。</w:t>
      </w:r>
    </w:p>
    <w:p w14:paraId="18436DE6" w14:textId="77777777" w:rsidR="00000000" w:rsidRDefault="00000000">
      <w:pPr>
        <w:spacing w:line="400" w:lineRule="exact"/>
        <w:ind w:firstLineChars="200" w:firstLine="486"/>
      </w:pPr>
      <w:r>
        <w:rPr>
          <w:rFonts w:hint="eastAsia"/>
        </w:rPr>
        <w:t>（三）积极推进供应链信息共享平台建设​</w:t>
      </w:r>
    </w:p>
    <w:p w14:paraId="6DDBCEAB" w14:textId="77777777" w:rsidR="00000000" w:rsidRDefault="00000000">
      <w:pPr>
        <w:spacing w:line="400" w:lineRule="exact"/>
        <w:ind w:firstLineChars="200" w:firstLine="486"/>
        <w:rPr>
          <w:rFonts w:hint="eastAsia"/>
        </w:rPr>
      </w:pPr>
      <w:r>
        <w:rPr>
          <w:rFonts w:hint="eastAsia"/>
        </w:rPr>
        <w:t>在轻资产运营模式下，</w:t>
      </w:r>
      <w:r>
        <w:rPr>
          <w:rFonts w:hint="eastAsia"/>
        </w:rPr>
        <w:t>M</w:t>
      </w:r>
      <w:r>
        <w:rPr>
          <w:rFonts w:hint="eastAsia"/>
        </w:rPr>
        <w:t>公司需加速供应链信息系统的数字化建设，搭建覆盖供应商、加盟商的一体化信息共享平台。依托该数字化平台实现库存水平、</w:t>
      </w:r>
      <w:r>
        <w:rPr>
          <w:rFonts w:hint="eastAsia"/>
        </w:rPr>
        <w:lastRenderedPageBreak/>
        <w:t>生产进度、销售数据等核心信息的实时传输与可视化管控，为企业在生产计划调整、库存优化、市场策略制定等方面提供精准的数据支撑，进而提升资金周转效率、优化供应链资源配置，最终实现营运风险的有效降低。</w:t>
      </w:r>
      <w:bookmarkStart w:id="130" w:name="_Toc12881"/>
    </w:p>
    <w:p w14:paraId="24946637" w14:textId="77777777" w:rsidR="00000000" w:rsidRDefault="00000000">
      <w:pPr>
        <w:pStyle w:val="afc"/>
        <w:numPr>
          <w:ilvl w:val="0"/>
          <w:numId w:val="42"/>
        </w:numPr>
        <w:tabs>
          <w:tab w:val="left" w:pos="0"/>
        </w:tabs>
        <w:spacing w:before="207"/>
        <w:rPr>
          <w:rFonts w:hint="eastAsia"/>
        </w:rPr>
      </w:pPr>
      <w:bookmarkStart w:id="131" w:name="_Toc3705"/>
      <w:r>
        <w:rPr>
          <w:rFonts w:hint="eastAsia"/>
        </w:rPr>
        <w:t>优化存货管理​</w:t>
      </w:r>
      <w:bookmarkEnd w:id="130"/>
      <w:bookmarkEnd w:id="131"/>
    </w:p>
    <w:p w14:paraId="6C221BA0" w14:textId="77777777" w:rsidR="00000000" w:rsidRDefault="00000000">
      <w:pPr>
        <w:spacing w:line="400" w:lineRule="exact"/>
        <w:ind w:firstLineChars="200" w:firstLine="486"/>
        <w:rPr>
          <w:rFonts w:hint="eastAsia"/>
        </w:rPr>
      </w:pPr>
      <w:r>
        <w:rPr>
          <w:rFonts w:hint="eastAsia"/>
        </w:rPr>
        <w:t>在轻资产运营模式下，</w:t>
      </w:r>
      <w:r>
        <w:rPr>
          <w:rFonts w:hint="eastAsia"/>
        </w:rPr>
        <w:t xml:space="preserve">M </w:t>
      </w:r>
      <w:r>
        <w:rPr>
          <w:rFonts w:hint="eastAsia"/>
        </w:rPr>
        <w:t>公司推行生产外包策略，进而导致其对生产环节的直接管控能力有所弱化，进而面临产品质量稳定性不足、存货周转效率偏低等突出问题，其存货周转率指标显著低于行业平均水平，这不仅大幅降低了资金使用效率，更进一步加剧了存货积压所引发的营运风险。为此，需从多维度构建系统化的存货管理优化体系，以实现存货资源的高效配置与风险防控。</w:t>
      </w:r>
    </w:p>
    <w:p w14:paraId="738ACC8C" w14:textId="77777777" w:rsidR="00000000" w:rsidRDefault="00000000">
      <w:pPr>
        <w:pStyle w:val="afd"/>
        <w:numPr>
          <w:ilvl w:val="0"/>
          <w:numId w:val="43"/>
        </w:numPr>
        <w:ind w:firstLine="486"/>
        <w:rPr>
          <w:color w:val="auto"/>
        </w:rPr>
      </w:pPr>
      <w:bookmarkStart w:id="132" w:name="OLE_LINK19"/>
      <w:r>
        <w:rPr>
          <w:rFonts w:cs="宋体"/>
          <w:color w:val="auto"/>
          <w:szCs w:val="24"/>
        </w:rPr>
        <w:t>搭建科学统一的采购验收标准与管理体系</w:t>
      </w:r>
    </w:p>
    <w:bookmarkEnd w:id="132"/>
    <w:p w14:paraId="2ED607C7" w14:textId="77777777" w:rsidR="00000000" w:rsidRDefault="00000000">
      <w:pPr>
        <w:spacing w:line="400" w:lineRule="exact"/>
        <w:ind w:firstLineChars="200" w:firstLine="486"/>
        <w:rPr>
          <w:rFonts w:hint="eastAsia"/>
        </w:rPr>
      </w:pPr>
      <w:r>
        <w:rPr>
          <w:rFonts w:hint="eastAsia"/>
        </w:rPr>
        <w:t>针对轻资产运营模式下</w:t>
      </w:r>
      <w:r>
        <w:rPr>
          <w:rFonts w:hint="eastAsia"/>
        </w:rPr>
        <w:t>M</w:t>
      </w:r>
      <w:r>
        <w:rPr>
          <w:rFonts w:hint="eastAsia"/>
        </w:rPr>
        <w:t>公司生产外包的特点，在采购验收环节，应制定涵盖质量等级、成分指标、包装规格、安全标准等核心要素的量化验收指标，通过专业检测与标准化评分机制对入库产品进行质量核验；同时，明确不合格产品的退回、返工及追责流程，从源头把控产品质量，避免因质量问题导致的存货滞销与积压。</w:t>
      </w:r>
    </w:p>
    <w:p w14:paraId="63F52CF1" w14:textId="77777777" w:rsidR="00000000" w:rsidRDefault="00000000">
      <w:pPr>
        <w:pStyle w:val="afd"/>
        <w:ind w:firstLine="486"/>
        <w:rPr>
          <w:color w:val="auto"/>
        </w:rPr>
      </w:pPr>
      <w:r>
        <w:rPr>
          <w:rFonts w:hint="eastAsia"/>
          <w:color w:val="auto"/>
        </w:rPr>
        <w:t>（二）强化对加盟商的存货管理赋能与指导</w:t>
      </w:r>
    </w:p>
    <w:p w14:paraId="4FC9F69C" w14:textId="77777777" w:rsidR="00000000" w:rsidRDefault="00000000">
      <w:pPr>
        <w:spacing w:line="400" w:lineRule="exact"/>
        <w:ind w:firstLineChars="200" w:firstLine="486"/>
        <w:rPr>
          <w:rFonts w:hint="eastAsia"/>
        </w:rPr>
      </w:pPr>
      <w:r>
        <w:rPr>
          <w:rFonts w:hint="eastAsia"/>
        </w:rPr>
        <w:t>在下游渠道存货管控维度</w:t>
      </w:r>
      <w:r>
        <w:rPr>
          <w:rFonts w:hint="eastAsia"/>
        </w:rPr>
        <w:t>,</w:t>
      </w:r>
      <w:r>
        <w:rPr>
          <w:rFonts w:hint="eastAsia"/>
        </w:rPr>
        <w:t>一方面，</w:t>
      </w:r>
      <w:r>
        <w:rPr>
          <w:rFonts w:hint="eastAsia"/>
        </w:rPr>
        <w:t>M</w:t>
      </w:r>
      <w:r>
        <w:rPr>
          <w:rFonts w:hint="eastAsia"/>
        </w:rPr>
        <w:t>公司可通过开展专项培训课程，提升加盟商的存货管理意识与专业能力；另一方面，依托数据共享机制收集并分析加盟商的库存持有量、库存结构及销售流转数据，为其提供订货量测算、库存结构优化等决策支持，帮助加盟商规避盲目采购导致的库存积压问题，实现渠道层面的存货高效周转。</w:t>
      </w:r>
    </w:p>
    <w:p w14:paraId="1206AF71" w14:textId="77777777" w:rsidR="00000000" w:rsidRDefault="00000000">
      <w:pPr>
        <w:pStyle w:val="afd"/>
        <w:ind w:firstLine="486"/>
        <w:rPr>
          <w:color w:val="auto"/>
        </w:rPr>
      </w:pPr>
      <w:r>
        <w:rPr>
          <w:rFonts w:hint="eastAsia"/>
          <w:color w:val="auto"/>
        </w:rPr>
        <w:t>（三）共建共享一体化信息化管理系统​</w:t>
      </w:r>
    </w:p>
    <w:p w14:paraId="258543B1" w14:textId="77777777" w:rsidR="00000000" w:rsidRDefault="00000000">
      <w:pPr>
        <w:spacing w:line="400" w:lineRule="exact"/>
        <w:ind w:firstLineChars="200" w:firstLine="486"/>
        <w:rPr>
          <w:rFonts w:hint="eastAsia"/>
        </w:rPr>
      </w:pPr>
      <w:bookmarkStart w:id="133" w:name="_Toc4481"/>
      <w:r>
        <w:rPr>
          <w:rFonts w:hint="eastAsia"/>
        </w:rPr>
        <w:t>在技术赋能层面，</w:t>
      </w:r>
      <w:r>
        <w:rPr>
          <w:rFonts w:hint="eastAsia"/>
        </w:rPr>
        <w:t>M</w:t>
      </w:r>
      <w:r>
        <w:rPr>
          <w:rFonts w:hint="eastAsia"/>
        </w:rPr>
        <w:t>公司应积极引入大数据、人工智能等新一代信息技术，推进一体化信息管理平台建设。该系统需实现对生产进度、供应能力、渠道库存及消费需求等多维数据的实时整合与智能分析，支撑企业对“产</w:t>
      </w:r>
      <w:r>
        <w:rPr>
          <w:rFonts w:hint="eastAsia"/>
        </w:rPr>
        <w:t>-</w:t>
      </w:r>
      <w:r>
        <w:rPr>
          <w:rFonts w:hint="eastAsia"/>
        </w:rPr>
        <w:t>供</w:t>
      </w:r>
      <w:r>
        <w:rPr>
          <w:rFonts w:hint="eastAsia"/>
        </w:rPr>
        <w:t>-</w:t>
      </w:r>
      <w:r>
        <w:rPr>
          <w:rFonts w:hint="eastAsia"/>
        </w:rPr>
        <w:t>销”全链条的协同管控。通过精准捕捉需求动态，企业可动态调整采购规模与结构，并制定科学的库存策略，从而在实现供需动态平衡的同时，有效压降存货积压，降低营运风险。</w:t>
      </w:r>
    </w:p>
    <w:p w14:paraId="04829547" w14:textId="77777777" w:rsidR="00000000" w:rsidRDefault="00000000">
      <w:pPr>
        <w:pStyle w:val="afc"/>
        <w:numPr>
          <w:ilvl w:val="0"/>
          <w:numId w:val="42"/>
        </w:numPr>
        <w:tabs>
          <w:tab w:val="left" w:pos="0"/>
        </w:tabs>
        <w:spacing w:before="207"/>
      </w:pPr>
      <w:bookmarkStart w:id="134" w:name="_Toc21478"/>
      <w:r>
        <w:rPr>
          <w:rFonts w:hint="eastAsia"/>
        </w:rPr>
        <w:t>强化应收账款管理​</w:t>
      </w:r>
      <w:bookmarkEnd w:id="133"/>
      <w:bookmarkEnd w:id="134"/>
    </w:p>
    <w:p w14:paraId="20A56C35" w14:textId="77777777" w:rsidR="00000000" w:rsidRDefault="00000000">
      <w:pPr>
        <w:spacing w:line="400" w:lineRule="exact"/>
        <w:ind w:firstLineChars="200" w:firstLine="486"/>
        <w:rPr>
          <w:rFonts w:hint="eastAsia"/>
        </w:rPr>
      </w:pPr>
      <w:r>
        <w:rPr>
          <w:rFonts w:hint="eastAsia"/>
        </w:rPr>
        <w:t xml:space="preserve">M </w:t>
      </w:r>
      <w:r>
        <w:rPr>
          <w:rFonts w:hint="eastAsia"/>
        </w:rPr>
        <w:t>公司在轻资产战略下，通过线上线下渠道融合实现销售规模的快速扩张。然而，营收增长亦带来应收账款的大幅上升。鉴于应收账款在企业流动资产中的重要地位，其管理效率将显著影响资金周转速度与现金流安全。为此，</w:t>
      </w:r>
      <w:r>
        <w:rPr>
          <w:rFonts w:hint="eastAsia"/>
        </w:rPr>
        <w:t xml:space="preserve">M </w:t>
      </w:r>
      <w:r>
        <w:rPr>
          <w:rFonts w:hint="eastAsia"/>
        </w:rPr>
        <w:lastRenderedPageBreak/>
        <w:t>公司亟需将应收账款管理提升至战略高度，以确保资金安全并提高经营效益。</w:t>
      </w:r>
    </w:p>
    <w:p w14:paraId="0534F590" w14:textId="77777777" w:rsidR="00000000" w:rsidRDefault="00000000">
      <w:pPr>
        <w:spacing w:line="400" w:lineRule="exact"/>
        <w:ind w:firstLineChars="200" w:firstLine="486"/>
      </w:pPr>
      <w:r>
        <w:rPr>
          <w:rFonts w:hint="eastAsia"/>
        </w:rPr>
        <w:t>（一）提升应收账款管理精细化水平​</w:t>
      </w:r>
    </w:p>
    <w:p w14:paraId="5BBD53A7" w14:textId="77777777" w:rsidR="00000000" w:rsidRDefault="00000000">
      <w:pPr>
        <w:spacing w:line="400" w:lineRule="exact"/>
        <w:ind w:firstLineChars="200" w:firstLine="486"/>
        <w:rPr>
          <w:rFonts w:hint="eastAsia"/>
        </w:rPr>
      </w:pPr>
      <w:r>
        <w:rPr>
          <w:rFonts w:hint="eastAsia"/>
        </w:rPr>
        <w:t>强化应收账款管理是实施轻资产运营企业的重要内容。</w:t>
      </w:r>
      <w:r>
        <w:rPr>
          <w:rFonts w:hint="eastAsia"/>
        </w:rPr>
        <w:t>M</w:t>
      </w:r>
      <w:r>
        <w:rPr>
          <w:rFonts w:hint="eastAsia"/>
        </w:rPr>
        <w:t>公司可通过技术赋能，根据企业实际需求自主研发或外购专业化应收账款管理软件，借助系统集成能力实现合同管理、发票开具、收款跟踪、智能对账及自动化催收等全流程功能的有机整合。借助该系统，企业可对客户信用画像、应收账款周转天数（</w:t>
      </w:r>
      <w:r>
        <w:rPr>
          <w:rFonts w:hint="eastAsia"/>
        </w:rPr>
        <w:t>DSO</w:t>
      </w:r>
      <w:r>
        <w:rPr>
          <w:rFonts w:hint="eastAsia"/>
        </w:rPr>
        <w:t>）及回款执行率进行颗粒度精细化的实时监控与趋势推演，进而优化营运资本配置，提升资金使用效率。建立风险预警机制，对逾期风险较高的账款及时发出预警信号，从而有效降低逾期账款比例与坏账发生率，实现资金回笼的“提速”与“保质”双重目标，增强企业现金流的造血功能与抗风险韧性。</w:t>
      </w:r>
    </w:p>
    <w:p w14:paraId="093F0C4E" w14:textId="77777777" w:rsidR="00000000" w:rsidRDefault="00000000">
      <w:pPr>
        <w:spacing w:line="400" w:lineRule="exact"/>
        <w:ind w:firstLineChars="200" w:firstLine="486"/>
      </w:pPr>
      <w:r>
        <w:rPr>
          <w:rFonts w:hint="eastAsia"/>
        </w:rPr>
        <w:t>（二）构建高效应收账款管理体系​</w:t>
      </w:r>
    </w:p>
    <w:p w14:paraId="52C7CF9F" w14:textId="77777777" w:rsidR="00000000" w:rsidRDefault="00000000">
      <w:pPr>
        <w:spacing w:line="400" w:lineRule="exact"/>
        <w:ind w:firstLineChars="200" w:firstLine="486"/>
        <w:rPr>
          <w:rFonts w:hint="eastAsia"/>
        </w:rPr>
      </w:pPr>
      <w:r>
        <w:rPr>
          <w:rFonts w:hint="eastAsia"/>
        </w:rPr>
        <w:t>M</w:t>
      </w:r>
      <w:r>
        <w:rPr>
          <w:rFonts w:hint="eastAsia"/>
        </w:rPr>
        <w:t>公司需不断优化内部协同流程，打破业务部门、财务部门与管理部门之间的信息壁垒，建立跨部门协同工作机制：业务部门负责客户信用评价与销售合同执行的前端管控，财务部门承担应收账款的核算、跟踪与催收协调工作，管理部门则负责统筹制定管理策略与考核机制。通过明确各部门权责边界、规范工作衔接流程，实现应收账款从客户准入、合同签订到回款收尾的全周期协同管理，进而提升企业整体运营绩效。</w:t>
      </w:r>
    </w:p>
    <w:p w14:paraId="5674E4F2" w14:textId="77777777" w:rsidR="00000000" w:rsidRDefault="00000000">
      <w:pPr>
        <w:pStyle w:val="afb"/>
        <w:numPr>
          <w:ilvl w:val="0"/>
          <w:numId w:val="39"/>
        </w:numPr>
        <w:tabs>
          <w:tab w:val="left" w:pos="0"/>
          <w:tab w:val="left" w:pos="2552"/>
        </w:tabs>
        <w:spacing w:before="207" w:after="207"/>
        <w:rPr>
          <w:rFonts w:hint="default"/>
        </w:rPr>
      </w:pPr>
      <w:bookmarkStart w:id="135" w:name="_Toc3853"/>
      <w:bookmarkStart w:id="136" w:name="_Toc4482"/>
      <w:r>
        <w:t>收益分配风险控制策略​</w:t>
      </w:r>
      <w:bookmarkEnd w:id="135"/>
      <w:bookmarkEnd w:id="136"/>
    </w:p>
    <w:p w14:paraId="5D7FFE1D" w14:textId="77777777" w:rsidR="00000000" w:rsidRDefault="00000000">
      <w:pPr>
        <w:pStyle w:val="afc"/>
        <w:numPr>
          <w:ilvl w:val="0"/>
          <w:numId w:val="44"/>
        </w:numPr>
        <w:tabs>
          <w:tab w:val="left" w:pos="0"/>
        </w:tabs>
        <w:spacing w:before="207"/>
      </w:pPr>
      <w:bookmarkStart w:id="137" w:name="_Toc14275"/>
      <w:bookmarkStart w:id="138" w:name="_Toc26806"/>
      <w:r>
        <w:rPr>
          <w:rFonts w:hint="eastAsia"/>
        </w:rPr>
        <w:t>完善股利分配政策​</w:t>
      </w:r>
      <w:bookmarkEnd w:id="137"/>
      <w:bookmarkEnd w:id="138"/>
    </w:p>
    <w:p w14:paraId="12449573" w14:textId="77777777" w:rsidR="00000000" w:rsidRDefault="00000000">
      <w:pPr>
        <w:spacing w:line="400" w:lineRule="exact"/>
        <w:ind w:firstLineChars="200" w:firstLine="486"/>
        <w:rPr>
          <w:rFonts w:hint="eastAsia"/>
        </w:rPr>
      </w:pPr>
      <w:r>
        <w:rPr>
          <w:rFonts w:hint="eastAsia"/>
        </w:rPr>
        <w:t>轻资产运营模式所具有的资源集中性、业务轻资产化及现金流波动性等特征，决定了</w:t>
      </w:r>
      <w:r>
        <w:rPr>
          <w:rFonts w:hint="eastAsia"/>
        </w:rPr>
        <w:t>M</w:t>
      </w:r>
      <w:r>
        <w:rPr>
          <w:rFonts w:hint="eastAsia"/>
        </w:rPr>
        <w:t>公司的股利分配政策需同时具备科学性与前瞻性，需要在股东当期回报最大化与企业长期可持续发展所需的资本积累之间，寻求动态的最优均衡点。因此，</w:t>
      </w:r>
      <w:r>
        <w:rPr>
          <w:rFonts w:hint="eastAsia"/>
        </w:rPr>
        <w:t>M</w:t>
      </w:r>
      <w:r>
        <w:rPr>
          <w:rFonts w:hint="eastAsia"/>
        </w:rPr>
        <w:t>公司应基于自身实际经营绩效、公司治理结构特征及长期发展战略目标，对未来一定时期内的资金供需状况进行精准预测与深度分析，确保股利分配方案既能充分反映企业当期经营成果，又能与未来投资扩张、研发投入等资金需求相适配，实现股东利益与企业发展的协同统一。​</w:t>
      </w:r>
    </w:p>
    <w:p w14:paraId="6C261A5E" w14:textId="77777777" w:rsidR="00000000" w:rsidRDefault="00000000">
      <w:pPr>
        <w:spacing w:line="400" w:lineRule="exact"/>
        <w:ind w:firstLineChars="200" w:firstLine="486"/>
      </w:pPr>
      <w:r>
        <w:rPr>
          <w:rFonts w:hint="eastAsia"/>
        </w:rPr>
        <w:t>（一）推行混合型股利分配政策</w:t>
      </w:r>
    </w:p>
    <w:p w14:paraId="0CCE6DD4" w14:textId="77777777" w:rsidR="00000000" w:rsidRDefault="00000000">
      <w:pPr>
        <w:spacing w:line="400" w:lineRule="exact"/>
        <w:ind w:firstLineChars="200" w:firstLine="486"/>
        <w:rPr>
          <w:rFonts w:hint="eastAsia"/>
        </w:rPr>
      </w:pPr>
      <w:r>
        <w:rPr>
          <w:rFonts w:hint="eastAsia"/>
        </w:rPr>
        <w:t>轻资产运营模式下，</w:t>
      </w:r>
      <w:r>
        <w:rPr>
          <w:rFonts w:hint="eastAsia"/>
        </w:rPr>
        <w:t>M</w:t>
      </w:r>
      <w:r>
        <w:rPr>
          <w:rFonts w:hint="eastAsia"/>
        </w:rPr>
        <w:t>公司固定股利政策与经营现金流入错配现象表现明显。鉴于</w:t>
      </w:r>
      <w:r>
        <w:rPr>
          <w:rFonts w:hint="eastAsia"/>
        </w:rPr>
        <w:t>M</w:t>
      </w:r>
      <w:r>
        <w:rPr>
          <w:rFonts w:hint="eastAsia"/>
        </w:rPr>
        <w:t>公司盈利波动的不确定性，可采取“低正常股利加额外股利”的柔性分配策略。在具体实施过程中，建议以三个会计年度为一个预算周期，结合企业当期营业收入、净利润、现金流状况等核心经营数据，运用财务预测模型对未来三年的盈利能力、现金流趋势及资金缺口进行系统性研判，据此确定稳定且可</w:t>
      </w:r>
      <w:r>
        <w:rPr>
          <w:rFonts w:hint="eastAsia"/>
        </w:rPr>
        <w:lastRenderedPageBreak/>
        <w:t>持续的低正常股利支付金额，以保障股东获得基础投资回报。同时，需制定清晰的额外股利支付标准体系，明确额外股利的触发条件（如净利润增长率达到预设阈值、现金流净额超额完成目标等）与金额核算方法，根据各年度实际经营绩效的波动情况灵活调整额外股利的分配规模，实现股利分配与经营业绩的动态匹配。</w:t>
      </w:r>
    </w:p>
    <w:p w14:paraId="66582439" w14:textId="77777777" w:rsidR="00000000" w:rsidRDefault="00000000">
      <w:pPr>
        <w:spacing w:line="400" w:lineRule="exact"/>
        <w:ind w:firstLineChars="200" w:firstLine="486"/>
      </w:pPr>
      <w:r>
        <w:rPr>
          <w:rFonts w:hint="eastAsia"/>
        </w:rPr>
        <w:t>（二）建立股利分配政策动态调整机制</w:t>
      </w:r>
    </w:p>
    <w:p w14:paraId="5E72801D" w14:textId="77777777" w:rsidR="00000000" w:rsidRDefault="00000000">
      <w:pPr>
        <w:spacing w:line="400" w:lineRule="exact"/>
        <w:ind w:firstLineChars="200" w:firstLine="486"/>
        <w:rPr>
          <w:rFonts w:hint="eastAsia"/>
        </w:rPr>
      </w:pPr>
      <w:r>
        <w:rPr>
          <w:rFonts w:hint="eastAsia"/>
        </w:rPr>
        <w:t>为有效应对轻资产运营企业可能面临的市场波动、经营风险等外部冲击，</w:t>
      </w:r>
      <w:r>
        <w:rPr>
          <w:rFonts w:hint="eastAsia"/>
        </w:rPr>
        <w:t>M</w:t>
      </w:r>
      <w:r>
        <w:rPr>
          <w:rFonts w:hint="eastAsia"/>
        </w:rPr>
        <w:t>公司管理层可通过实时监测外部环境变化对企业经营业绩、现金流稳定性的影响，及时启动股利分配方案的评价与调整程序，合理优化股利支付节奏与规模，避免因刚性股利支付导致企业资金链承压，进而夯实企业的财务韧性根基，构建起应对内外部冲击的动态防御机制。</w:t>
      </w:r>
    </w:p>
    <w:p w14:paraId="69A9B778" w14:textId="77777777" w:rsidR="00000000" w:rsidRDefault="00000000">
      <w:pPr>
        <w:pStyle w:val="afc"/>
        <w:numPr>
          <w:ilvl w:val="0"/>
          <w:numId w:val="44"/>
        </w:numPr>
        <w:tabs>
          <w:tab w:val="left" w:pos="0"/>
        </w:tabs>
        <w:spacing w:before="207"/>
      </w:pPr>
      <w:bookmarkStart w:id="139" w:name="_Toc16773"/>
      <w:bookmarkStart w:id="140" w:name="_Toc17906"/>
      <w:r>
        <w:rPr>
          <w:rFonts w:hint="eastAsia"/>
        </w:rPr>
        <w:t>丰富股利支付形式​</w:t>
      </w:r>
      <w:bookmarkEnd w:id="139"/>
      <w:bookmarkEnd w:id="140"/>
    </w:p>
    <w:p w14:paraId="2EF055C1" w14:textId="77777777" w:rsidR="00000000" w:rsidRDefault="00000000">
      <w:pPr>
        <w:spacing w:line="400" w:lineRule="exact"/>
        <w:ind w:firstLineChars="200" w:firstLine="486"/>
        <w:rPr>
          <w:rFonts w:hint="eastAsia"/>
        </w:rPr>
      </w:pPr>
      <w:r>
        <w:rPr>
          <w:rFonts w:hint="eastAsia"/>
        </w:rPr>
        <w:t>多元混合的股利支付形式对实施轻资产运营的企业同等重要。若企业单纯依赖高现金股利支付模式，虽能在短期内满足投资者的收益预期，契合部分投资者的短期利益诉求，但该模式会显著加剧企业资金流动性压力，导致留存收益积累受限，进而削弱企业用于研发投入、市场拓展及风险抵御的资金储备，进而阻碍其长期发展潜力的培育与充分释放。基于此，</w:t>
      </w:r>
      <w:r>
        <w:rPr>
          <w:rFonts w:hint="eastAsia"/>
        </w:rPr>
        <w:t>M</w:t>
      </w:r>
      <w:r>
        <w:rPr>
          <w:rFonts w:hint="eastAsia"/>
        </w:rPr>
        <w:t>公司需结合自身长期发展战略定位与当期经营实际状况，采用现金股利与股票股利并行的混合分配模式，构建多元化的股利支付策略体系。</w:t>
      </w:r>
    </w:p>
    <w:p w14:paraId="55169AD0" w14:textId="77777777" w:rsidR="00000000" w:rsidRDefault="00000000">
      <w:pPr>
        <w:spacing w:line="400" w:lineRule="exact"/>
        <w:ind w:firstLineChars="200" w:firstLine="486"/>
      </w:pPr>
      <w:r>
        <w:rPr>
          <w:rFonts w:hint="eastAsia"/>
        </w:rPr>
        <w:t>（一）混合股利支付模式的双重协同优势​</w:t>
      </w:r>
    </w:p>
    <w:p w14:paraId="5F3E0543" w14:textId="77777777" w:rsidR="00000000" w:rsidRDefault="00000000">
      <w:pPr>
        <w:spacing w:line="400" w:lineRule="exact"/>
        <w:ind w:firstLineChars="200" w:firstLine="486"/>
        <w:rPr>
          <w:rFonts w:hint="eastAsia"/>
        </w:rPr>
      </w:pPr>
      <w:r>
        <w:rPr>
          <w:rFonts w:hint="eastAsia"/>
        </w:rPr>
        <w:t>其一，通过适度降低现金股利在总股利支付中的占比，既能维持对投资者的稳定回报，保障投资者信任度，塑造企业稳健经营的市场形象，又可通过股票股利的权益性扩张效应，优化企业资本结构，提升每股净资产价值与市场估值水平；其二，通过提升股票股利比重实施“非现金化”分配，可在保障股东权益账面增值的前提下，最大化保留企业自由现金流，有效化解流动性风险并支撑可持续增长，使企业得以将更多留存资金定向配置于研发创新、品牌推广、供应链优化等轻资产运营模式下的核心业务环节，进而筑牢企业的核心竞争壁垒，提升企业在行业生态中的战略主导地位与市场议价能力。</w:t>
      </w:r>
    </w:p>
    <w:p w14:paraId="695CC42A" w14:textId="77777777" w:rsidR="00000000" w:rsidRDefault="00000000">
      <w:pPr>
        <w:tabs>
          <w:tab w:val="center" w:pos="4253"/>
        </w:tabs>
        <w:spacing w:line="400" w:lineRule="exact"/>
        <w:ind w:firstLineChars="200" w:firstLine="486"/>
      </w:pPr>
      <w:r>
        <w:rPr>
          <w:rFonts w:hint="eastAsia"/>
        </w:rPr>
        <w:t>（二）制定混合股利支付模式的考量因素</w:t>
      </w:r>
    </w:p>
    <w:p w14:paraId="26DE5D85" w14:textId="77777777" w:rsidR="00000000" w:rsidRDefault="00000000">
      <w:pPr>
        <w:spacing w:line="400" w:lineRule="exact"/>
        <w:ind w:firstLineChars="200" w:firstLine="486"/>
        <w:rPr>
          <w:rFonts w:hint="eastAsia"/>
        </w:rPr>
      </w:pPr>
      <w:r>
        <w:rPr>
          <w:rFonts w:hint="eastAsia"/>
        </w:rPr>
        <w:t>M</w:t>
      </w:r>
      <w:r>
        <w:rPr>
          <w:rFonts w:hint="eastAsia"/>
        </w:rPr>
        <w:t>公司在制定混合股利支付政策时，需以法律法规及监管要求为基本前提，构建多维度考量框架：综合评价自身财务状况（如现金流充裕度、资产负债率水平）、所处发展阶段（如成长期、成熟期）及外部市场环境（如行业竞争态</w:t>
      </w:r>
      <w:r>
        <w:rPr>
          <w:rFonts w:hint="eastAsia"/>
        </w:rPr>
        <w:lastRenderedPageBreak/>
        <w:t>势、资本市场波动）等关键因素，基于定量模型确定股利的最优结构配比，在最大化股东价值与吸引外部投资的同时，严守偿债红线并赋能可持续发展，实现短期回报与长期战略的动态最优匹配。</w:t>
      </w:r>
    </w:p>
    <w:p w14:paraId="3BB67E20" w14:textId="77777777" w:rsidR="00000000" w:rsidRDefault="00000000">
      <w:pPr>
        <w:pStyle w:val="afc"/>
        <w:numPr>
          <w:ilvl w:val="0"/>
          <w:numId w:val="44"/>
        </w:numPr>
        <w:tabs>
          <w:tab w:val="left" w:pos="0"/>
        </w:tabs>
        <w:spacing w:before="207"/>
      </w:pPr>
      <w:bookmarkStart w:id="141" w:name="_Toc3301"/>
      <w:bookmarkStart w:id="142" w:name="_Toc8387"/>
      <w:r>
        <w:rPr>
          <w:rFonts w:hint="eastAsia"/>
        </w:rPr>
        <w:t>平衡股东利益与构建风险防范机制​</w:t>
      </w:r>
      <w:bookmarkEnd w:id="141"/>
      <w:bookmarkEnd w:id="142"/>
    </w:p>
    <w:p w14:paraId="63115E0D" w14:textId="77777777" w:rsidR="00000000" w:rsidRDefault="00000000">
      <w:pPr>
        <w:spacing w:line="400" w:lineRule="exact"/>
        <w:ind w:firstLineChars="200" w:firstLine="486"/>
        <w:rPr>
          <w:rFonts w:hint="eastAsia"/>
        </w:rPr>
      </w:pPr>
      <w:r>
        <w:rPr>
          <w:rFonts w:hint="eastAsia"/>
        </w:rPr>
        <w:t>当前，实施轻资产运营的</w:t>
      </w:r>
      <w:r>
        <w:rPr>
          <w:rFonts w:hint="eastAsia"/>
        </w:rPr>
        <w:t>M</w:t>
      </w:r>
      <w:r>
        <w:rPr>
          <w:rFonts w:hint="eastAsia"/>
        </w:rPr>
        <w:t>公司的股利分配政策已显现出留存收益与股利支付的结构性失衡问题：即便在流动资金周转紧张的情况下，企业仍维持高额现金股利发放规模，这不仅加剧了现金流压力，导致资金链紧张风险攀升，这进一步加剧了收益分配环节的财务风险敞口，对企业的经营稳健性与资金链安全构成双重威胁。</w:t>
      </w:r>
    </w:p>
    <w:p w14:paraId="2C51FD0E" w14:textId="77777777" w:rsidR="00000000" w:rsidRDefault="00000000">
      <w:pPr>
        <w:spacing w:line="400" w:lineRule="exact"/>
        <w:ind w:firstLineChars="200" w:firstLine="486"/>
      </w:pPr>
      <w:r>
        <w:rPr>
          <w:rFonts w:hint="eastAsia"/>
        </w:rPr>
        <w:t>（一）建立股东长短期利益协同的动态平衡机制​</w:t>
      </w:r>
    </w:p>
    <w:p w14:paraId="6065BDE1" w14:textId="77777777" w:rsidR="00000000" w:rsidRDefault="00000000">
      <w:pPr>
        <w:spacing w:line="400" w:lineRule="exact"/>
        <w:ind w:firstLineChars="200" w:firstLine="486"/>
        <w:rPr>
          <w:rFonts w:hint="eastAsia"/>
        </w:rPr>
      </w:pPr>
      <w:r>
        <w:rPr>
          <w:rFonts w:hint="eastAsia"/>
        </w:rPr>
        <w:t>为有效解决轻资产运营模式下</w:t>
      </w:r>
      <w:r>
        <w:rPr>
          <w:rFonts w:hint="eastAsia"/>
        </w:rPr>
        <w:t>M</w:t>
      </w:r>
      <w:r>
        <w:rPr>
          <w:rFonts w:hint="eastAsia"/>
        </w:rPr>
        <w:t>公司股利分配政策显现出的留存收益与股利支付的结构性失衡问题，</w:t>
      </w:r>
      <w:r>
        <w:rPr>
          <w:rFonts w:hint="eastAsia"/>
        </w:rPr>
        <w:t>M</w:t>
      </w:r>
      <w:r>
        <w:rPr>
          <w:rFonts w:hint="eastAsia"/>
        </w:rPr>
        <w:t>公司亟需构建科学的财务风险防控体系，在保障股东获得合理投资回报的前提下，通过设定留存收益最低比例、建立现金流预警阈值等方式，确保企业留存足额资金用于研发创新、市场拓展等战略发展领域，增强企业抵御财务波动的能力。例如，在新冠肺炎疫情等突发公共卫生事件或宏观经济下行等特殊时期，可通过优化资金配置结构、下调现金股利支付比例或转向股票股利支付等策略，优化现金流配置效率，在维持企业生存能力的同时，筑牢资金链的安全防线。</w:t>
      </w:r>
    </w:p>
    <w:p w14:paraId="3A3238A1" w14:textId="77777777" w:rsidR="00000000" w:rsidRDefault="00000000">
      <w:r>
        <w:rPr>
          <w:rFonts w:hint="eastAsia"/>
        </w:rPr>
        <w:t>（二）加大优势轻资产项目投资力度</w:t>
      </w:r>
    </w:p>
    <w:p w14:paraId="33B354CD" w14:textId="77777777" w:rsidR="00000000" w:rsidRDefault="00000000">
      <w:pPr>
        <w:spacing w:line="400" w:lineRule="exact"/>
        <w:ind w:firstLineChars="200" w:firstLine="486"/>
        <w:rPr>
          <w:rFonts w:hint="eastAsia"/>
        </w:rPr>
        <w:sectPr w:rsidR="00000000">
          <w:headerReference w:type="even" r:id="rId53"/>
          <w:headerReference w:type="default" r:id="rId54"/>
          <w:footnotePr>
            <w:numRestart w:val="eachPage"/>
          </w:footnotePr>
          <w:pgSz w:w="11909" w:h="16834"/>
          <w:pgMar w:top="1701" w:right="1701" w:bottom="1418" w:left="1701" w:header="1304" w:footer="1021" w:gutter="0"/>
          <w:cols w:space="720"/>
          <w:docGrid w:type="linesAndChars" w:linePitch="415" w:charSpace="614"/>
        </w:sectPr>
      </w:pPr>
      <w:r>
        <w:rPr>
          <w:rFonts w:hint="eastAsia"/>
        </w:rPr>
        <w:t>在轻资产运营模式下，</w:t>
      </w:r>
      <w:r>
        <w:rPr>
          <w:rFonts w:hint="eastAsia"/>
        </w:rPr>
        <w:t>M</w:t>
      </w:r>
      <w:r>
        <w:rPr>
          <w:rFonts w:hint="eastAsia"/>
        </w:rPr>
        <w:t>公司需充分发挥企业在品牌溢价、行业运营经验及资源整合能力等方面的核心优势，加大对具有高成长性、高附加值的轻资产项目（如数字营销平台建设、研发设计能力升级等）的投资力度。通过提升此类战略项目的投资回报率，增强企业未来盈利预期与市场估值水平，既满足股东对长期投资增值的需求，又为企业持续发展注入动力，最终实现股东利益与企业战略目标的协同共进。</w:t>
      </w:r>
    </w:p>
    <w:p w14:paraId="01C90DED" w14:textId="77777777" w:rsidR="00000000" w:rsidRDefault="00000000">
      <w:pPr>
        <w:pStyle w:val="afa"/>
        <w:numPr>
          <w:ilvl w:val="0"/>
          <w:numId w:val="0"/>
        </w:numPr>
        <w:spacing w:before="415" w:after="207"/>
        <w:ind w:left="402"/>
        <w:rPr>
          <w:rFonts w:hint="default"/>
        </w:rPr>
      </w:pPr>
      <w:bookmarkStart w:id="143" w:name="_Toc18054"/>
      <w:bookmarkStart w:id="144" w:name="_Toc13551"/>
      <w:r>
        <w:lastRenderedPageBreak/>
        <w:t>第七章</w:t>
      </w:r>
      <w:r>
        <w:t xml:space="preserve"> </w:t>
      </w:r>
      <w:r>
        <w:t>结论与展望</w:t>
      </w:r>
      <w:bookmarkEnd w:id="143"/>
      <w:bookmarkEnd w:id="144"/>
    </w:p>
    <w:p w14:paraId="1927DB39" w14:textId="77777777" w:rsidR="00000000" w:rsidRDefault="00000000">
      <w:pPr>
        <w:pStyle w:val="afb"/>
        <w:numPr>
          <w:ilvl w:val="0"/>
          <w:numId w:val="45"/>
        </w:numPr>
        <w:tabs>
          <w:tab w:val="left" w:pos="0"/>
        </w:tabs>
        <w:spacing w:before="207" w:after="207"/>
        <w:rPr>
          <w:rFonts w:hint="default"/>
        </w:rPr>
      </w:pPr>
      <w:bookmarkStart w:id="145" w:name="_Toc12010"/>
      <w:bookmarkStart w:id="146" w:name="_Toc11366"/>
      <w:r>
        <w:t>研究结论</w:t>
      </w:r>
      <w:bookmarkEnd w:id="145"/>
      <w:bookmarkEnd w:id="146"/>
    </w:p>
    <w:p w14:paraId="2911CDF0" w14:textId="77777777" w:rsidR="00000000" w:rsidRDefault="00000000">
      <w:pPr>
        <w:spacing w:line="400" w:lineRule="exact"/>
        <w:ind w:firstLineChars="200" w:firstLine="486"/>
        <w:rPr>
          <w:rFonts w:hint="eastAsia"/>
        </w:rPr>
      </w:pPr>
      <w:r>
        <w:rPr>
          <w:rFonts w:hint="eastAsia"/>
        </w:rPr>
        <w:t>本文</w:t>
      </w:r>
      <w:r>
        <w:rPr>
          <w:rFonts w:hint="eastAsia"/>
        </w:rPr>
        <w:t xml:space="preserve"> </w:t>
      </w:r>
      <w:r>
        <w:rPr>
          <w:rFonts w:hint="eastAsia"/>
        </w:rPr>
        <w:t>在系统梳理国内外轻资产运营与财务风险管理相关研究文献的基础上，以国内知名服装企业</w:t>
      </w:r>
      <w:r>
        <w:rPr>
          <w:rFonts w:hint="eastAsia"/>
        </w:rPr>
        <w:t>M</w:t>
      </w:r>
      <w:r>
        <w:rPr>
          <w:rFonts w:hint="eastAsia"/>
        </w:rPr>
        <w:t>公司为研究对象，采用案例分析方法，围绕</w:t>
      </w:r>
      <w:r>
        <w:rPr>
          <w:rFonts w:hint="eastAsia"/>
        </w:rPr>
        <w:t>M</w:t>
      </w:r>
      <w:r>
        <w:rPr>
          <w:rFonts w:hint="eastAsia"/>
        </w:rPr>
        <w:t>公司轻资产运营模式下的财务风险管理问题，以劳动分工理论、微笑曲线理论和全面风险管理理论为支撑开展系统研究。研究通过财务比率分析法识别了企业财务风险，运用熵权</w:t>
      </w:r>
      <w:r>
        <w:rPr>
          <w:rFonts w:hint="eastAsia"/>
        </w:rPr>
        <w:t>-TOPSIS</w:t>
      </w:r>
      <w:r>
        <w:rPr>
          <w:rFonts w:hint="eastAsia"/>
        </w:rPr>
        <w:t>法构建了多维度评价体系量化风险水平，并据此提出针对性防范策略，主要研究结论如下：​</w:t>
      </w:r>
    </w:p>
    <w:p w14:paraId="2B162B75" w14:textId="77777777" w:rsidR="00000000" w:rsidRDefault="00000000">
      <w:pPr>
        <w:spacing w:line="400" w:lineRule="exact"/>
        <w:ind w:firstLineChars="200" w:firstLine="486"/>
        <w:rPr>
          <w:rFonts w:hint="eastAsia"/>
        </w:rPr>
      </w:pPr>
      <w:r>
        <w:rPr>
          <w:rFonts w:hint="eastAsia"/>
        </w:rPr>
        <w:t>首先，</w:t>
      </w:r>
      <w:r>
        <w:rPr>
          <w:rFonts w:hint="eastAsia"/>
        </w:rPr>
        <w:t>M</w:t>
      </w:r>
      <w:r>
        <w:rPr>
          <w:rFonts w:hint="eastAsia"/>
        </w:rPr>
        <w:t>公司在轻资产运营模式下所面临的财务风险，具备多维度且复合型的显著特征。在筹资风险方面，受固定资产规模有限的制约，企业融资渠道集中于短期借款，单一化债务结构导致短期偿债压力突出，流动性风险显著；在投资风险层面，因缺乏科学决策机制，资金配置效率低下，投资收益率持续下滑，制约企业盈利能力与成长性；在营运风险领域，外包模式带来的供应链复杂度提升及跨组织协同不足，引发库存管理失效与存货积压问题，严重影响资金周转效率；在收益分配风险上，固定股利支付政策与经营盈余动态变化不匹配，既限制留存收益积累，也存在股东预期管理失当隐患。​</w:t>
      </w:r>
    </w:p>
    <w:p w14:paraId="0C8DF4FC" w14:textId="77777777" w:rsidR="00000000" w:rsidRDefault="00000000">
      <w:pPr>
        <w:spacing w:line="400" w:lineRule="exact"/>
        <w:ind w:firstLineChars="200" w:firstLine="486"/>
        <w:rPr>
          <w:rFonts w:hint="eastAsia"/>
        </w:rPr>
      </w:pPr>
      <w:r>
        <w:rPr>
          <w:rFonts w:hint="eastAsia"/>
        </w:rPr>
        <w:t>其次，</w:t>
      </w:r>
      <w:r>
        <w:rPr>
          <w:rFonts w:hint="eastAsia"/>
        </w:rPr>
        <w:t>M</w:t>
      </w:r>
      <w:r>
        <w:rPr>
          <w:rFonts w:hint="eastAsia"/>
        </w:rPr>
        <w:t>公司</w:t>
      </w:r>
      <w:r>
        <w:rPr>
          <w:rFonts w:hint="eastAsia"/>
        </w:rPr>
        <w:t>2020-2024</w:t>
      </w:r>
      <w:r>
        <w:rPr>
          <w:rFonts w:hint="eastAsia"/>
        </w:rPr>
        <w:t>年综合财务风险水平呈动态波动态势，</w:t>
      </w:r>
      <w:r>
        <w:rPr>
          <w:rFonts w:hint="eastAsia"/>
        </w:rPr>
        <w:t>2022</w:t>
      </w:r>
      <w:r>
        <w:rPr>
          <w:rFonts w:hint="eastAsia"/>
        </w:rPr>
        <w:t>年达到风险峰值。基于熵权</w:t>
      </w:r>
      <w:r>
        <w:rPr>
          <w:rFonts w:hint="eastAsia"/>
        </w:rPr>
        <w:t>-TOPSIS</w:t>
      </w:r>
      <w:r>
        <w:rPr>
          <w:rFonts w:hint="eastAsia"/>
        </w:rPr>
        <w:t>法的量化评价及敏感性分析表明，筹资风险与投资风险是驱动企业综合财务风险变化的核心因素，二者对风险总水平的贡献度显著高于营运风险与收益分配风险，成为</w:t>
      </w:r>
      <w:r>
        <w:rPr>
          <w:rFonts w:hint="eastAsia"/>
        </w:rPr>
        <w:t>M</w:t>
      </w:r>
      <w:r>
        <w:rPr>
          <w:rFonts w:hint="eastAsia"/>
        </w:rPr>
        <w:t>公司财务风险管理的重点领域。​</w:t>
      </w:r>
    </w:p>
    <w:p w14:paraId="3CFC13FB" w14:textId="77777777" w:rsidR="00000000" w:rsidRDefault="00000000">
      <w:pPr>
        <w:spacing w:line="400" w:lineRule="exact"/>
        <w:ind w:firstLineChars="200" w:firstLine="486"/>
        <w:rPr>
          <w:rFonts w:hint="eastAsia"/>
        </w:rPr>
      </w:pPr>
      <w:r>
        <w:rPr>
          <w:rFonts w:hint="eastAsia"/>
        </w:rPr>
        <w:t>最后，由以上研究可以得出，服装行业中采用轻资产模式（如生产外包、聚焦品牌与渠道）的企业，易面临多维度复合型财务风险，因此轻资产服装企业需构建多维度、全链条的风险防范体系。在筹资端，应主动拓宽融资渠道（如引入股权融资、供应链财务等），优化债务期限与类型结构，降低对短期借款的依赖，缓解流动性压力。在投资端，需强化研发与核心能力投入，建立从项目论证、执行到复盘的全流程决策与管控机制，提升资金使用效率与投资回报率。在营运端，应重点完善供应链跨组织协同机制，借助数字化工具精准管控库存与应收账款，提升供应链韧性与资金周转效率。在收益分配端，应积极推行与经营盈余动态匹配的多元化股利政策，平衡股东回报与企业自身风险储备及长期发展需求。</w:t>
      </w:r>
    </w:p>
    <w:p w14:paraId="2D975302" w14:textId="77777777" w:rsidR="00000000" w:rsidRDefault="00000000">
      <w:pPr>
        <w:spacing w:line="400" w:lineRule="exact"/>
        <w:ind w:firstLineChars="200" w:firstLine="486"/>
      </w:pPr>
      <w:bookmarkStart w:id="147" w:name="_Toc3326"/>
      <w:r>
        <w:rPr>
          <w:rFonts w:hint="eastAsia"/>
        </w:rPr>
        <w:t>综上，本文揭示了轻资产模式下服装企业财务风险的形成与演变特征。所提</w:t>
      </w:r>
      <w:r>
        <w:rPr>
          <w:rFonts w:hint="eastAsia"/>
        </w:rPr>
        <w:lastRenderedPageBreak/>
        <w:t>策略不仅有助于</w:t>
      </w:r>
      <w:r>
        <w:rPr>
          <w:rFonts w:hint="eastAsia"/>
        </w:rPr>
        <w:t>M</w:t>
      </w:r>
      <w:r>
        <w:rPr>
          <w:rFonts w:hint="eastAsia"/>
        </w:rPr>
        <w:t>公司优化财务决策、提升风险抵御水平，也为同类轻资产运营企业的财务风险管理提供了可资借鉴的经验。</w:t>
      </w:r>
    </w:p>
    <w:p w14:paraId="215850DD" w14:textId="77777777" w:rsidR="00000000" w:rsidRDefault="00000000">
      <w:pPr>
        <w:pStyle w:val="afb"/>
        <w:numPr>
          <w:ilvl w:val="0"/>
          <w:numId w:val="45"/>
        </w:numPr>
        <w:tabs>
          <w:tab w:val="left" w:pos="0"/>
        </w:tabs>
        <w:spacing w:before="207" w:after="207"/>
        <w:rPr>
          <w:rFonts w:hint="default"/>
        </w:rPr>
      </w:pPr>
      <w:bookmarkStart w:id="148" w:name="_Toc13273"/>
      <w:r>
        <w:t>研究不足与展望</w:t>
      </w:r>
      <w:bookmarkEnd w:id="147"/>
      <w:bookmarkEnd w:id="148"/>
    </w:p>
    <w:p w14:paraId="5422FFA8" w14:textId="77777777" w:rsidR="00000000" w:rsidRDefault="00000000">
      <w:pPr>
        <w:spacing w:line="400" w:lineRule="exact"/>
        <w:ind w:firstLineChars="200" w:firstLine="486"/>
        <w:rPr>
          <w:rFonts w:hint="eastAsia"/>
        </w:rPr>
      </w:pPr>
      <w:r>
        <w:rPr>
          <w:rFonts w:hint="eastAsia"/>
        </w:rPr>
        <w:t>本研究旨在通过识别、评价并防范</w:t>
      </w:r>
      <w:r>
        <w:rPr>
          <w:rFonts w:hint="eastAsia"/>
        </w:rPr>
        <w:t>M</w:t>
      </w:r>
      <w:r>
        <w:rPr>
          <w:rFonts w:hint="eastAsia"/>
        </w:rPr>
        <w:t>公司轻资产运营模式下的财务风险，构建系统化的风控框架，从而为服装行业同类企业提供理论参照与实践范本。然而，受限于本人学识水平、数据可获得性及研究方法应用深度等因素，研究仍存在改进空间，主要表现在以下三个方面：首先，本研究数据主要取自</w:t>
      </w:r>
      <w:r>
        <w:rPr>
          <w:rFonts w:hint="eastAsia"/>
        </w:rPr>
        <w:t>M</w:t>
      </w:r>
      <w:r>
        <w:rPr>
          <w:rFonts w:hint="eastAsia"/>
        </w:rPr>
        <w:t>公司官网及第三方财经数据库。由于各数据源在财务指标核算方法与统计口径上的偏差，可能对数据的可比性与完整性造成干扰，进而对财务风险识别与评价结论的准确性和普适性产生制约。其次，本研究虽在财务风险识别中引入了行业均值进行对比，但由于仅以</w:t>
      </w:r>
      <w:r>
        <w:rPr>
          <w:rFonts w:hint="eastAsia"/>
        </w:rPr>
        <w:t>M</w:t>
      </w:r>
      <w:r>
        <w:rPr>
          <w:rFonts w:hint="eastAsia"/>
        </w:rPr>
        <w:t>公司为研究样本，其结论在反映轻资产运营模式于服装行业内财务风险形成机制的普遍性规律与差异化影响方面仍存在一定局限。</w:t>
      </w:r>
      <w:r>
        <w:rPr>
          <w:rFonts w:hint="eastAsia"/>
        </w:rPr>
        <w:t xml:space="preserve"> </w:t>
      </w:r>
      <w:r>
        <w:rPr>
          <w:rFonts w:hint="eastAsia"/>
        </w:rPr>
        <w:t>最后，受制于指标选取数量与维度的局限，本文构建的财务风险评价体系未能全面涵盖企业全经营流程与全生命周期的风险要素。因此，基于此体系提出的风险防控策略在不同企业间的适配性存在差异，难以提炼出具有普遍推广意义的实践范式。</w:t>
      </w:r>
    </w:p>
    <w:p w14:paraId="5DB6B3E9" w14:textId="77777777" w:rsidR="00000000" w:rsidRDefault="00000000">
      <w:pPr>
        <w:spacing w:line="400" w:lineRule="exact"/>
        <w:ind w:firstLineChars="200" w:firstLine="486"/>
        <w:rPr>
          <w:rFonts w:hint="eastAsia"/>
        </w:rPr>
      </w:pPr>
      <w:r>
        <w:rPr>
          <w:rFonts w:hint="eastAsia"/>
        </w:rPr>
        <w:t>随着市场环境的动态演变，轻资产运营模式虽能在企业运营初期快速实现经济效益的增长，但从长期发展视角来看，其可持续性仍存在不确定性。所以，企业在轻资产经营过程中，需要加强整个流程的财务风险管理。目前，关于轻资产企业财务风险的研究相对有限，缺乏针对服装行业的深度案例分析。</w:t>
      </w:r>
      <w:bookmarkStart w:id="149" w:name="_Toc402713136"/>
      <w:bookmarkStart w:id="150" w:name="_Toc11633"/>
      <w:bookmarkStart w:id="151" w:name="_Toc402448594"/>
      <w:r>
        <w:rPr>
          <w:rFonts w:hint="eastAsia"/>
        </w:rPr>
        <w:t>未来研究应加强对轻资产运营模式的深入探讨，借助多案例的纵向与横向对比，结合行业标准与企业内部数据，构建融合财务与非财务指标的科学评价模型。尤其针对处于财务困境轻资产企业，该研究路径有望显著提升财务风险量化评价的准确性与实务参考价值。</w:t>
      </w:r>
    </w:p>
    <w:p w14:paraId="4520D05B" w14:textId="77777777" w:rsidR="00000000" w:rsidRDefault="00000000">
      <w:pPr>
        <w:pStyle w:val="afe"/>
        <w:spacing w:before="415" w:after="207"/>
        <w:ind w:firstLineChars="0" w:firstLine="0"/>
        <w:rPr>
          <w:rFonts w:ascii="Segoe UI" w:eastAsia="Segoe UI" w:hAnsi="Segoe UI" w:cs="Segoe UI" w:hint="eastAsia"/>
          <w:sz w:val="19"/>
          <w:szCs w:val="19"/>
        </w:rPr>
      </w:pPr>
    </w:p>
    <w:p w14:paraId="16E5FD51" w14:textId="77777777" w:rsidR="00000000" w:rsidRDefault="00000000">
      <w:pPr>
        <w:pStyle w:val="afe"/>
        <w:spacing w:before="415" w:after="207"/>
        <w:ind w:firstLineChars="0" w:firstLine="0"/>
        <w:rPr>
          <w:rFonts w:ascii="Segoe UI" w:eastAsia="Segoe UI" w:hAnsi="Segoe UI" w:cs="Segoe UI" w:hint="eastAsia"/>
          <w:sz w:val="19"/>
          <w:szCs w:val="19"/>
        </w:rPr>
      </w:pPr>
    </w:p>
    <w:p w14:paraId="1033C021" w14:textId="77777777" w:rsidR="00000000" w:rsidRDefault="00000000">
      <w:pPr>
        <w:pStyle w:val="afe"/>
        <w:spacing w:before="415" w:after="207"/>
        <w:ind w:firstLineChars="0" w:firstLine="0"/>
        <w:rPr>
          <w:rFonts w:ascii="Segoe UI" w:eastAsia="Segoe UI" w:hAnsi="Segoe UI" w:cs="Segoe UI" w:hint="eastAsia"/>
          <w:sz w:val="19"/>
          <w:szCs w:val="19"/>
        </w:rPr>
      </w:pPr>
    </w:p>
    <w:p w14:paraId="2C5E7234" w14:textId="77777777" w:rsidR="00000000" w:rsidRDefault="00000000">
      <w:pPr>
        <w:pStyle w:val="afa"/>
        <w:numPr>
          <w:ilvl w:val="0"/>
          <w:numId w:val="0"/>
        </w:numPr>
        <w:spacing w:before="415" w:after="207"/>
        <w:sectPr w:rsidR="00000000">
          <w:headerReference w:type="even" r:id="rId55"/>
          <w:headerReference w:type="default" r:id="rId56"/>
          <w:footnotePr>
            <w:numRestart w:val="eachPage"/>
          </w:footnotePr>
          <w:pgSz w:w="11909" w:h="16834"/>
          <w:pgMar w:top="1701" w:right="1701" w:bottom="1418" w:left="1701" w:header="1304" w:footer="1021" w:gutter="0"/>
          <w:cols w:space="720"/>
          <w:docGrid w:type="linesAndChars" w:linePitch="415" w:charSpace="614"/>
        </w:sectPr>
      </w:pPr>
    </w:p>
    <w:p w14:paraId="3E5001EB" w14:textId="77777777" w:rsidR="00000000" w:rsidRDefault="00000000">
      <w:pPr>
        <w:pStyle w:val="afa"/>
        <w:numPr>
          <w:ilvl w:val="0"/>
          <w:numId w:val="0"/>
        </w:numPr>
        <w:spacing w:before="415" w:after="207"/>
        <w:ind w:left="402" w:firstLineChars="1000" w:firstLine="3242"/>
        <w:jc w:val="both"/>
      </w:pPr>
      <w:bookmarkStart w:id="152" w:name="_Toc12521"/>
      <w:r>
        <w:lastRenderedPageBreak/>
        <w:t>参考文献</w:t>
      </w:r>
      <w:bookmarkEnd w:id="149"/>
      <w:bookmarkEnd w:id="150"/>
      <w:bookmarkEnd w:id="151"/>
      <w:bookmarkEnd w:id="152"/>
    </w:p>
    <w:p w14:paraId="1E6663B9" w14:textId="77777777" w:rsidR="00000000" w:rsidRDefault="00000000">
      <w:pPr>
        <w:pStyle w:val="aff"/>
        <w:numPr>
          <w:ilvl w:val="0"/>
          <w:numId w:val="46"/>
        </w:numPr>
        <w:tabs>
          <w:tab w:val="left" w:pos="397"/>
        </w:tabs>
      </w:pPr>
      <w:r>
        <w:t>Wernerfelt</w:t>
      </w:r>
      <w:r>
        <w:rPr>
          <w:rFonts w:hint="eastAsia"/>
        </w:rPr>
        <w:t xml:space="preserve"> </w:t>
      </w:r>
      <w:r>
        <w:t>B.A Resource-Based View of the Firm</w:t>
      </w:r>
      <w:r>
        <w:rPr>
          <w:rFonts w:hint="eastAsia"/>
        </w:rPr>
        <w:t>[J]</w:t>
      </w:r>
      <w:r>
        <w:t>. Strategic Management Journal,1984</w:t>
      </w:r>
      <w:r>
        <w:rPr>
          <w:rFonts w:hint="eastAsia"/>
        </w:rPr>
        <w:t>(</w:t>
      </w:r>
      <w:r>
        <w:t>5</w:t>
      </w:r>
      <w:r>
        <w:rPr>
          <w:rFonts w:hint="eastAsia"/>
        </w:rPr>
        <w:t>):</w:t>
      </w:r>
      <w:r>
        <w:t>112-113.</w:t>
      </w:r>
    </w:p>
    <w:p w14:paraId="590C7165" w14:textId="77777777" w:rsidR="00000000" w:rsidRDefault="00000000">
      <w:pPr>
        <w:pStyle w:val="aff"/>
        <w:numPr>
          <w:ilvl w:val="0"/>
          <w:numId w:val="46"/>
        </w:numPr>
        <w:tabs>
          <w:tab w:val="left" w:pos="397"/>
        </w:tabs>
      </w:pPr>
      <w:r>
        <w:t>Barney</w:t>
      </w:r>
      <w:r>
        <w:rPr>
          <w:rFonts w:hint="eastAsia"/>
        </w:rPr>
        <w:t xml:space="preserve"> </w:t>
      </w:r>
      <w:r>
        <w:t>J.Firm Resources and Sustained Competitive Advantage</w:t>
      </w:r>
      <w:r>
        <w:rPr>
          <w:rFonts w:hint="eastAsia"/>
        </w:rPr>
        <w:t>[J]</w:t>
      </w:r>
      <w:r>
        <w:t>. Journal of</w:t>
      </w:r>
      <w:r>
        <w:rPr>
          <w:rFonts w:hint="eastAsia"/>
        </w:rPr>
        <w:t xml:space="preserve"> </w:t>
      </w:r>
      <w:r>
        <w:t>Management,1991</w:t>
      </w:r>
      <w:r>
        <w:rPr>
          <w:rFonts w:hint="eastAsia"/>
        </w:rPr>
        <w:t>,</w:t>
      </w:r>
      <w:r>
        <w:t>17(1)</w:t>
      </w:r>
      <w:r>
        <w:rPr>
          <w:rFonts w:hint="eastAsia"/>
        </w:rPr>
        <w:t>:</w:t>
      </w:r>
      <w:r>
        <w:t>99-120.</w:t>
      </w:r>
    </w:p>
    <w:p w14:paraId="4D670A94" w14:textId="77777777" w:rsidR="00000000" w:rsidRDefault="00000000">
      <w:pPr>
        <w:pStyle w:val="aff"/>
        <w:numPr>
          <w:ilvl w:val="0"/>
          <w:numId w:val="46"/>
        </w:numPr>
        <w:tabs>
          <w:tab w:val="left" w:pos="397"/>
        </w:tabs>
      </w:pPr>
      <w:r>
        <w:t>Maly</w:t>
      </w:r>
      <w:r>
        <w:rPr>
          <w:rFonts w:hint="eastAsia"/>
        </w:rPr>
        <w:t xml:space="preserve"> </w:t>
      </w:r>
      <w:r>
        <w:t>J</w:t>
      </w:r>
      <w:r>
        <w:rPr>
          <w:rFonts w:hint="eastAsia"/>
        </w:rPr>
        <w:t>.</w:t>
      </w:r>
      <w:r>
        <w:t>Palter</w:t>
      </w:r>
      <w:r>
        <w:rPr>
          <w:rFonts w:hint="eastAsia"/>
        </w:rPr>
        <w:t xml:space="preserve"> </w:t>
      </w:r>
      <w:r>
        <w:t>R</w:t>
      </w:r>
      <w:r>
        <w:rPr>
          <w:rFonts w:hint="eastAsia"/>
        </w:rPr>
        <w:t xml:space="preserve"> </w:t>
      </w:r>
      <w:r>
        <w:t>N.Restating the Value of Capital Light</w:t>
      </w:r>
      <w:r>
        <w:rPr>
          <w:rFonts w:hint="eastAsia"/>
        </w:rPr>
        <w:t>[J]</w:t>
      </w:r>
      <w:r>
        <w:t>. McKinsey on Finance,2002</w:t>
      </w:r>
      <w:r>
        <w:rPr>
          <w:rFonts w:hint="eastAsia"/>
        </w:rPr>
        <w:t>(</w:t>
      </w:r>
      <w:r>
        <w:t>5</w:t>
      </w:r>
      <w:r>
        <w:rPr>
          <w:rFonts w:hint="eastAsia"/>
        </w:rPr>
        <w:t>):</w:t>
      </w:r>
      <w:r>
        <w:t>1-5</w:t>
      </w:r>
      <w:r>
        <w:rPr>
          <w:rFonts w:hint="eastAsia"/>
        </w:rPr>
        <w:t>.</w:t>
      </w:r>
    </w:p>
    <w:p w14:paraId="050DB645" w14:textId="77777777" w:rsidR="00000000" w:rsidRDefault="00000000">
      <w:pPr>
        <w:pStyle w:val="aff"/>
        <w:numPr>
          <w:ilvl w:val="0"/>
          <w:numId w:val="46"/>
        </w:numPr>
        <w:tabs>
          <w:tab w:val="left" w:pos="397"/>
        </w:tabs>
      </w:pPr>
      <w:r>
        <w:t>Liou</w:t>
      </w:r>
      <w:r>
        <w:rPr>
          <w:rFonts w:hint="eastAsia"/>
        </w:rPr>
        <w:t xml:space="preserve"> </w:t>
      </w:r>
      <w:r>
        <w:t>F</w:t>
      </w:r>
      <w:r>
        <w:rPr>
          <w:rFonts w:hint="eastAsia"/>
        </w:rPr>
        <w:t xml:space="preserve"> </w:t>
      </w:r>
      <w:r>
        <w:t>M.The Effects of Asset-Light Strategy on Competitive Advantage in the Telephone Communications Industry</w:t>
      </w:r>
      <w:r>
        <w:rPr>
          <w:rFonts w:hint="eastAsia"/>
        </w:rPr>
        <w:t>[J]</w:t>
      </w:r>
      <w:r>
        <w:t>. Technology Analysis&amp;Strategic Management,2011</w:t>
      </w:r>
      <w:r>
        <w:rPr>
          <w:rFonts w:hint="eastAsia"/>
        </w:rPr>
        <w:t>,</w:t>
      </w:r>
      <w:r>
        <w:t>23(9)</w:t>
      </w:r>
      <w:r>
        <w:rPr>
          <w:rFonts w:hint="eastAsia"/>
        </w:rPr>
        <w:t>:</w:t>
      </w:r>
      <w:r>
        <w:t>951-967.</w:t>
      </w:r>
    </w:p>
    <w:p w14:paraId="7A163B1F" w14:textId="77777777" w:rsidR="00000000" w:rsidRDefault="00000000">
      <w:pPr>
        <w:pStyle w:val="aff"/>
        <w:numPr>
          <w:ilvl w:val="0"/>
          <w:numId w:val="46"/>
        </w:numPr>
        <w:tabs>
          <w:tab w:val="left" w:pos="397"/>
        </w:tabs>
      </w:pPr>
      <w:r>
        <w:t>王吉万</w:t>
      </w:r>
      <w:r>
        <w:t>.</w:t>
      </w:r>
      <w:r>
        <w:t>在危机中迎接</w:t>
      </w:r>
      <w:r>
        <w:t>“</w:t>
      </w:r>
      <w:r>
        <w:t>轻资产</w:t>
      </w:r>
      <w:r>
        <w:t>”</w:t>
      </w:r>
      <w:r>
        <w:t>时代到来</w:t>
      </w:r>
      <w:r>
        <w:t>[J].</w:t>
      </w:r>
      <w:r>
        <w:t>企业管理</w:t>
      </w:r>
      <w:r>
        <w:t>,2008(11):65-66.</w:t>
      </w:r>
    </w:p>
    <w:p w14:paraId="41E70E18" w14:textId="77777777" w:rsidR="00000000" w:rsidRDefault="00000000">
      <w:pPr>
        <w:pStyle w:val="aff"/>
        <w:numPr>
          <w:ilvl w:val="0"/>
          <w:numId w:val="46"/>
        </w:numPr>
        <w:tabs>
          <w:tab w:val="left" w:pos="397"/>
        </w:tabs>
      </w:pPr>
      <w:r>
        <w:t>朱伟民</w:t>
      </w:r>
      <w:r>
        <w:t>,</w:t>
      </w:r>
      <w:r>
        <w:t>赵梅</w:t>
      </w:r>
      <w:r>
        <w:t>,</w:t>
      </w:r>
      <w:r>
        <w:t>吴淑琼</w:t>
      </w:r>
      <w:r>
        <w:t>.</w:t>
      </w:r>
      <w:r>
        <w:t>轻资产服装企业盈利能力研究</w:t>
      </w:r>
      <w:r>
        <w:t>[J].</w:t>
      </w:r>
      <w:r>
        <w:t>财会通讯</w:t>
      </w:r>
      <w:r>
        <w:t>,2018(23):74-78.</w:t>
      </w:r>
    </w:p>
    <w:p w14:paraId="5814960B" w14:textId="77777777" w:rsidR="00000000" w:rsidRDefault="00000000">
      <w:pPr>
        <w:pStyle w:val="aff"/>
        <w:numPr>
          <w:ilvl w:val="0"/>
          <w:numId w:val="46"/>
        </w:numPr>
        <w:tabs>
          <w:tab w:val="left" w:pos="397"/>
        </w:tabs>
      </w:pPr>
      <w:r>
        <w:t>邵建军</w:t>
      </w:r>
      <w:r>
        <w:t>,</w:t>
      </w:r>
      <w:r>
        <w:t>张世焦</w:t>
      </w:r>
      <w:r>
        <w:t>.</w:t>
      </w:r>
      <w:r>
        <w:t>轻资产运营企业会倾向于内源性融资吗</w:t>
      </w:r>
      <w:r>
        <w:t>?[J].</w:t>
      </w:r>
      <w:r>
        <w:t>财会通讯</w:t>
      </w:r>
      <w:r>
        <w:t>,2019(24): 101-104.</w:t>
      </w:r>
    </w:p>
    <w:p w14:paraId="28CD1058" w14:textId="77777777" w:rsidR="00000000" w:rsidRDefault="00000000">
      <w:pPr>
        <w:pStyle w:val="aff"/>
        <w:numPr>
          <w:ilvl w:val="0"/>
          <w:numId w:val="46"/>
        </w:numPr>
        <w:tabs>
          <w:tab w:val="left" w:pos="397"/>
        </w:tabs>
      </w:pPr>
      <w:r>
        <w:t>田宇润</w:t>
      </w:r>
      <w:r>
        <w:t>.</w:t>
      </w:r>
      <w:r>
        <w:t>经济转型背景下轻资产运营对商贸企业绩效的影响研究</w:t>
      </w:r>
      <w:r>
        <w:t>[J].</w:t>
      </w:r>
      <w:r>
        <w:t>商业经济研究</w:t>
      </w:r>
      <w:r>
        <w:t>, 2021(21):119-122.</w:t>
      </w:r>
    </w:p>
    <w:p w14:paraId="5DF8CC78" w14:textId="77777777" w:rsidR="00000000" w:rsidRDefault="00000000">
      <w:pPr>
        <w:pStyle w:val="aff"/>
        <w:numPr>
          <w:ilvl w:val="0"/>
          <w:numId w:val="46"/>
        </w:numPr>
        <w:tabs>
          <w:tab w:val="left" w:pos="397"/>
        </w:tabs>
      </w:pPr>
      <w:r>
        <w:t>黄琴东</w:t>
      </w:r>
      <w:r>
        <w:t>.</w:t>
      </w:r>
      <w:r>
        <w:t>轻资产运营模式下</w:t>
      </w:r>
      <w:r>
        <w:t>N</w:t>
      </w:r>
      <w:r>
        <w:t>公司营运资金管理研究</w:t>
      </w:r>
      <w:r>
        <w:t>[D].</w:t>
      </w:r>
      <w:r>
        <w:rPr>
          <w:rFonts w:hint="eastAsia"/>
        </w:rPr>
        <w:t>南京</w:t>
      </w:r>
      <w:r>
        <w:rPr>
          <w:rFonts w:hint="eastAsia"/>
        </w:rPr>
        <w:t>:</w:t>
      </w:r>
      <w:r>
        <w:t>南京邮电大学</w:t>
      </w:r>
      <w:r>
        <w:t>, 2023</w:t>
      </w:r>
      <w:r>
        <w:rPr>
          <w:rFonts w:hint="eastAsia"/>
        </w:rPr>
        <w:t>:8-10.</w:t>
      </w:r>
    </w:p>
    <w:p w14:paraId="2CC902E4" w14:textId="77777777" w:rsidR="00000000" w:rsidRDefault="00000000">
      <w:pPr>
        <w:pStyle w:val="aff"/>
        <w:numPr>
          <w:ilvl w:val="0"/>
          <w:numId w:val="46"/>
        </w:numPr>
        <w:tabs>
          <w:tab w:val="left" w:pos="397"/>
        </w:tabs>
      </w:pPr>
      <w:r>
        <w:t>潘成辰</w:t>
      </w:r>
      <w:r>
        <w:t>.</w:t>
      </w:r>
      <w:r>
        <w:t>轻资产运营模式下企业价值创造路径及效果研究</w:t>
      </w:r>
      <w:r>
        <w:t>[D].</w:t>
      </w:r>
      <w:r>
        <w:rPr>
          <w:rFonts w:hint="eastAsia"/>
        </w:rPr>
        <w:t>厦门</w:t>
      </w:r>
      <w:r>
        <w:rPr>
          <w:rFonts w:hint="eastAsia"/>
        </w:rPr>
        <w:t>:</w:t>
      </w:r>
      <w:r>
        <w:t>集美大学</w:t>
      </w:r>
      <w:r>
        <w:t>, 2024</w:t>
      </w:r>
      <w:r>
        <w:rPr>
          <w:rFonts w:hint="eastAsia"/>
        </w:rPr>
        <w:t>:6-7.</w:t>
      </w:r>
    </w:p>
    <w:p w14:paraId="3680C2DD" w14:textId="77777777" w:rsidR="00000000" w:rsidRDefault="00000000">
      <w:pPr>
        <w:pStyle w:val="aff"/>
        <w:numPr>
          <w:ilvl w:val="0"/>
          <w:numId w:val="46"/>
        </w:numPr>
        <w:tabs>
          <w:tab w:val="left" w:pos="397"/>
        </w:tabs>
      </w:pPr>
      <w:r>
        <w:t>Georgiana Surdu.The Internationalization Process and the Asset-Light Approach[J].Romanian Economic Business Review,2011(6):184</w:t>
      </w:r>
      <w:r>
        <w:rPr>
          <w:rFonts w:hint="eastAsia"/>
        </w:rPr>
        <w:t>-186</w:t>
      </w:r>
      <w:r>
        <w:t>.</w:t>
      </w:r>
    </w:p>
    <w:p w14:paraId="04C0708E" w14:textId="77777777" w:rsidR="00000000" w:rsidRDefault="00000000">
      <w:pPr>
        <w:pStyle w:val="aff"/>
        <w:numPr>
          <w:ilvl w:val="0"/>
          <w:numId w:val="46"/>
        </w:numPr>
        <w:tabs>
          <w:tab w:val="left" w:pos="397"/>
        </w:tabs>
      </w:pPr>
      <w:r>
        <w:t>Sohn J,Tang C H H,Jang S C S. Does the Asset-Light and Fee-Oriented Strategy Create Value?[J].International Journal of Hospitality Management,2013,32(1):270.</w:t>
      </w:r>
    </w:p>
    <w:p w14:paraId="65AAAA03" w14:textId="77777777" w:rsidR="00000000" w:rsidRDefault="00000000">
      <w:pPr>
        <w:pStyle w:val="affff8"/>
        <w:numPr>
          <w:ilvl w:val="0"/>
          <w:numId w:val="46"/>
        </w:numPr>
        <w:tabs>
          <w:tab w:val="left" w:pos="397"/>
        </w:tabs>
        <w:wordWrap w:val="0"/>
      </w:pPr>
      <w:r>
        <w:t>汪怡迪</w:t>
      </w:r>
      <w:r>
        <w:t>,</w:t>
      </w:r>
      <w:r>
        <w:t>余博</w:t>
      </w:r>
      <w:r>
        <w:t xml:space="preserve">. </w:t>
      </w:r>
      <w:r>
        <w:rPr>
          <w:rFonts w:hint="eastAsia"/>
        </w:rPr>
        <w:t>M</w:t>
      </w:r>
      <w:r>
        <w:rPr>
          <w:rFonts w:hint="eastAsia"/>
        </w:rPr>
        <w:t>公司服装</w:t>
      </w:r>
      <w:r>
        <w:t>轻资产运营模式探析</w:t>
      </w:r>
      <w:r>
        <w:t>[J].</w:t>
      </w:r>
      <w:r>
        <w:t>合作经济与科技</w:t>
      </w:r>
      <w:r>
        <w:t>,2020(13): 107-109.</w:t>
      </w:r>
    </w:p>
    <w:p w14:paraId="5F49184B" w14:textId="77777777" w:rsidR="00000000" w:rsidRDefault="00000000">
      <w:pPr>
        <w:pStyle w:val="affff8"/>
        <w:numPr>
          <w:ilvl w:val="0"/>
          <w:numId w:val="46"/>
        </w:numPr>
        <w:tabs>
          <w:tab w:val="left" w:pos="397"/>
        </w:tabs>
        <w:wordWrap w:val="0"/>
      </w:pPr>
      <w:r>
        <w:t>董伟鑫</w:t>
      </w:r>
      <w:r>
        <w:t>.</w:t>
      </w:r>
      <w:r>
        <w:t>企业轻资产模式运营探讨</w:t>
      </w:r>
      <w:r>
        <w:t>——</w:t>
      </w:r>
      <w:r>
        <w:t>以万科为例</w:t>
      </w:r>
      <w:r>
        <w:t>[J].</w:t>
      </w:r>
      <w:r>
        <w:t>中国论坛</w:t>
      </w:r>
      <w:r>
        <w:t>,2021(14):134-136.</w:t>
      </w:r>
    </w:p>
    <w:p w14:paraId="1235E1F8" w14:textId="77777777" w:rsidR="00000000" w:rsidRDefault="00000000">
      <w:pPr>
        <w:pStyle w:val="affff8"/>
        <w:numPr>
          <w:ilvl w:val="0"/>
          <w:numId w:val="46"/>
        </w:numPr>
        <w:tabs>
          <w:tab w:val="left" w:pos="397"/>
        </w:tabs>
        <w:wordWrap w:val="0"/>
      </w:pPr>
      <w:r>
        <w:t>朱卫东</w:t>
      </w:r>
      <w:r>
        <w:t>,</w:t>
      </w:r>
      <w:r>
        <w:t>潘霞</w:t>
      </w:r>
      <w:r>
        <w:t>,</w:t>
      </w:r>
      <w:r>
        <w:t>操玮</w:t>
      </w:r>
      <w:r>
        <w:t>.</w:t>
      </w:r>
      <w:r>
        <w:t>轻资产运营对制造业企业研发投入绩效的影响</w:t>
      </w:r>
      <w:r>
        <w:t>[J].</w:t>
      </w:r>
      <w:r>
        <w:t>财贸研究</w:t>
      </w:r>
      <w:r>
        <w:t>, 2022,33(7):100-110.</w:t>
      </w:r>
    </w:p>
    <w:p w14:paraId="382AB013" w14:textId="77777777" w:rsidR="00000000" w:rsidRDefault="00000000">
      <w:pPr>
        <w:pStyle w:val="affff8"/>
        <w:numPr>
          <w:ilvl w:val="0"/>
          <w:numId w:val="46"/>
        </w:numPr>
        <w:tabs>
          <w:tab w:val="left" w:pos="397"/>
        </w:tabs>
        <w:wordWrap w:val="0"/>
      </w:pPr>
      <w:r>
        <w:t>于登玺</w:t>
      </w:r>
      <w:r>
        <w:t>,</w:t>
      </w:r>
      <w:r>
        <w:t>李长庆</w:t>
      </w:r>
      <w:r>
        <w:t>,</w:t>
      </w:r>
      <w:r>
        <w:t>邵子豪等</w:t>
      </w:r>
      <w:r>
        <w:t>.</w:t>
      </w:r>
      <w:r>
        <w:t>文旅企业轻资产运营与企业价值实现</w:t>
      </w:r>
      <w:r>
        <w:t>:</w:t>
      </w:r>
      <w:r>
        <w:t>实证分析与影响路径研究</w:t>
      </w:r>
      <w:r>
        <w:t>[J].</w:t>
      </w:r>
      <w:r>
        <w:t>山西经济管理干部学院学报</w:t>
      </w:r>
      <w:r>
        <w:t>,2023,31(1):23-29.</w:t>
      </w:r>
    </w:p>
    <w:p w14:paraId="58B19F98" w14:textId="77777777" w:rsidR="00000000" w:rsidRDefault="00000000">
      <w:pPr>
        <w:pStyle w:val="affff8"/>
        <w:numPr>
          <w:ilvl w:val="0"/>
          <w:numId w:val="46"/>
        </w:numPr>
        <w:tabs>
          <w:tab w:val="left" w:pos="397"/>
        </w:tabs>
        <w:wordWrap w:val="0"/>
      </w:pPr>
      <w:r>
        <w:t>漆文超</w:t>
      </w:r>
      <w:r>
        <w:t>.</w:t>
      </w:r>
      <w:r>
        <w:t>轻资产运营模式及效果分析</w:t>
      </w:r>
      <w:r>
        <w:t>——</w:t>
      </w:r>
      <w:r>
        <w:t>以</w:t>
      </w:r>
      <w:r>
        <w:rPr>
          <w:rFonts w:hint="eastAsia"/>
        </w:rPr>
        <w:t>M</w:t>
      </w:r>
      <w:r>
        <w:rPr>
          <w:rFonts w:hint="eastAsia"/>
        </w:rPr>
        <w:t>公司服装</w:t>
      </w:r>
      <w:r>
        <w:t>为例</w:t>
      </w:r>
      <w:r>
        <w:t>[J].</w:t>
      </w:r>
      <w:r>
        <w:t>商场现代化</w:t>
      </w:r>
      <w:r>
        <w:t>, 2024(12):31-33.</w:t>
      </w:r>
    </w:p>
    <w:p w14:paraId="31446A21" w14:textId="77777777" w:rsidR="00000000" w:rsidRDefault="00000000">
      <w:pPr>
        <w:pStyle w:val="affff8"/>
        <w:numPr>
          <w:ilvl w:val="0"/>
          <w:numId w:val="46"/>
        </w:numPr>
        <w:tabs>
          <w:tab w:val="left" w:pos="397"/>
        </w:tabs>
        <w:wordWrap w:val="0"/>
      </w:pPr>
      <w:r>
        <w:t>仝文静</w:t>
      </w:r>
      <w:r>
        <w:t>.</w:t>
      </w:r>
      <w:r>
        <w:t>服装企业轻资产运营模式下的财务风险研究</w:t>
      </w:r>
      <w:r>
        <w:t>[D].</w:t>
      </w:r>
      <w:r>
        <w:rPr>
          <w:rFonts w:hint="eastAsia"/>
        </w:rPr>
        <w:t>郑州</w:t>
      </w:r>
      <w:r>
        <w:rPr>
          <w:rFonts w:hint="eastAsia"/>
        </w:rPr>
        <w:t>:</w:t>
      </w:r>
      <w:r>
        <w:t>河南农业大</w:t>
      </w:r>
      <w:r>
        <w:rPr>
          <w:rFonts w:hint="eastAsia"/>
        </w:rPr>
        <w:t>学</w:t>
      </w:r>
      <w:r>
        <w:t>, 2024</w:t>
      </w:r>
      <w:r>
        <w:rPr>
          <w:rFonts w:hint="eastAsia"/>
        </w:rPr>
        <w:t>:8-9.</w:t>
      </w:r>
    </w:p>
    <w:p w14:paraId="28A83AA6" w14:textId="77777777" w:rsidR="00000000" w:rsidRDefault="00000000">
      <w:pPr>
        <w:pStyle w:val="affff8"/>
        <w:numPr>
          <w:ilvl w:val="0"/>
          <w:numId w:val="46"/>
        </w:numPr>
        <w:tabs>
          <w:tab w:val="left" w:pos="397"/>
        </w:tabs>
        <w:wordWrap w:val="0"/>
      </w:pPr>
      <w:r>
        <w:t>亨利</w:t>
      </w:r>
      <w:r>
        <w:t>·</w:t>
      </w:r>
      <w:r>
        <w:t>法约尔</w:t>
      </w:r>
      <w:r>
        <w:t>.</w:t>
      </w:r>
      <w:r>
        <w:t>工业管理与一般管理</w:t>
      </w:r>
      <w:r>
        <w:t>[M].</w:t>
      </w:r>
      <w:r>
        <w:t>成都</w:t>
      </w:r>
      <w:r>
        <w:rPr>
          <w:rFonts w:hint="eastAsia"/>
        </w:rPr>
        <w:t>:</w:t>
      </w:r>
      <w:r>
        <w:t>四川人民出版社</w:t>
      </w:r>
      <w:r>
        <w:t>,2017</w:t>
      </w:r>
      <w:r>
        <w:rPr>
          <w:rFonts w:hint="eastAsia"/>
        </w:rPr>
        <w:t>:56-59.</w:t>
      </w:r>
    </w:p>
    <w:p w14:paraId="58DEB0CB" w14:textId="77777777" w:rsidR="00000000" w:rsidRDefault="00000000">
      <w:pPr>
        <w:pStyle w:val="affff8"/>
        <w:numPr>
          <w:ilvl w:val="0"/>
          <w:numId w:val="46"/>
        </w:numPr>
        <w:tabs>
          <w:tab w:val="left" w:pos="397"/>
        </w:tabs>
        <w:wordWrap w:val="0"/>
      </w:pPr>
      <w:r>
        <w:t>Carmichael.Towards a New Early Warning System of Financial Crises[J].European Cent</w:t>
      </w:r>
      <w:r>
        <w:lastRenderedPageBreak/>
        <w:t>ral Bank Working Paper Series,2000:6-8.</w:t>
      </w:r>
    </w:p>
    <w:p w14:paraId="72314850" w14:textId="77777777" w:rsidR="00000000" w:rsidRDefault="00000000">
      <w:pPr>
        <w:pStyle w:val="affff8"/>
        <w:numPr>
          <w:ilvl w:val="0"/>
          <w:numId w:val="46"/>
        </w:numPr>
        <w:tabs>
          <w:tab w:val="left" w:pos="397"/>
        </w:tabs>
        <w:wordWrap w:val="0"/>
      </w:pPr>
      <w:r>
        <w:t>刘恩禄</w:t>
      </w:r>
      <w:r>
        <w:t>,</w:t>
      </w:r>
      <w:r>
        <w:t>汤谷良</w:t>
      </w:r>
      <w:r>
        <w:t>.</w:t>
      </w:r>
      <w:r>
        <w:t>论财务风险管理</w:t>
      </w:r>
      <w:r>
        <w:t>[J].</w:t>
      </w:r>
      <w:r>
        <w:t>北京商学院学报</w:t>
      </w:r>
      <w:r>
        <w:t>,1989(1):50-54.</w:t>
      </w:r>
    </w:p>
    <w:p w14:paraId="67B02CD5" w14:textId="77777777" w:rsidR="00000000" w:rsidRDefault="00000000">
      <w:pPr>
        <w:pStyle w:val="affff8"/>
        <w:numPr>
          <w:ilvl w:val="0"/>
          <w:numId w:val="46"/>
        </w:numPr>
        <w:tabs>
          <w:tab w:val="left" w:pos="397"/>
        </w:tabs>
        <w:wordWrap w:val="0"/>
      </w:pPr>
      <w:r>
        <w:t>韩冬梅</w:t>
      </w:r>
      <w:r>
        <w:t>.</w:t>
      </w:r>
      <w:r>
        <w:t>论企业财务风险控制与防范</w:t>
      </w:r>
      <w:r>
        <w:t>[J].</w:t>
      </w:r>
      <w:r>
        <w:t>财会通讯</w:t>
      </w:r>
      <w:r>
        <w:t>,2015(14):104-106.</w:t>
      </w:r>
    </w:p>
    <w:p w14:paraId="6CB4C650" w14:textId="77777777" w:rsidR="00000000" w:rsidRDefault="00000000">
      <w:pPr>
        <w:pStyle w:val="affff8"/>
        <w:numPr>
          <w:ilvl w:val="0"/>
          <w:numId w:val="46"/>
        </w:numPr>
        <w:tabs>
          <w:tab w:val="left" w:pos="397"/>
        </w:tabs>
        <w:wordWrap w:val="0"/>
      </w:pPr>
      <w:r>
        <w:t>George R</w:t>
      </w:r>
      <w:r>
        <w:rPr>
          <w:rFonts w:hint="eastAsia"/>
        </w:rPr>
        <w:t xml:space="preserve"> </w:t>
      </w:r>
      <w:r>
        <w:t>R</w:t>
      </w:r>
      <w:r>
        <w:rPr>
          <w:rFonts w:hint="eastAsia"/>
        </w:rPr>
        <w:t>,</w:t>
      </w:r>
      <w:r>
        <w:t>Kabir. Business Groups and Profit Redistribution:A Boon or Bane for Firms?[J].SSRN Electronic Journal,2010</w:t>
      </w:r>
      <w:r>
        <w:rPr>
          <w:rFonts w:hint="eastAsia"/>
        </w:rPr>
        <w:t>(</w:t>
      </w:r>
      <w:r>
        <w:t>11</w:t>
      </w:r>
      <w:r>
        <w:rPr>
          <w:rFonts w:hint="eastAsia"/>
        </w:rPr>
        <w:t>):</w:t>
      </w:r>
      <w:r>
        <w:t>9</w:t>
      </w:r>
      <w:r>
        <w:rPr>
          <w:rFonts w:hint="eastAsia"/>
        </w:rPr>
        <w:t>-10</w:t>
      </w:r>
      <w:r>
        <w:t>.</w:t>
      </w:r>
    </w:p>
    <w:p w14:paraId="6E28CA38" w14:textId="77777777" w:rsidR="00000000" w:rsidRDefault="00000000">
      <w:pPr>
        <w:pStyle w:val="affff8"/>
        <w:numPr>
          <w:ilvl w:val="0"/>
          <w:numId w:val="46"/>
        </w:numPr>
        <w:tabs>
          <w:tab w:val="left" w:pos="397"/>
        </w:tabs>
        <w:wordWrap w:val="0"/>
      </w:pPr>
      <w:r>
        <w:t>司雨欣</w:t>
      </w:r>
      <w:r>
        <w:t>.</w:t>
      </w:r>
      <w:r>
        <w:t>战略转型背景下纺织企业财务风险管理研究</w:t>
      </w:r>
      <w:r>
        <w:t>[D].</w:t>
      </w:r>
      <w:r>
        <w:rPr>
          <w:rFonts w:hint="eastAsia"/>
        </w:rPr>
        <w:t>成都</w:t>
      </w:r>
      <w:r>
        <w:rPr>
          <w:rFonts w:hint="eastAsia"/>
        </w:rPr>
        <w:t>:</w:t>
      </w:r>
      <w:r>
        <w:t>西南财经大学</w:t>
      </w:r>
      <w:r>
        <w:t>, 2021</w:t>
      </w:r>
      <w:r>
        <w:rPr>
          <w:rFonts w:hint="eastAsia"/>
        </w:rPr>
        <w:t>:11-12.</w:t>
      </w:r>
    </w:p>
    <w:p w14:paraId="2DE2BA8F" w14:textId="77777777" w:rsidR="00000000" w:rsidRDefault="00000000">
      <w:pPr>
        <w:pStyle w:val="affff8"/>
        <w:numPr>
          <w:ilvl w:val="0"/>
          <w:numId w:val="46"/>
        </w:numPr>
        <w:tabs>
          <w:tab w:val="left" w:pos="397"/>
        </w:tabs>
        <w:wordWrap w:val="0"/>
      </w:pPr>
      <w:r>
        <w:t>胡秋玥</w:t>
      </w:r>
      <w:r>
        <w:t>.</w:t>
      </w:r>
      <w:r>
        <w:t>数字文化企业财务风险控制研究</w:t>
      </w:r>
      <w:r>
        <w:t>[D].</w:t>
      </w:r>
      <w:r>
        <w:rPr>
          <w:rFonts w:hint="eastAsia"/>
        </w:rPr>
        <w:t>武汉</w:t>
      </w:r>
      <w:r>
        <w:rPr>
          <w:rFonts w:hint="eastAsia"/>
        </w:rPr>
        <w:t>:</w:t>
      </w:r>
      <w:r>
        <w:t>中南财经政</w:t>
      </w:r>
      <w:r>
        <w:rPr>
          <w:rFonts w:hint="eastAsia"/>
        </w:rPr>
        <w:t>法大学</w:t>
      </w:r>
      <w:r>
        <w:t>,2022</w:t>
      </w:r>
      <w:r>
        <w:rPr>
          <w:rFonts w:hint="eastAsia"/>
        </w:rPr>
        <w:t>:45-48.</w:t>
      </w:r>
    </w:p>
    <w:p w14:paraId="6E1BCF4C" w14:textId="77777777" w:rsidR="00000000" w:rsidRDefault="00000000">
      <w:pPr>
        <w:pStyle w:val="affff8"/>
        <w:numPr>
          <w:ilvl w:val="0"/>
          <w:numId w:val="46"/>
        </w:numPr>
        <w:tabs>
          <w:tab w:val="left" w:pos="397"/>
        </w:tabs>
        <w:wordWrap w:val="0"/>
      </w:pPr>
      <w:r>
        <w:rPr>
          <w:rFonts w:hint="eastAsia"/>
        </w:rPr>
        <w:t>Beta Slusarczyk,Katarzyna Grondys.Parametric Conditions of High FinancialRisk in the SME Sector[J].Risks,2019,57(3):84.</w:t>
      </w:r>
    </w:p>
    <w:p w14:paraId="3BEC7E29" w14:textId="77777777" w:rsidR="00000000" w:rsidRDefault="00000000">
      <w:pPr>
        <w:pStyle w:val="affff8"/>
        <w:numPr>
          <w:ilvl w:val="0"/>
          <w:numId w:val="46"/>
        </w:numPr>
        <w:tabs>
          <w:tab w:val="left" w:pos="397"/>
        </w:tabs>
        <w:wordWrap w:val="0"/>
      </w:pPr>
      <w:r>
        <w:rPr>
          <w:rFonts w:hint="eastAsia"/>
        </w:rPr>
        <w:t>VPIlchuk,Chemihiv National University of Technology, et al. Financial Ratios as Indicators for Identification of Financial Risks of Industrial Enterprises[J].Business Info,2020,2(505):413-421.</w:t>
      </w:r>
    </w:p>
    <w:p w14:paraId="7AB0C5EE" w14:textId="77777777" w:rsidR="00000000" w:rsidRDefault="00000000">
      <w:pPr>
        <w:pStyle w:val="affff8"/>
        <w:numPr>
          <w:ilvl w:val="0"/>
          <w:numId w:val="46"/>
        </w:numPr>
        <w:tabs>
          <w:tab w:val="left" w:pos="397"/>
        </w:tabs>
        <w:wordWrap w:val="0"/>
      </w:pPr>
      <w:r>
        <w:rPr>
          <w:rFonts w:hint="eastAsia"/>
        </w:rPr>
        <w:t>Rzempata Joanna, Boricowski Daniel, Rzempala Artur Piotr. Risk Identification in Cogeneration (Combined Heat and Power) Projects:A Polish Case Study[J].Energies,2021,15(1):42.</w:t>
      </w:r>
    </w:p>
    <w:p w14:paraId="6AA62FE6" w14:textId="77777777" w:rsidR="00000000" w:rsidRDefault="00000000">
      <w:pPr>
        <w:pStyle w:val="affff8"/>
        <w:numPr>
          <w:ilvl w:val="0"/>
          <w:numId w:val="46"/>
        </w:numPr>
        <w:tabs>
          <w:tab w:val="left" w:pos="397"/>
        </w:tabs>
        <w:wordWrap w:val="0"/>
      </w:pPr>
      <w:r>
        <w:rPr>
          <w:rFonts w:hint="eastAsia"/>
        </w:rPr>
        <w:t>Srinivasan NP,Dinesh A,Munshi Surajit,et al.Factors influencing financial risk management in construction projects[J].IOP Conference Series:Earth and Environmental Science,2022,1125(1):012025.</w:t>
      </w:r>
    </w:p>
    <w:p w14:paraId="04886EE3" w14:textId="77777777" w:rsidR="00000000" w:rsidRDefault="00000000">
      <w:pPr>
        <w:pStyle w:val="affff8"/>
        <w:numPr>
          <w:ilvl w:val="0"/>
          <w:numId w:val="46"/>
        </w:numPr>
        <w:tabs>
          <w:tab w:val="left" w:pos="397"/>
        </w:tabs>
        <w:wordWrap w:val="0"/>
      </w:pPr>
      <w:r>
        <w:rPr>
          <w:rFonts w:hint="eastAsia"/>
        </w:rPr>
        <w:t>Made Ronyastra,Lip Huat Saw,Foon Siang Low.Monte Carlo Simulation-based Financial Risk Identification for Industrial Estate as Post-mining Land and Usage in Indonesia[J].Resources Policy,2024(89):104639.</w:t>
      </w:r>
    </w:p>
    <w:p w14:paraId="0112B643" w14:textId="77777777" w:rsidR="00000000" w:rsidRDefault="00000000">
      <w:pPr>
        <w:pStyle w:val="affff8"/>
        <w:numPr>
          <w:ilvl w:val="0"/>
          <w:numId w:val="46"/>
        </w:numPr>
        <w:tabs>
          <w:tab w:val="left" w:pos="397"/>
        </w:tabs>
        <w:wordWrap w:val="0"/>
      </w:pPr>
      <w:r>
        <w:t>严良</w:t>
      </w:r>
      <w:r>
        <w:t>,</w:t>
      </w:r>
      <w:r>
        <w:t>李淑雯</w:t>
      </w:r>
      <w:r>
        <w:t>,</w:t>
      </w:r>
      <w:r>
        <w:t>蒋梦婷等</w:t>
      </w:r>
      <w:r>
        <w:t>.</w:t>
      </w:r>
      <w:r>
        <w:t>基于</w:t>
      </w:r>
      <w:r>
        <w:t>PCA</w:t>
      </w:r>
      <w:r>
        <w:t>的</w:t>
      </w:r>
      <w:r>
        <w:t>DE-SVM</w:t>
      </w:r>
      <w:r>
        <w:t>资源型企业财务风险识别模式研究</w:t>
      </w:r>
      <w:r>
        <w:t>[J].</w:t>
      </w:r>
      <w:r>
        <w:t>会计之友</w:t>
      </w:r>
      <w:r>
        <w:t>,2019(7):58-65.</w:t>
      </w:r>
    </w:p>
    <w:p w14:paraId="45E6D9DE" w14:textId="77777777" w:rsidR="00000000" w:rsidRDefault="00000000">
      <w:pPr>
        <w:pStyle w:val="affff8"/>
        <w:numPr>
          <w:ilvl w:val="0"/>
          <w:numId w:val="46"/>
        </w:numPr>
        <w:tabs>
          <w:tab w:val="left" w:pos="397"/>
        </w:tabs>
        <w:wordWrap w:val="0"/>
      </w:pPr>
      <w:r>
        <w:t>张晓东</w:t>
      </w:r>
      <w:r>
        <w:t>.</w:t>
      </w:r>
      <w:r>
        <w:t>企业财务风险的识别与控制研究</w:t>
      </w:r>
      <w:r>
        <w:t>[J].</w:t>
      </w:r>
      <w:r>
        <w:t>财经界</w:t>
      </w:r>
      <w:r>
        <w:t>, 2020(11):155-156.</w:t>
      </w:r>
    </w:p>
    <w:p w14:paraId="4440F5F6" w14:textId="77777777" w:rsidR="00000000" w:rsidRDefault="00000000">
      <w:pPr>
        <w:pStyle w:val="affff8"/>
        <w:numPr>
          <w:ilvl w:val="0"/>
          <w:numId w:val="46"/>
        </w:numPr>
        <w:tabs>
          <w:tab w:val="left" w:pos="397"/>
        </w:tabs>
        <w:wordWrap w:val="0"/>
      </w:pPr>
      <w:r>
        <w:t>杭慧芹</w:t>
      </w:r>
      <w:r>
        <w:t>,</w:t>
      </w:r>
      <w:r>
        <w:t>许苏兰</w:t>
      </w:r>
      <w:r>
        <w:t>.</w:t>
      </w:r>
      <w:r>
        <w:t>数字化转型背景下企业财务风险识别与管控探讨</w:t>
      </w:r>
      <w:r>
        <w:t>[J].</w:t>
      </w:r>
      <w:r>
        <w:t>财会通讯</w:t>
      </w:r>
      <w:r>
        <w:t>, 2022(24):131-134</w:t>
      </w:r>
      <w:r>
        <w:rPr>
          <w:rFonts w:hint="eastAsia"/>
        </w:rPr>
        <w:t>+</w:t>
      </w:r>
      <w:r>
        <w:t>170.</w:t>
      </w:r>
    </w:p>
    <w:p w14:paraId="0B28BB48" w14:textId="77777777" w:rsidR="00000000" w:rsidRDefault="00000000">
      <w:pPr>
        <w:pStyle w:val="affff8"/>
        <w:numPr>
          <w:ilvl w:val="0"/>
          <w:numId w:val="46"/>
        </w:numPr>
        <w:tabs>
          <w:tab w:val="left" w:pos="397"/>
        </w:tabs>
        <w:wordWrap w:val="0"/>
      </w:pPr>
      <w:r>
        <w:t>袁艺</w:t>
      </w:r>
      <w:r>
        <w:t>,</w:t>
      </w:r>
      <w:r>
        <w:t>杨森</w:t>
      </w:r>
      <w:r>
        <w:t>.</w:t>
      </w:r>
      <w:r>
        <w:t>数字经济企业海外并购中的财务风险识别与防范</w:t>
      </w:r>
      <w:r>
        <w:t>——</w:t>
      </w:r>
      <w:r>
        <w:t>基于投资者利益保护视角</w:t>
      </w:r>
      <w:r>
        <w:t>[J].</w:t>
      </w:r>
      <w:r>
        <w:t>财会通讯</w:t>
      </w:r>
      <w:r>
        <w:t>,2022(2):135-137</w:t>
      </w:r>
      <w:r>
        <w:rPr>
          <w:rFonts w:hint="eastAsia"/>
        </w:rPr>
        <w:t>+</w:t>
      </w:r>
      <w:r>
        <w:t>149.</w:t>
      </w:r>
    </w:p>
    <w:p w14:paraId="34A575A0" w14:textId="77777777" w:rsidR="00000000" w:rsidRDefault="00000000">
      <w:pPr>
        <w:pStyle w:val="affff8"/>
        <w:numPr>
          <w:ilvl w:val="0"/>
          <w:numId w:val="46"/>
        </w:numPr>
        <w:tabs>
          <w:tab w:val="left" w:pos="397"/>
        </w:tabs>
        <w:wordWrap w:val="0"/>
      </w:pPr>
      <w:r>
        <w:t>张沛桢</w:t>
      </w:r>
      <w:r>
        <w:t>.</w:t>
      </w:r>
      <w:r>
        <w:t>国有企业财务风险的识别与防控策略</w:t>
      </w:r>
      <w:r>
        <w:t>[J].</w:t>
      </w:r>
      <w:r>
        <w:t>商场现代化</w:t>
      </w:r>
      <w:r>
        <w:t>,2024(6):165-167.</w:t>
      </w:r>
    </w:p>
    <w:p w14:paraId="4A9E4501" w14:textId="77777777" w:rsidR="00000000" w:rsidRDefault="00000000">
      <w:pPr>
        <w:pStyle w:val="affff8"/>
        <w:numPr>
          <w:ilvl w:val="0"/>
          <w:numId w:val="46"/>
        </w:numPr>
        <w:tabs>
          <w:tab w:val="left" w:pos="397"/>
        </w:tabs>
        <w:wordWrap w:val="0"/>
      </w:pPr>
      <w:r>
        <w:t>Katarina Valaskova,Tomas Kliestik,Lucia Svabova,et al.Financial Risk Measurement and Prediction Model Lining for Sustainable Development of Business Entities Using Regression Analysis [J].Sustainability,2018,10(7):2144-2156.</w:t>
      </w:r>
    </w:p>
    <w:p w14:paraId="34CA14F3" w14:textId="77777777" w:rsidR="00000000" w:rsidRDefault="00000000">
      <w:pPr>
        <w:pStyle w:val="affff8"/>
        <w:numPr>
          <w:ilvl w:val="0"/>
          <w:numId w:val="46"/>
        </w:numPr>
        <w:tabs>
          <w:tab w:val="left" w:pos="397"/>
        </w:tabs>
        <w:wordWrap w:val="0"/>
      </w:pPr>
      <w:r>
        <w:t>Salehi V,Zarei H, Shirali G,et al.An Entropy-based TOPSIS Approach for Analyzing an</w:t>
      </w:r>
      <w:r>
        <w:lastRenderedPageBreak/>
        <w:t>d Assessing Crisis Management Systems in Petrochemical Industries[J].Journal of Loss Prevention in the Process Industries,2020,67(Part</w:t>
      </w:r>
      <w:r>
        <w:rPr>
          <w:rFonts w:hint="eastAsia"/>
        </w:rPr>
        <w:t xml:space="preserve"> </w:t>
      </w:r>
      <w:r>
        <w:t>A):104241</w:t>
      </w:r>
      <w:r>
        <w:rPr>
          <w:rFonts w:hint="eastAsia"/>
        </w:rPr>
        <w:t>-104242</w:t>
      </w:r>
      <w:r>
        <w:t>.</w:t>
      </w:r>
    </w:p>
    <w:p w14:paraId="47928319" w14:textId="77777777" w:rsidR="00000000" w:rsidRDefault="00000000">
      <w:pPr>
        <w:pStyle w:val="affff8"/>
        <w:numPr>
          <w:ilvl w:val="0"/>
          <w:numId w:val="46"/>
        </w:numPr>
        <w:tabs>
          <w:tab w:val="left" w:pos="397"/>
        </w:tabs>
        <w:wordWrap w:val="0"/>
      </w:pPr>
      <w:r>
        <w:t>Tubis Agnieszka A,Ryczy-Aski Jacek,Zurek Arkadiusz.Risk Assessment for the Use of Drones in Warehouse Operations in the First Phase of Introducing the Service</w:t>
      </w:r>
      <w:r>
        <w:rPr>
          <w:rFonts w:hint="eastAsia"/>
        </w:rPr>
        <w:t xml:space="preserve"> </w:t>
      </w:r>
      <w:r>
        <w:t>to the Market [J].Sensors,2021,21(20):6713</w:t>
      </w:r>
      <w:r>
        <w:rPr>
          <w:rFonts w:hint="eastAsia"/>
        </w:rPr>
        <w:t>-6715</w:t>
      </w:r>
      <w:r>
        <w:t>.</w:t>
      </w:r>
    </w:p>
    <w:p w14:paraId="5ABC213C" w14:textId="77777777" w:rsidR="00000000" w:rsidRDefault="00000000">
      <w:pPr>
        <w:pStyle w:val="affff8"/>
        <w:numPr>
          <w:ilvl w:val="0"/>
          <w:numId w:val="46"/>
        </w:numPr>
        <w:tabs>
          <w:tab w:val="left" w:pos="397"/>
        </w:tabs>
        <w:wordWrap w:val="0"/>
      </w:pPr>
      <w:r>
        <w:t>Du Guanshan, Elston Frank.Financial Risk Assessment to Improve the Accuracy of Financial Prediction in the Internet Financial Industry Using Data Analytics Models[J].Operations Management Research,2022,15(3-4):925-940.</w:t>
      </w:r>
    </w:p>
    <w:p w14:paraId="7E53DBC0" w14:textId="77777777" w:rsidR="00000000" w:rsidRDefault="00000000">
      <w:pPr>
        <w:pStyle w:val="affff8"/>
        <w:numPr>
          <w:ilvl w:val="0"/>
          <w:numId w:val="46"/>
        </w:numPr>
        <w:tabs>
          <w:tab w:val="left" w:pos="397"/>
        </w:tabs>
        <w:wordWrap w:val="0"/>
      </w:pPr>
      <w:r>
        <w:t>Nguyen Phuong Anh,Nguyen Nhu Phuong,Le Huu Minh Due.Systemic Riskand Financial System Network Using Financial Risk Meter: The Case of Vietnam[J].Applied Economics,2024,56(9):1012-1034.</w:t>
      </w:r>
    </w:p>
    <w:p w14:paraId="72225699" w14:textId="77777777" w:rsidR="00000000" w:rsidRDefault="00000000">
      <w:pPr>
        <w:pStyle w:val="affff8"/>
        <w:numPr>
          <w:ilvl w:val="0"/>
          <w:numId w:val="46"/>
        </w:numPr>
        <w:tabs>
          <w:tab w:val="left" w:pos="397"/>
        </w:tabs>
        <w:wordWrap w:val="0"/>
      </w:pPr>
      <w:r>
        <w:rPr>
          <w:rFonts w:hint="eastAsia"/>
        </w:rPr>
        <w:t>周首华</w:t>
      </w:r>
      <w:r>
        <w:rPr>
          <w:rFonts w:hint="eastAsia"/>
        </w:rPr>
        <w:t>,</w:t>
      </w:r>
      <w:r>
        <w:rPr>
          <w:rFonts w:hint="eastAsia"/>
        </w:rPr>
        <w:t>杨济华</w:t>
      </w:r>
      <w:r>
        <w:rPr>
          <w:rFonts w:hint="eastAsia"/>
        </w:rPr>
        <w:t>,</w:t>
      </w:r>
      <w:r>
        <w:rPr>
          <w:rFonts w:hint="eastAsia"/>
        </w:rPr>
        <w:t>王平</w:t>
      </w:r>
      <w:r>
        <w:rPr>
          <w:rFonts w:hint="eastAsia"/>
        </w:rPr>
        <w:t>.</w:t>
      </w:r>
      <w:r>
        <w:rPr>
          <w:rFonts w:hint="eastAsia"/>
        </w:rPr>
        <w:t>论财务危机的预警分析——</w:t>
      </w:r>
      <w:r>
        <w:rPr>
          <w:rFonts w:hint="eastAsia"/>
        </w:rPr>
        <w:t>F</w:t>
      </w:r>
      <w:r>
        <w:rPr>
          <w:rFonts w:hint="eastAsia"/>
        </w:rPr>
        <w:t>分数模式</w:t>
      </w:r>
      <w:r>
        <w:rPr>
          <w:rFonts w:hint="eastAsia"/>
        </w:rPr>
        <w:t>[J].</w:t>
      </w:r>
      <w:r>
        <w:rPr>
          <w:rFonts w:hint="eastAsia"/>
        </w:rPr>
        <w:t>会计研究</w:t>
      </w:r>
      <w:r>
        <w:rPr>
          <w:rFonts w:hint="eastAsia"/>
        </w:rPr>
        <w:t>,1996(8):8-11.</w:t>
      </w:r>
    </w:p>
    <w:p w14:paraId="2A61238B" w14:textId="77777777" w:rsidR="00000000" w:rsidRDefault="00000000">
      <w:pPr>
        <w:pStyle w:val="affff8"/>
        <w:numPr>
          <w:ilvl w:val="0"/>
          <w:numId w:val="46"/>
        </w:numPr>
        <w:tabs>
          <w:tab w:val="left" w:pos="397"/>
        </w:tabs>
        <w:wordWrap w:val="0"/>
      </w:pPr>
      <w:r>
        <w:rPr>
          <w:rFonts w:hint="eastAsia"/>
        </w:rPr>
        <w:t>陈茜</w:t>
      </w:r>
      <w:r>
        <w:rPr>
          <w:rFonts w:hint="eastAsia"/>
        </w:rPr>
        <w:t>,</w:t>
      </w:r>
      <w:r>
        <w:rPr>
          <w:rFonts w:hint="eastAsia"/>
        </w:rPr>
        <w:t>田治威</w:t>
      </w:r>
      <w:r>
        <w:rPr>
          <w:rFonts w:hint="eastAsia"/>
        </w:rPr>
        <w:t>.</w:t>
      </w:r>
      <w:r>
        <w:rPr>
          <w:rFonts w:hint="eastAsia"/>
        </w:rPr>
        <w:t>林业上市企业财务风险评价研究——基于因子分析法和聚类分析法</w:t>
      </w:r>
      <w:r>
        <w:rPr>
          <w:rFonts w:hint="eastAsia"/>
        </w:rPr>
        <w:t>[J].</w:t>
      </w:r>
      <w:r>
        <w:rPr>
          <w:rFonts w:hint="eastAsia"/>
        </w:rPr>
        <w:t>财经理论与实践</w:t>
      </w:r>
      <w:r>
        <w:rPr>
          <w:rFonts w:hint="eastAsia"/>
        </w:rPr>
        <w:t>, 2017,38(1):103-108.</w:t>
      </w:r>
    </w:p>
    <w:p w14:paraId="6B9D5DFD" w14:textId="77777777" w:rsidR="00000000" w:rsidRDefault="00000000">
      <w:pPr>
        <w:pStyle w:val="affff8"/>
        <w:numPr>
          <w:ilvl w:val="0"/>
          <w:numId w:val="46"/>
        </w:numPr>
        <w:tabs>
          <w:tab w:val="left" w:pos="397"/>
        </w:tabs>
        <w:wordWrap w:val="0"/>
      </w:pPr>
      <w:r>
        <w:rPr>
          <w:rFonts w:hint="eastAsia"/>
        </w:rPr>
        <w:t>黄电</w:t>
      </w:r>
      <w:r>
        <w:rPr>
          <w:rFonts w:hint="eastAsia"/>
        </w:rPr>
        <w:t>. PPP</w:t>
      </w:r>
      <w:r>
        <w:rPr>
          <w:rFonts w:hint="eastAsia"/>
        </w:rPr>
        <w:t>项目财务风险度量与控制研究</w:t>
      </w:r>
      <w:r>
        <w:rPr>
          <w:rFonts w:hint="eastAsia"/>
        </w:rPr>
        <w:t>[J].</w:t>
      </w:r>
      <w:r>
        <w:rPr>
          <w:rFonts w:hint="eastAsia"/>
        </w:rPr>
        <w:t>财会月刊</w:t>
      </w:r>
      <w:r>
        <w:rPr>
          <w:rFonts w:hint="eastAsia"/>
        </w:rPr>
        <w:t>, 2018 (21):85-90.</w:t>
      </w:r>
    </w:p>
    <w:p w14:paraId="0F2BB297" w14:textId="77777777" w:rsidR="00000000" w:rsidRDefault="00000000">
      <w:pPr>
        <w:pStyle w:val="affff8"/>
        <w:numPr>
          <w:ilvl w:val="0"/>
          <w:numId w:val="46"/>
        </w:numPr>
        <w:tabs>
          <w:tab w:val="left" w:pos="397"/>
        </w:tabs>
        <w:wordWrap w:val="0"/>
      </w:pPr>
      <w:r>
        <w:rPr>
          <w:rFonts w:hint="eastAsia"/>
        </w:rPr>
        <w:t>贺冰玉</w:t>
      </w:r>
      <w:r>
        <w:rPr>
          <w:rFonts w:hint="eastAsia"/>
        </w:rPr>
        <w:t>.</w:t>
      </w:r>
      <w:r>
        <w:rPr>
          <w:rFonts w:hint="eastAsia"/>
        </w:rPr>
        <w:t>基于</w:t>
      </w:r>
      <w:r>
        <w:rPr>
          <w:rFonts w:hint="eastAsia"/>
        </w:rPr>
        <w:t>Z-Score</w:t>
      </w:r>
      <w:r>
        <w:rPr>
          <w:rFonts w:hint="eastAsia"/>
        </w:rPr>
        <w:t>模型企业财务风险评价研究——以贵州茅台为例</w:t>
      </w:r>
      <w:r>
        <w:rPr>
          <w:rFonts w:hint="eastAsia"/>
        </w:rPr>
        <w:t>[J].</w:t>
      </w:r>
      <w:r>
        <w:rPr>
          <w:rFonts w:hint="eastAsia"/>
        </w:rPr>
        <w:t>全国流通经济</w:t>
      </w:r>
      <w:r>
        <w:rPr>
          <w:rFonts w:hint="eastAsia"/>
        </w:rPr>
        <w:t>, 2023 (16):173-176.</w:t>
      </w:r>
    </w:p>
    <w:p w14:paraId="1A6F121D" w14:textId="77777777" w:rsidR="00000000" w:rsidRDefault="00000000">
      <w:pPr>
        <w:pStyle w:val="affff8"/>
        <w:numPr>
          <w:ilvl w:val="0"/>
          <w:numId w:val="46"/>
        </w:numPr>
        <w:tabs>
          <w:tab w:val="left" w:pos="397"/>
        </w:tabs>
        <w:wordWrap w:val="0"/>
      </w:pPr>
      <w:r>
        <w:rPr>
          <w:rFonts w:hint="eastAsia"/>
        </w:rPr>
        <w:t>汪新宇</w:t>
      </w:r>
      <w:r>
        <w:rPr>
          <w:rFonts w:hint="eastAsia"/>
        </w:rPr>
        <w:t>,</w:t>
      </w:r>
      <w:r>
        <w:rPr>
          <w:rFonts w:hint="eastAsia"/>
        </w:rPr>
        <w:t>王小斐</w:t>
      </w:r>
      <w:r>
        <w:rPr>
          <w:rFonts w:hint="eastAsia"/>
        </w:rPr>
        <w:t>.</w:t>
      </w:r>
      <w:r>
        <w:rPr>
          <w:rFonts w:hint="eastAsia"/>
        </w:rPr>
        <w:t>“双碳”背景下化工企业财务风险评价研究——以</w:t>
      </w:r>
      <w:r>
        <w:rPr>
          <w:rFonts w:hint="eastAsia"/>
        </w:rPr>
        <w:t>ZSH</w:t>
      </w:r>
      <w:r>
        <w:rPr>
          <w:rFonts w:hint="eastAsia"/>
        </w:rPr>
        <w:t>公司为例</w:t>
      </w:r>
      <w:r>
        <w:rPr>
          <w:rFonts w:hint="eastAsia"/>
        </w:rPr>
        <w:t>[J].</w:t>
      </w:r>
      <w:r>
        <w:rPr>
          <w:rFonts w:hint="eastAsia"/>
        </w:rPr>
        <w:t>现代商贸工业</w:t>
      </w:r>
      <w:r>
        <w:rPr>
          <w:rFonts w:hint="eastAsia"/>
        </w:rPr>
        <w:t>, 2024, 45(8):120-123.</w:t>
      </w:r>
    </w:p>
    <w:p w14:paraId="3216B269" w14:textId="77777777" w:rsidR="00000000" w:rsidRDefault="00000000">
      <w:pPr>
        <w:pStyle w:val="affff8"/>
        <w:numPr>
          <w:ilvl w:val="0"/>
          <w:numId w:val="46"/>
        </w:numPr>
        <w:tabs>
          <w:tab w:val="left" w:pos="397"/>
        </w:tabs>
        <w:wordWrap w:val="0"/>
      </w:pPr>
      <w:r>
        <w:rPr>
          <w:rFonts w:hint="eastAsia"/>
        </w:rPr>
        <w:t>Leonel Lais Domingues,Bala Mateus Henrique, Ramos Dorel Soares,et al.Financial Risk Control of Hydro Generation Systems through Market Intelligence and Stochastic Optimization[J].Energies,2021,14(19):6368.</w:t>
      </w:r>
    </w:p>
    <w:p w14:paraId="2BC731C0" w14:textId="77777777" w:rsidR="00000000" w:rsidRDefault="00000000">
      <w:pPr>
        <w:pStyle w:val="affff8"/>
        <w:numPr>
          <w:ilvl w:val="0"/>
          <w:numId w:val="46"/>
        </w:numPr>
        <w:tabs>
          <w:tab w:val="left" w:pos="397"/>
        </w:tabs>
        <w:wordWrap w:val="0"/>
      </w:pPr>
      <w:r>
        <w:rPr>
          <w:rFonts w:hint="eastAsia"/>
        </w:rPr>
        <w:t>Liubov Vasylyshyna,Olga Popova,Natalia Hoholieva,et al.Assessment of the impact of digitalized management on the financial risks of industrial enterprises[J].Eastern-European Journal of Enterprise Technologies,2022,6(13):87-95.</w:t>
      </w:r>
    </w:p>
    <w:p w14:paraId="13CC50CB" w14:textId="77777777" w:rsidR="00000000" w:rsidRDefault="00000000">
      <w:pPr>
        <w:pStyle w:val="affff8"/>
        <w:numPr>
          <w:ilvl w:val="0"/>
          <w:numId w:val="46"/>
        </w:numPr>
        <w:tabs>
          <w:tab w:val="left" w:pos="397"/>
        </w:tabs>
        <w:wordWrap w:val="0"/>
      </w:pPr>
      <w:r>
        <w:rPr>
          <w:rFonts w:hint="eastAsia"/>
        </w:rPr>
        <w:t>Suhasini Tatiparti, Kirti Nilesh Mahajan,Sowmya Kethi Reddi,et al.Analyzing theFinancial Risk Factors Impacting the Economic Benefits of the ConsumerElectronic Goods Manufacturing Industry in India[J].Journal of Advanced Manufacturing Systems,2023,22(4):823-847.</w:t>
      </w:r>
    </w:p>
    <w:p w14:paraId="20443E82" w14:textId="77777777" w:rsidR="00000000" w:rsidRDefault="00000000">
      <w:pPr>
        <w:pStyle w:val="affff8"/>
        <w:numPr>
          <w:ilvl w:val="0"/>
          <w:numId w:val="46"/>
        </w:numPr>
        <w:tabs>
          <w:tab w:val="left" w:pos="397"/>
        </w:tabs>
        <w:wordWrap w:val="0"/>
      </w:pPr>
      <w:r>
        <w:rPr>
          <w:rFonts w:hint="eastAsia"/>
        </w:rPr>
        <w:t>Nguyen La Soa,Do Due Duy,Tran Thi Thanh Hang,et al.The Impact of Environmental Accounting Information Disclosure on Financial Risk:The Case of Listed Companies in the Vietnam Stock Market[J].Journal of Risk and Financial Management,2024,17(2):62.</w:t>
      </w:r>
    </w:p>
    <w:p w14:paraId="751ED4FE" w14:textId="77777777" w:rsidR="00000000" w:rsidRDefault="00000000">
      <w:pPr>
        <w:pStyle w:val="affff8"/>
        <w:numPr>
          <w:ilvl w:val="0"/>
          <w:numId w:val="46"/>
        </w:numPr>
        <w:tabs>
          <w:tab w:val="left" w:pos="397"/>
        </w:tabs>
        <w:wordWrap w:val="0"/>
      </w:pPr>
      <w:r>
        <w:rPr>
          <w:rFonts w:hint="eastAsia"/>
        </w:rPr>
        <w:t>元媛</w:t>
      </w:r>
      <w:r>
        <w:rPr>
          <w:rFonts w:hint="eastAsia"/>
        </w:rPr>
        <w:t>.</w:t>
      </w:r>
      <w:r>
        <w:rPr>
          <w:rFonts w:hint="eastAsia"/>
        </w:rPr>
        <w:t>基于经验曲线的企业财务风险研究——以金龙汽车为例</w:t>
      </w:r>
      <w:r>
        <w:rPr>
          <w:rFonts w:hint="eastAsia"/>
        </w:rPr>
        <w:t>[J].</w:t>
      </w:r>
      <w:r>
        <w:rPr>
          <w:rFonts w:hint="eastAsia"/>
        </w:rPr>
        <w:t>财会通讯</w:t>
      </w:r>
      <w:r>
        <w:rPr>
          <w:rFonts w:hint="eastAsia"/>
        </w:rPr>
        <w:t>, 2019(17):100</w:t>
      </w:r>
      <w:r>
        <w:rPr>
          <w:rFonts w:hint="eastAsia"/>
        </w:rPr>
        <w:lastRenderedPageBreak/>
        <w:t>-104.</w:t>
      </w:r>
    </w:p>
    <w:p w14:paraId="3ADE1753" w14:textId="77777777" w:rsidR="00000000" w:rsidRDefault="00000000">
      <w:pPr>
        <w:pStyle w:val="affff8"/>
        <w:numPr>
          <w:ilvl w:val="0"/>
          <w:numId w:val="46"/>
        </w:numPr>
        <w:tabs>
          <w:tab w:val="left" w:pos="397"/>
        </w:tabs>
        <w:wordWrap w:val="0"/>
      </w:pPr>
      <w:r>
        <w:rPr>
          <w:rFonts w:hint="eastAsia"/>
        </w:rPr>
        <w:t>李波</w:t>
      </w:r>
      <w:r>
        <w:rPr>
          <w:rFonts w:hint="eastAsia"/>
        </w:rPr>
        <w:t>.</w:t>
      </w:r>
      <w:r>
        <w:rPr>
          <w:rFonts w:hint="eastAsia"/>
        </w:rPr>
        <w:t>上市公司财务风险控制存在的问题及完善对策</w:t>
      </w:r>
      <w:r>
        <w:rPr>
          <w:rFonts w:hint="eastAsia"/>
        </w:rPr>
        <w:t>[J].</w:t>
      </w:r>
      <w:r>
        <w:rPr>
          <w:rFonts w:hint="eastAsia"/>
        </w:rPr>
        <w:t>财务与会计</w:t>
      </w:r>
      <w:r>
        <w:rPr>
          <w:rFonts w:hint="eastAsia"/>
        </w:rPr>
        <w:t>,2021 (22):64-65.</w:t>
      </w:r>
    </w:p>
    <w:p w14:paraId="75319926" w14:textId="77777777" w:rsidR="00000000" w:rsidRDefault="00000000">
      <w:pPr>
        <w:pStyle w:val="affff8"/>
        <w:numPr>
          <w:ilvl w:val="0"/>
          <w:numId w:val="46"/>
        </w:numPr>
        <w:tabs>
          <w:tab w:val="left" w:pos="397"/>
        </w:tabs>
        <w:wordWrap w:val="0"/>
      </w:pPr>
      <w:r>
        <w:rPr>
          <w:rFonts w:hint="eastAsia"/>
        </w:rPr>
        <w:t>丁淑芹</w:t>
      </w:r>
      <w:r>
        <w:rPr>
          <w:rFonts w:hint="eastAsia"/>
        </w:rPr>
        <w:t>,</w:t>
      </w:r>
      <w:r>
        <w:rPr>
          <w:rFonts w:hint="eastAsia"/>
        </w:rPr>
        <w:t>薛鑫</w:t>
      </w:r>
      <w:r>
        <w:rPr>
          <w:rFonts w:hint="eastAsia"/>
        </w:rPr>
        <w:t>. A</w:t>
      </w:r>
      <w:r>
        <w:rPr>
          <w:rFonts w:hint="eastAsia"/>
        </w:rPr>
        <w:t>通信设备制造公司报表风险识别与应对研究</w:t>
      </w:r>
      <w:r>
        <w:rPr>
          <w:rFonts w:hint="eastAsia"/>
        </w:rPr>
        <w:t>[J].</w:t>
      </w:r>
      <w:r>
        <w:rPr>
          <w:rFonts w:hint="eastAsia"/>
        </w:rPr>
        <w:t>财务与会计</w:t>
      </w:r>
      <w:r>
        <w:rPr>
          <w:rFonts w:hint="eastAsia"/>
        </w:rPr>
        <w:t>, 2022(6):54-58.</w:t>
      </w:r>
    </w:p>
    <w:p w14:paraId="0ACD4A62" w14:textId="77777777" w:rsidR="00000000" w:rsidRDefault="00000000">
      <w:pPr>
        <w:pStyle w:val="affff8"/>
        <w:numPr>
          <w:ilvl w:val="0"/>
          <w:numId w:val="46"/>
        </w:numPr>
        <w:tabs>
          <w:tab w:val="left" w:pos="397"/>
        </w:tabs>
        <w:wordWrap w:val="0"/>
      </w:pPr>
      <w:r>
        <w:rPr>
          <w:rFonts w:hint="eastAsia"/>
        </w:rPr>
        <w:t>管早早</w:t>
      </w:r>
      <w:r>
        <w:rPr>
          <w:rFonts w:hint="eastAsia"/>
        </w:rPr>
        <w:t>.</w:t>
      </w:r>
      <w:r>
        <w:rPr>
          <w:rFonts w:hint="eastAsia"/>
        </w:rPr>
        <w:t>服装企业财务风险控制研究</w:t>
      </w:r>
      <w:r>
        <w:rPr>
          <w:rFonts w:hint="eastAsia"/>
        </w:rPr>
        <w:t>[J].</w:t>
      </w:r>
      <w:r>
        <w:rPr>
          <w:rFonts w:hint="eastAsia"/>
        </w:rPr>
        <w:t>西部皮革</w:t>
      </w:r>
      <w:r>
        <w:rPr>
          <w:rFonts w:hint="eastAsia"/>
        </w:rPr>
        <w:t>,2024,46(1):44-46.</w:t>
      </w:r>
    </w:p>
    <w:p w14:paraId="00AB4395" w14:textId="77777777" w:rsidR="00000000" w:rsidRDefault="00000000">
      <w:pPr>
        <w:pStyle w:val="affff8"/>
        <w:numPr>
          <w:ilvl w:val="0"/>
          <w:numId w:val="46"/>
        </w:numPr>
        <w:tabs>
          <w:tab w:val="left" w:pos="397"/>
        </w:tabs>
        <w:wordWrap w:val="0"/>
      </w:pPr>
      <w:r>
        <w:rPr>
          <w:rFonts w:hint="eastAsia"/>
        </w:rPr>
        <w:t>Jayoung Sohn, Chun Hung(Hugo) Tang,SooCheon(Shawn)Jang.Does the asset-lightand fee-oriented strategy create value</w:t>
      </w:r>
      <w:r>
        <w:rPr>
          <w:rFonts w:hint="eastAsia"/>
          <w:vertAlign w:val="superscript"/>
        </w:rPr>
        <w:t>[[[???][???]][[???][???]]]</w:t>
      </w:r>
      <w:r>
        <w:rPr>
          <w:rFonts w:hint="eastAsia"/>
        </w:rPr>
        <w:t>[J].International Journal of Hospitality Management,2013(32):270-277.</w:t>
      </w:r>
    </w:p>
    <w:p w14:paraId="454C6486" w14:textId="77777777" w:rsidR="00000000" w:rsidRDefault="00000000">
      <w:pPr>
        <w:pStyle w:val="affff8"/>
        <w:numPr>
          <w:ilvl w:val="0"/>
          <w:numId w:val="46"/>
        </w:numPr>
        <w:tabs>
          <w:tab w:val="left" w:pos="397"/>
        </w:tabs>
        <w:wordWrap w:val="0"/>
      </w:pPr>
      <w:r>
        <w:rPr>
          <w:rFonts w:hint="eastAsia"/>
        </w:rPr>
        <w:t>Gu-Liang T,Yuan G.The Financial Risks and Practices of Asset-Light Strategy[J].Finance Research,2016(3):3-8.</w:t>
      </w:r>
    </w:p>
    <w:p w14:paraId="1EB947C4" w14:textId="77777777" w:rsidR="00000000" w:rsidRDefault="00000000">
      <w:pPr>
        <w:pStyle w:val="affff8"/>
        <w:numPr>
          <w:ilvl w:val="0"/>
          <w:numId w:val="46"/>
        </w:numPr>
        <w:tabs>
          <w:tab w:val="left" w:pos="397"/>
        </w:tabs>
        <w:wordWrap w:val="0"/>
      </w:pPr>
      <w:r>
        <w:rPr>
          <w:rFonts w:hint="eastAsia"/>
        </w:rPr>
        <w:t>Ines Blal,Giuliano Bianchi.The asset-light model: A blind spot in hospitalityresearch[J].International Journal of Hospitality Management,2019,7(6):39-42.</w:t>
      </w:r>
    </w:p>
    <w:p w14:paraId="4502FC66" w14:textId="77777777" w:rsidR="00000000" w:rsidRDefault="00000000">
      <w:pPr>
        <w:pStyle w:val="affff8"/>
        <w:numPr>
          <w:ilvl w:val="0"/>
          <w:numId w:val="46"/>
        </w:numPr>
        <w:tabs>
          <w:tab w:val="left" w:pos="397"/>
        </w:tabs>
        <w:wordWrap w:val="0"/>
      </w:pPr>
      <w:r>
        <w:rPr>
          <w:rFonts w:hint="eastAsia"/>
        </w:rPr>
        <w:t>Poretti Cedric,Heo Cindy Yoonjoung.Asset-light strategies and stock market reactions to COVID-19 pandemic announcement:The case of hospitality firms [J].Tourism Economics,2022,28(6):1692-1701.</w:t>
      </w:r>
    </w:p>
    <w:p w14:paraId="1E99B8DD" w14:textId="77777777" w:rsidR="00000000" w:rsidRDefault="00000000">
      <w:pPr>
        <w:pStyle w:val="affff8"/>
        <w:numPr>
          <w:ilvl w:val="0"/>
          <w:numId w:val="46"/>
        </w:numPr>
        <w:tabs>
          <w:tab w:val="left" w:pos="397"/>
        </w:tabs>
        <w:wordWrap w:val="0"/>
      </w:pPr>
      <w:r>
        <w:rPr>
          <w:rFonts w:hint="eastAsia"/>
        </w:rPr>
        <w:t>王龔</w:t>
      </w:r>
      <w:r>
        <w:rPr>
          <w:rFonts w:hint="eastAsia"/>
        </w:rPr>
        <w:t>,</w:t>
      </w:r>
      <w:r>
        <w:rPr>
          <w:rFonts w:hint="eastAsia"/>
        </w:rPr>
        <w:t>郭子增</w:t>
      </w:r>
      <w:r>
        <w:rPr>
          <w:rFonts w:hint="eastAsia"/>
        </w:rPr>
        <w:t>.</w:t>
      </w:r>
      <w:r>
        <w:rPr>
          <w:rFonts w:hint="eastAsia"/>
        </w:rPr>
        <w:t>从</w:t>
      </w:r>
      <w:r>
        <w:t>“</w:t>
      </w:r>
      <w:r>
        <w:rPr>
          <w:rFonts w:hint="eastAsia"/>
        </w:rPr>
        <w:t>重资产</w:t>
      </w:r>
      <w:r>
        <w:t>”</w:t>
      </w:r>
      <w:r>
        <w:rPr>
          <w:rFonts w:hint="eastAsia"/>
        </w:rPr>
        <w:t>到</w:t>
      </w:r>
      <w:r>
        <w:t>“</w:t>
      </w:r>
      <w:r>
        <w:rPr>
          <w:rFonts w:hint="eastAsia"/>
        </w:rPr>
        <w:t>轻资产</w:t>
      </w:r>
      <w:r>
        <w:t>”</w:t>
      </w:r>
      <w:r>
        <w:rPr>
          <w:rFonts w:hint="eastAsia"/>
        </w:rPr>
        <w:t>:</w:t>
      </w:r>
      <w:r>
        <w:rPr>
          <w:rFonts w:hint="eastAsia"/>
        </w:rPr>
        <w:t>经营模式转型是否影响了银行风险</w:t>
      </w:r>
      <w:r>
        <w:rPr>
          <w:rFonts w:hint="eastAsia"/>
        </w:rPr>
        <w:t>[J].</w:t>
      </w:r>
      <w:r>
        <w:rPr>
          <w:rFonts w:hint="eastAsia"/>
        </w:rPr>
        <w:t>金融经济学研究</w:t>
      </w:r>
      <w:r>
        <w:rPr>
          <w:rFonts w:hint="eastAsia"/>
        </w:rPr>
        <w:t>,2019,34(5):80-92.</w:t>
      </w:r>
    </w:p>
    <w:p w14:paraId="0A55A7AB" w14:textId="77777777" w:rsidR="00000000" w:rsidRDefault="00000000">
      <w:pPr>
        <w:pStyle w:val="affff8"/>
        <w:numPr>
          <w:ilvl w:val="0"/>
          <w:numId w:val="46"/>
        </w:numPr>
        <w:tabs>
          <w:tab w:val="left" w:pos="397"/>
        </w:tabs>
        <w:wordWrap w:val="0"/>
      </w:pPr>
      <w:r>
        <w:rPr>
          <w:rFonts w:hint="eastAsia"/>
        </w:rPr>
        <w:t>张汝慧</w:t>
      </w:r>
      <w:r>
        <w:rPr>
          <w:rFonts w:hint="eastAsia"/>
        </w:rPr>
        <w:t>,</w:t>
      </w:r>
      <w:r>
        <w:rPr>
          <w:rFonts w:hint="eastAsia"/>
        </w:rPr>
        <w:t>王海东</w:t>
      </w:r>
      <w:r>
        <w:rPr>
          <w:rFonts w:hint="eastAsia"/>
        </w:rPr>
        <w:t>.</w:t>
      </w:r>
      <w:r>
        <w:rPr>
          <w:rFonts w:hint="eastAsia"/>
        </w:rPr>
        <w:t>轻资产运营模式下服装企业财务风险控制</w:t>
      </w:r>
      <w:r>
        <w:rPr>
          <w:rFonts w:hint="eastAsia"/>
        </w:rPr>
        <w:t>[J].</w:t>
      </w:r>
      <w:r>
        <w:rPr>
          <w:rFonts w:hint="eastAsia"/>
        </w:rPr>
        <w:t>合作经济与科技</w:t>
      </w:r>
      <w:r>
        <w:rPr>
          <w:rFonts w:hint="eastAsia"/>
        </w:rPr>
        <w:t>, 2021(23):142-143.</w:t>
      </w:r>
    </w:p>
    <w:p w14:paraId="130DF323" w14:textId="77777777" w:rsidR="00000000" w:rsidRDefault="00000000">
      <w:pPr>
        <w:pStyle w:val="affff8"/>
        <w:numPr>
          <w:ilvl w:val="0"/>
          <w:numId w:val="46"/>
        </w:numPr>
        <w:tabs>
          <w:tab w:val="left" w:pos="397"/>
        </w:tabs>
        <w:wordWrap w:val="0"/>
      </w:pPr>
      <w:r>
        <w:rPr>
          <w:rFonts w:hint="eastAsia"/>
        </w:rPr>
        <w:t>吴小叶</w:t>
      </w:r>
      <w:r>
        <w:rPr>
          <w:rFonts w:hint="eastAsia"/>
        </w:rPr>
        <w:t>,</w:t>
      </w:r>
      <w:r>
        <w:rPr>
          <w:rFonts w:hint="eastAsia"/>
        </w:rPr>
        <w:t>陈娜菲</w:t>
      </w:r>
      <w:r>
        <w:rPr>
          <w:rFonts w:hint="eastAsia"/>
        </w:rPr>
        <w:t>.</w:t>
      </w:r>
      <w:r>
        <w:rPr>
          <w:rFonts w:hint="eastAsia"/>
        </w:rPr>
        <w:t>安踏体育轻资产运营模式下财务风险及其防控</w:t>
      </w:r>
      <w:r>
        <w:rPr>
          <w:rFonts w:hint="eastAsia"/>
        </w:rPr>
        <w:t>[J].</w:t>
      </w:r>
      <w:r>
        <w:rPr>
          <w:rFonts w:hint="eastAsia"/>
        </w:rPr>
        <w:t>商场现代化</w:t>
      </w:r>
      <w:r>
        <w:rPr>
          <w:rFonts w:hint="eastAsia"/>
        </w:rPr>
        <w:t>, 2022(7):115-117.</w:t>
      </w:r>
    </w:p>
    <w:p w14:paraId="1935390B" w14:textId="77777777" w:rsidR="00000000" w:rsidRDefault="00000000">
      <w:pPr>
        <w:pStyle w:val="affff8"/>
        <w:numPr>
          <w:ilvl w:val="0"/>
          <w:numId w:val="46"/>
        </w:numPr>
        <w:tabs>
          <w:tab w:val="left" w:pos="397"/>
        </w:tabs>
        <w:wordWrap w:val="0"/>
      </w:pPr>
      <w:r>
        <w:rPr>
          <w:rFonts w:hint="eastAsia"/>
        </w:rPr>
        <w:t>魏景柱</w:t>
      </w:r>
      <w:r>
        <w:rPr>
          <w:rFonts w:hint="eastAsia"/>
        </w:rPr>
        <w:t>,</w:t>
      </w:r>
      <w:r>
        <w:rPr>
          <w:rFonts w:hint="eastAsia"/>
        </w:rPr>
        <w:t>言梅雪</w:t>
      </w:r>
      <w:r>
        <w:rPr>
          <w:rFonts w:hint="eastAsia"/>
        </w:rPr>
        <w:t>.</w:t>
      </w:r>
      <w:r>
        <w:rPr>
          <w:rFonts w:hint="eastAsia"/>
        </w:rPr>
        <w:t>轻资产运营模式下企业财务风险分析及控制</w:t>
      </w:r>
      <w:r>
        <w:rPr>
          <w:rFonts w:hint="eastAsia"/>
        </w:rPr>
        <w:t>[J].</w:t>
      </w:r>
      <w:r>
        <w:rPr>
          <w:rFonts w:hint="eastAsia"/>
        </w:rPr>
        <w:t>时代金融</w:t>
      </w:r>
      <w:r>
        <w:rPr>
          <w:rFonts w:hint="eastAsia"/>
        </w:rPr>
        <w:t>, 2018(21):190-193.</w:t>
      </w:r>
    </w:p>
    <w:p w14:paraId="29DA1EBC" w14:textId="77777777" w:rsidR="00000000" w:rsidRDefault="00000000">
      <w:pPr>
        <w:pStyle w:val="affff8"/>
        <w:numPr>
          <w:ilvl w:val="0"/>
          <w:numId w:val="46"/>
        </w:numPr>
        <w:tabs>
          <w:tab w:val="left" w:pos="397"/>
        </w:tabs>
        <w:wordWrap w:val="0"/>
      </w:pPr>
      <w:r>
        <w:rPr>
          <w:rFonts w:hint="eastAsia"/>
        </w:rPr>
        <w:t>程松林</w:t>
      </w:r>
      <w:r>
        <w:rPr>
          <w:rFonts w:hint="eastAsia"/>
        </w:rPr>
        <w:t>,</w:t>
      </w:r>
      <w:r>
        <w:rPr>
          <w:rFonts w:hint="eastAsia"/>
        </w:rPr>
        <w:t>李鼎</w:t>
      </w:r>
      <w:r>
        <w:rPr>
          <w:rFonts w:hint="eastAsia"/>
        </w:rPr>
        <w:t>.</w:t>
      </w:r>
      <w:r>
        <w:rPr>
          <w:rFonts w:hint="eastAsia"/>
        </w:rPr>
        <w:t>轻资产运营企业财务风险分析及管控建议</w:t>
      </w:r>
      <w:r>
        <w:rPr>
          <w:rFonts w:hint="eastAsia"/>
        </w:rPr>
        <w:t>[J].</w:t>
      </w:r>
      <w:r>
        <w:rPr>
          <w:rFonts w:hint="eastAsia"/>
        </w:rPr>
        <w:t>财务与会计</w:t>
      </w:r>
      <w:r>
        <w:rPr>
          <w:rFonts w:hint="eastAsia"/>
        </w:rPr>
        <w:t>, 2020(21):73-74.</w:t>
      </w:r>
    </w:p>
    <w:p w14:paraId="2FD9CD91" w14:textId="77777777" w:rsidR="00000000" w:rsidRDefault="00000000">
      <w:pPr>
        <w:pStyle w:val="affff8"/>
        <w:numPr>
          <w:ilvl w:val="0"/>
          <w:numId w:val="46"/>
        </w:numPr>
        <w:tabs>
          <w:tab w:val="left" w:pos="397"/>
        </w:tabs>
        <w:wordWrap w:val="0"/>
      </w:pPr>
      <w:r>
        <w:rPr>
          <w:rFonts w:hint="eastAsia"/>
        </w:rPr>
        <w:t>陈愉翔</w:t>
      </w:r>
      <w:r>
        <w:rPr>
          <w:rFonts w:hint="eastAsia"/>
        </w:rPr>
        <w:t>.</w:t>
      </w:r>
      <w:r>
        <w:rPr>
          <w:rFonts w:hint="eastAsia"/>
        </w:rPr>
        <w:t>集采背景下</w:t>
      </w:r>
      <w:r>
        <w:rPr>
          <w:rFonts w:hint="eastAsia"/>
        </w:rPr>
        <w:t>HR</w:t>
      </w:r>
      <w:r>
        <w:rPr>
          <w:rFonts w:hint="eastAsia"/>
        </w:rPr>
        <w:t>医药轻资产运营模式与财务风险控制研究</w:t>
      </w:r>
      <w:r>
        <w:rPr>
          <w:rFonts w:hint="eastAsia"/>
        </w:rPr>
        <w:t>[J].</w:t>
      </w:r>
      <w:r>
        <w:rPr>
          <w:rFonts w:hint="eastAsia"/>
        </w:rPr>
        <w:t>科技经济市场</w:t>
      </w:r>
      <w:r>
        <w:rPr>
          <w:rFonts w:hint="eastAsia"/>
        </w:rPr>
        <w:t>,2023(12):62-64.</w:t>
      </w:r>
    </w:p>
    <w:p w14:paraId="51B00127" w14:textId="77777777" w:rsidR="00000000" w:rsidRDefault="00000000">
      <w:pPr>
        <w:pStyle w:val="affff8"/>
        <w:numPr>
          <w:ilvl w:val="0"/>
          <w:numId w:val="46"/>
        </w:numPr>
        <w:tabs>
          <w:tab w:val="left" w:pos="397"/>
        </w:tabs>
        <w:wordWrap w:val="0"/>
        <w:sectPr w:rsidR="00000000">
          <w:headerReference w:type="even" r:id="rId57"/>
          <w:headerReference w:type="default" r:id="rId58"/>
          <w:footnotePr>
            <w:numRestart w:val="eachPage"/>
          </w:footnotePr>
          <w:pgSz w:w="11909" w:h="16834"/>
          <w:pgMar w:top="1701" w:right="1701" w:bottom="1418" w:left="1701" w:header="1304" w:footer="1021" w:gutter="0"/>
          <w:cols w:space="720"/>
          <w:docGrid w:type="linesAndChars" w:linePitch="415" w:charSpace="614"/>
        </w:sectPr>
      </w:pPr>
      <w:r>
        <w:rPr>
          <w:rFonts w:hint="eastAsia"/>
        </w:rPr>
        <w:t>谢佩帛</w:t>
      </w:r>
      <w:r>
        <w:rPr>
          <w:rFonts w:hint="eastAsia"/>
        </w:rPr>
        <w:t>.</w:t>
      </w:r>
      <w:r>
        <w:rPr>
          <w:rFonts w:hint="eastAsia"/>
        </w:rPr>
        <w:t>轻资产运营对企业财务风险的影响及路径研究</w:t>
      </w:r>
      <w:r>
        <w:rPr>
          <w:rFonts w:hint="eastAsia"/>
        </w:rPr>
        <w:t>[J].</w:t>
      </w:r>
      <w:r>
        <w:rPr>
          <w:rFonts w:hint="eastAsia"/>
        </w:rPr>
        <w:t>财会通讯</w:t>
      </w:r>
      <w:r>
        <w:rPr>
          <w:rFonts w:hint="eastAsia"/>
        </w:rPr>
        <w:t>, 2024(4):72-76.</w:t>
      </w:r>
    </w:p>
    <w:p w14:paraId="682907F6" w14:textId="77777777" w:rsidR="00000000" w:rsidRDefault="00000000">
      <w:pPr>
        <w:pStyle w:val="afa"/>
        <w:numPr>
          <w:ilvl w:val="0"/>
          <w:numId w:val="0"/>
        </w:numPr>
        <w:spacing w:before="415" w:after="207"/>
        <w:rPr>
          <w:rFonts w:hint="default"/>
        </w:rPr>
      </w:pPr>
      <w:bookmarkStart w:id="153" w:name="_Toc23863"/>
      <w:bookmarkStart w:id="154" w:name="_Toc402448596"/>
      <w:bookmarkStart w:id="155" w:name="_Toc402713138"/>
      <w:bookmarkStart w:id="156" w:name="_Toc914"/>
      <w:bookmarkStart w:id="157" w:name="_Toc32724"/>
      <w:r>
        <w:lastRenderedPageBreak/>
        <w:t>致</w:t>
      </w:r>
      <w:r>
        <w:t xml:space="preserve">  </w:t>
      </w:r>
      <w:r>
        <w:t>谢</w:t>
      </w:r>
      <w:bookmarkEnd w:id="153"/>
      <w:bookmarkEnd w:id="154"/>
      <w:bookmarkEnd w:id="155"/>
      <w:bookmarkEnd w:id="156"/>
      <w:bookmarkEnd w:id="157"/>
    </w:p>
    <w:p w14:paraId="09235D8F" w14:textId="77777777" w:rsidR="00000000" w:rsidRDefault="00000000">
      <w:pPr>
        <w:pStyle w:val="afd"/>
        <w:ind w:firstLine="486"/>
        <w:rPr>
          <w:color w:val="auto"/>
        </w:rPr>
      </w:pPr>
      <w:r>
        <w:rPr>
          <w:rFonts w:cs="宋体"/>
          <w:color w:val="auto"/>
          <w:szCs w:val="24"/>
        </w:rPr>
        <w:t>落笔于此，我的在职研究生学习生涯即将告一段落。</w:t>
      </w:r>
      <w:r>
        <w:rPr>
          <w:color w:val="auto"/>
        </w:rPr>
        <w:t>这段始于 202</w:t>
      </w:r>
      <w:r>
        <w:rPr>
          <w:rFonts w:hint="eastAsia"/>
          <w:color w:val="auto"/>
        </w:rPr>
        <w:t>3</w:t>
      </w:r>
      <w:r>
        <w:rPr>
          <w:color w:val="auto"/>
        </w:rPr>
        <w:t xml:space="preserve"> 年金秋</w:t>
      </w:r>
      <w:r>
        <w:rPr>
          <w:rFonts w:hint="eastAsia"/>
          <w:color w:val="auto"/>
        </w:rPr>
        <w:t>,</w:t>
      </w:r>
      <w:r>
        <w:rPr>
          <w:color w:val="auto"/>
        </w:rPr>
        <w:t xml:space="preserve">终于 </w:t>
      </w:r>
      <w:r>
        <w:rPr>
          <w:rFonts w:hint="eastAsia"/>
          <w:color w:val="auto"/>
        </w:rPr>
        <w:t>2026</w:t>
      </w:r>
      <w:r>
        <w:rPr>
          <w:color w:val="auto"/>
        </w:rPr>
        <w:t xml:space="preserve"> 年盛夏的旅程，是我在工作与学习间平衡的挑战，亦是专业深耕的成长。回望</w:t>
      </w:r>
      <w:r>
        <w:rPr>
          <w:rFonts w:hint="eastAsia"/>
          <w:color w:val="auto"/>
        </w:rPr>
        <w:t>三</w:t>
      </w:r>
      <w:r>
        <w:rPr>
          <w:color w:val="auto"/>
        </w:rPr>
        <w:t>载周末课堂与深夜伏案时光，满是充实与感激，而这一切离不开身边人的支持与指引。</w:t>
      </w:r>
    </w:p>
    <w:p w14:paraId="2CC8EDB9" w14:textId="77777777" w:rsidR="00000000" w:rsidRDefault="00000000">
      <w:pPr>
        <w:pStyle w:val="afd"/>
        <w:ind w:firstLine="486"/>
        <w:rPr>
          <w:color w:val="auto"/>
        </w:rPr>
      </w:pPr>
      <w:r>
        <w:rPr>
          <w:color w:val="auto"/>
        </w:rPr>
        <w:t>首先，诚挚感谢导师</w:t>
      </w:r>
      <w:r>
        <w:rPr>
          <w:rFonts w:hint="eastAsia"/>
          <w:color w:val="auto"/>
        </w:rPr>
        <w:t>蔡洁</w:t>
      </w:r>
      <w:r>
        <w:rPr>
          <w:color w:val="auto"/>
        </w:rPr>
        <w:t>教授。</w:t>
      </w:r>
      <w:r>
        <w:rPr>
          <w:rFonts w:hint="eastAsia"/>
          <w:color w:val="auto"/>
        </w:rPr>
        <w:t>她学</w:t>
      </w:r>
      <w:r>
        <w:rPr>
          <w:color w:val="auto"/>
        </w:rPr>
        <w:t>识渊博、待人亲和，在“轻资产</w:t>
      </w:r>
      <w:r>
        <w:rPr>
          <w:rFonts w:hint="eastAsia"/>
          <w:color w:val="auto"/>
        </w:rPr>
        <w:t>运营</w:t>
      </w:r>
      <w:r>
        <w:rPr>
          <w:color w:val="auto"/>
        </w:rPr>
        <w:t>模式下</w:t>
      </w:r>
      <w:r>
        <w:rPr>
          <w:rFonts w:hint="eastAsia"/>
          <w:color w:val="auto"/>
        </w:rPr>
        <w:t>M公司</w:t>
      </w:r>
      <w:r>
        <w:rPr>
          <w:color w:val="auto"/>
        </w:rPr>
        <w:t>财务风险管</w:t>
      </w:r>
      <w:r>
        <w:rPr>
          <w:rFonts w:hint="eastAsia"/>
          <w:color w:val="auto"/>
        </w:rPr>
        <w:t>理</w:t>
      </w:r>
      <w:r>
        <w:rPr>
          <w:color w:val="auto"/>
        </w:rPr>
        <w:t>”课题研究中，以启发式语言帮我深化理解；面对我因工作滞后的论文进度与杂乱思路，</w:t>
      </w:r>
      <w:r>
        <w:rPr>
          <w:rFonts w:hint="eastAsia"/>
          <w:color w:val="auto"/>
        </w:rPr>
        <w:t>她</w:t>
      </w:r>
      <w:r>
        <w:rPr>
          <w:color w:val="auto"/>
        </w:rPr>
        <w:t>从选题、文献综述到初稿修改，全程耐心指导，其严谨治学与敬业精神，不仅助我完成论文，更成我终身榜样。得遇良师，何其有幸。</w:t>
      </w:r>
    </w:p>
    <w:p w14:paraId="3354A395" w14:textId="77777777" w:rsidR="00000000" w:rsidRDefault="00000000">
      <w:pPr>
        <w:pStyle w:val="afd"/>
        <w:ind w:firstLine="486"/>
        <w:rPr>
          <w:color w:val="auto"/>
        </w:rPr>
      </w:pPr>
      <w:r>
        <w:rPr>
          <w:rFonts w:cs="宋体"/>
          <w:color w:val="auto"/>
          <w:szCs w:val="24"/>
        </w:rPr>
        <w:t>同时，衷心感谢河南科技大学商学院所有授课老师的悉心教导。</w:t>
      </w:r>
      <w:r>
        <w:rPr>
          <w:color w:val="auto"/>
        </w:rPr>
        <w:t>他们以专业讲解与鲜活案例，为我搭建理论与工作的桥梁，所授不仅是专业知识，更有多元视角与处事方法，让我受益终身。亦感谢毕业论文审核专家教授，</w:t>
      </w:r>
      <w:r>
        <w:rPr>
          <w:rFonts w:hint="eastAsia"/>
          <w:color w:val="auto"/>
        </w:rPr>
        <w:t>您</w:t>
      </w:r>
      <w:r>
        <w:rPr>
          <w:color w:val="auto"/>
        </w:rPr>
        <w:t>们的宝贵建议提升了论文质量，深化了我对研究领域的认知，祝愿各位老师工作顺利、桃李满天下。</w:t>
      </w:r>
    </w:p>
    <w:p w14:paraId="511448A5" w14:textId="77777777" w:rsidR="00000000" w:rsidRDefault="00000000">
      <w:pPr>
        <w:pStyle w:val="afd"/>
        <w:ind w:firstLine="486"/>
        <w:rPr>
          <w:color w:val="auto"/>
        </w:rPr>
      </w:pPr>
      <w:r>
        <w:rPr>
          <w:color w:val="auto"/>
        </w:rPr>
        <w:t>其次，感谢同窗同学们。</w:t>
      </w:r>
      <w:r>
        <w:rPr>
          <w:rFonts w:hint="eastAsia"/>
          <w:color w:val="auto"/>
        </w:rPr>
        <w:t>三年</w:t>
      </w:r>
      <w:r>
        <w:rPr>
          <w:color w:val="auto"/>
        </w:rPr>
        <w:t>来，我们牺牲周末相聚，共探学业、互勉平衡工作与学习，课后交流、考前互助、论文支持，让求学路不再孤单。这份情谊与默契，是我在职</w:t>
      </w:r>
      <w:r>
        <w:rPr>
          <w:rFonts w:hint="eastAsia"/>
          <w:color w:val="auto"/>
        </w:rPr>
        <w:t>研究生</w:t>
      </w:r>
      <w:r>
        <w:rPr>
          <w:color w:val="auto"/>
        </w:rPr>
        <w:t>学习中珍贵的财富。</w:t>
      </w:r>
    </w:p>
    <w:p w14:paraId="1233C0A7" w14:textId="77777777" w:rsidR="00000000" w:rsidRDefault="00000000">
      <w:pPr>
        <w:pStyle w:val="afd"/>
        <w:ind w:firstLine="486"/>
        <w:rPr>
          <w:color w:val="auto"/>
        </w:rPr>
      </w:pPr>
      <w:r>
        <w:rPr>
          <w:color w:val="auto"/>
        </w:rPr>
        <w:t>还要感谢</w:t>
      </w:r>
      <w:r>
        <w:rPr>
          <w:rFonts w:hint="eastAsia"/>
          <w:color w:val="auto"/>
        </w:rPr>
        <w:t>我的</w:t>
      </w:r>
      <w:r>
        <w:rPr>
          <w:color w:val="auto"/>
        </w:rPr>
        <w:t>家人、朋友与同事。家人体谅我兼顾学业与工作的忙碌，默默承担责任、给予鼓励；朋友在我分身乏术时援手，同事体谅我协调时间的需求。这份温暖，让我能无后顾之忧完成学业。</w:t>
      </w:r>
    </w:p>
    <w:p w14:paraId="667290EB" w14:textId="77777777" w:rsidR="00000000" w:rsidRDefault="00000000">
      <w:pPr>
        <w:pStyle w:val="afd"/>
        <w:ind w:firstLine="486"/>
        <w:rPr>
          <w:color w:val="auto"/>
        </w:rPr>
      </w:pPr>
      <w:r>
        <w:rPr>
          <w:color w:val="auto"/>
        </w:rPr>
        <w:t>最后，再次感谢所有帮助过我的人。这段旅程赋予的知识与勇气，将伴我前行。未来，我会带着收获在工作中精进、在生活中感恩，不辜负这段时光与爱我的人。</w:t>
      </w:r>
    </w:p>
    <w:p w14:paraId="542E87CC" w14:textId="77777777" w:rsidR="00000000" w:rsidRDefault="00000000">
      <w:pPr>
        <w:pStyle w:val="affff5"/>
        <w:ind w:firstLine="486"/>
      </w:pPr>
    </w:p>
    <w:p w14:paraId="181C83B0" w14:textId="77777777" w:rsidR="00000000" w:rsidRDefault="00000000">
      <w:pPr>
        <w:pStyle w:val="affff5"/>
        <w:ind w:firstLine="486"/>
      </w:pPr>
    </w:p>
    <w:p w14:paraId="18F4C3F7" w14:textId="77777777" w:rsidR="00000000" w:rsidRDefault="00000000">
      <w:pPr>
        <w:pStyle w:val="affff5"/>
        <w:ind w:firstLine="486"/>
      </w:pPr>
    </w:p>
    <w:p w14:paraId="010EAA15" w14:textId="77777777" w:rsidR="00000000" w:rsidRDefault="00000000">
      <w:pPr>
        <w:pStyle w:val="affff5"/>
        <w:ind w:firstLine="486"/>
      </w:pPr>
    </w:p>
    <w:p w14:paraId="2A9FA8D1" w14:textId="77777777" w:rsidR="00000000" w:rsidRDefault="00000000">
      <w:pPr>
        <w:pStyle w:val="affff5"/>
        <w:ind w:firstLine="486"/>
      </w:pPr>
    </w:p>
    <w:p w14:paraId="4A1C34D1" w14:textId="77777777" w:rsidR="00000000" w:rsidRDefault="00000000">
      <w:pPr>
        <w:pStyle w:val="affff5"/>
        <w:ind w:firstLine="486"/>
      </w:pPr>
    </w:p>
    <w:p w14:paraId="37230191" w14:textId="77777777" w:rsidR="00832D6C" w:rsidRDefault="00832D6C">
      <w:pPr>
        <w:pStyle w:val="affff5"/>
        <w:ind w:firstLine="486"/>
      </w:pPr>
    </w:p>
    <w:sectPr w:rsidR="00832D6C">
      <w:headerReference w:type="even" r:id="rId59"/>
      <w:headerReference w:type="default" r:id="rId60"/>
      <w:footnotePr>
        <w:numRestart w:val="eachPage"/>
      </w:footnotePr>
      <w:pgSz w:w="11909" w:h="16834"/>
      <w:pgMar w:top="1701" w:right="1701" w:bottom="1418" w:left="1701" w:header="1304" w:footer="1021" w:gutter="0"/>
      <w:cols w:space="720"/>
      <w:docGrid w:type="linesAndChars" w:linePitch="415" w:charSpace="61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23B477" w14:textId="77777777" w:rsidR="00832D6C" w:rsidRDefault="00832D6C">
      <w:r>
        <w:separator/>
      </w:r>
    </w:p>
  </w:endnote>
  <w:endnote w:type="continuationSeparator" w:id="0">
    <w:p w14:paraId="4CDB54A8" w14:textId="77777777" w:rsidR="00832D6C" w:rsidRDefault="00832D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_GB2312">
    <w:panose1 w:val="02010609030101010101"/>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TimesNewRomanPSMT">
    <w:altName w:val="Times New Roman"/>
    <w:charset w:val="86"/>
    <w:family w:val="auto"/>
    <w:pitch w:val="default"/>
    <w:sig w:usb0="00000000" w:usb1="00000000" w:usb2="00000010" w:usb3="00000000" w:csb0="00040000"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仿宋_GB2312">
    <w:panose1 w:val="02010609030101010101"/>
    <w:charset w:val="86"/>
    <w:family w:val="modern"/>
    <w:pitch w:val="fixed"/>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0CA086" w14:textId="77777777" w:rsidR="00000000" w:rsidRDefault="00000000">
    <w:pPr>
      <w:pStyle w:val="ae"/>
      <w:rPr>
        <w:rStyle w:val="af6"/>
      </w:rPr>
    </w:pPr>
    <w:r>
      <w:rPr>
        <w:sz w:val="18"/>
      </w:rPr>
      <w:pict w14:anchorId="38C919D5">
        <v:shapetype id="_x0000_t202" coordsize="21600,21600" o:spt="202" path="m,l,21600r21600,l21600,xe">
          <v:stroke joinstyle="miter"/>
          <v:path gradientshapeok="t" o:connecttype="rect"/>
        </v:shapetype>
        <v:shape id="文本框 5" o:spid="_x0000_s1029" type="#_x0000_t202" style="position:absolute;left:0;text-align:left;margin-left:92.8pt;margin-top:0;width:2in;height:2in;z-index:3;mso-wrap-style:none;mso-position-horizontal:outside;mso-position-horizontal-relative:margin" filled="f" stroked="f">
          <v:fill o:detectmouseclick="t"/>
          <v:textbox style="mso-fit-shape-to-text:t" inset="0,0,0,0">
            <w:txbxContent>
              <w:p w14:paraId="1B86C4C3" w14:textId="77777777" w:rsidR="00000000" w:rsidRDefault="00000000">
                <w:pPr>
                  <w:pStyle w:val="ae"/>
                </w:pPr>
                <w:r>
                  <w:rPr>
                    <w:rStyle w:val="af6"/>
                  </w:rPr>
                  <w:fldChar w:fldCharType="begin"/>
                </w:r>
                <w:r>
                  <w:rPr>
                    <w:rStyle w:val="af6"/>
                  </w:rPr>
                  <w:instrText xml:space="preserve">PAGE  </w:instrText>
                </w:r>
                <w:r>
                  <w:rPr>
                    <w:rStyle w:val="af6"/>
                  </w:rPr>
                  <w:fldChar w:fldCharType="separate"/>
                </w:r>
                <w:r>
                  <w:rPr>
                    <w:rStyle w:val="af6"/>
                  </w:rPr>
                  <w:t>II</w:t>
                </w:r>
                <w:r>
                  <w:rPr>
                    <w:rStyle w:val="af6"/>
                  </w:rPr>
                  <w:fldChar w:fldCharType="end"/>
                </w:r>
              </w:p>
            </w:txbxContent>
          </v:textbox>
          <w10:wrap anchorx="margin"/>
        </v:shape>
      </w:pict>
    </w:r>
  </w:p>
  <w:p w14:paraId="537716C3" w14:textId="77777777" w:rsidR="00000000" w:rsidRDefault="00000000">
    <w:pPr>
      <w:pStyle w:val="a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31439" w14:textId="77777777" w:rsidR="00000000" w:rsidRDefault="00000000">
    <w:pPr>
      <w:pStyle w:val="ae"/>
    </w:pPr>
    <w:r>
      <w:pict w14:anchorId="15F0E024">
        <v:shapetype id="_x0000_t202" coordsize="21600,21600" o:spt="202" path="m,l,21600r21600,l21600,xe">
          <v:stroke joinstyle="miter"/>
          <v:path gradientshapeok="t" o:connecttype="rect"/>
        </v:shapetype>
        <v:shape id="文本框 7" o:spid="_x0000_s1031" type="#_x0000_t202" style="position:absolute;left:0;text-align:left;margin-left:92.8pt;margin-top:0;width:2in;height:2in;z-index:5;mso-wrap-style:none;mso-position-horizontal:outside;mso-position-horizontal-relative:margin" filled="f" stroked="f">
          <v:fill o:detectmouseclick="t"/>
          <v:textbox style="mso-fit-shape-to-text:t" inset="0,0,0,0">
            <w:txbxContent>
              <w:p w14:paraId="0B388595" w14:textId="77777777" w:rsidR="00000000" w:rsidRDefault="00000000">
                <w:pPr>
                  <w:pStyle w:val="ae"/>
                  <w:rPr>
                    <w:rStyle w:val="af6"/>
                  </w:rPr>
                </w:pPr>
                <w:r>
                  <w:rPr>
                    <w:rStyle w:val="af6"/>
                  </w:rPr>
                  <w:fldChar w:fldCharType="begin"/>
                </w:r>
                <w:r>
                  <w:rPr>
                    <w:rStyle w:val="af6"/>
                    <w:color w:val="000000"/>
                  </w:rPr>
                  <w:instrText xml:space="preserve">PAGE  </w:instrText>
                </w:r>
                <w:r>
                  <w:rPr>
                    <w:rStyle w:val="af6"/>
                  </w:rPr>
                  <w:fldChar w:fldCharType="separate"/>
                </w:r>
                <w:r>
                  <w:rPr>
                    <w:rStyle w:val="af6"/>
                    <w:color w:val="000000"/>
                  </w:rPr>
                  <w:t>IV</w:t>
                </w:r>
                <w:r>
                  <w:rPr>
                    <w:rStyle w:val="af6"/>
                  </w:rPr>
                  <w:fldChar w:fldCharType="end"/>
                </w:r>
              </w:p>
            </w:txbxContent>
          </v:textbox>
          <w10:wrap anchorx="margin"/>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2DBFA" w14:textId="77777777" w:rsidR="00000000" w:rsidRDefault="00000000">
    <w:pPr>
      <w:pStyle w:val="ae"/>
    </w:pPr>
    <w:r>
      <w:pict w14:anchorId="54D37DCC">
        <v:shapetype id="_x0000_t202" coordsize="21600,21600" o:spt="202" path="m,l,21600r21600,l21600,xe">
          <v:stroke joinstyle="miter"/>
          <v:path gradientshapeok="t" o:connecttype="rect"/>
        </v:shapetype>
        <v:shape id="文本框 6" o:spid="_x0000_s1030" type="#_x0000_t202" style="position:absolute;left:0;text-align:left;margin-left:92.8pt;margin-top:0;width:2in;height:2in;z-index:4;mso-wrap-style:none;mso-position-horizontal:outside;mso-position-horizontal-relative:margin" filled="f" stroked="f">
          <v:fill o:detectmouseclick="t"/>
          <v:textbox style="mso-fit-shape-to-text:t" inset="0,0,0,0">
            <w:txbxContent>
              <w:p w14:paraId="6F08BD83" w14:textId="77777777" w:rsidR="00000000" w:rsidRDefault="00000000">
                <w:pPr>
                  <w:pStyle w:val="ae"/>
                  <w:rPr>
                    <w:rStyle w:val="af6"/>
                  </w:rPr>
                </w:pPr>
                <w:r>
                  <w:rPr>
                    <w:rStyle w:val="af6"/>
                  </w:rPr>
                  <w:fldChar w:fldCharType="begin"/>
                </w:r>
                <w:r>
                  <w:rPr>
                    <w:rStyle w:val="af6"/>
                    <w:color w:val="000000"/>
                  </w:rPr>
                  <w:instrText xml:space="preserve">PAGE  </w:instrText>
                </w:r>
                <w:r>
                  <w:rPr>
                    <w:rStyle w:val="af6"/>
                  </w:rPr>
                  <w:fldChar w:fldCharType="separate"/>
                </w:r>
                <w:r>
                  <w:rPr>
                    <w:rStyle w:val="af6"/>
                    <w:color w:val="000000"/>
                  </w:rPr>
                  <w:t>V</w:t>
                </w:r>
                <w:r>
                  <w:rPr>
                    <w:rStyle w:val="af6"/>
                  </w:rPr>
                  <w:fldChar w:fldCharType="end"/>
                </w:r>
              </w:p>
            </w:txbxContent>
          </v:textbox>
          <w10:wrap anchorx="margin"/>
        </v:shape>
      </w:pic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7E08D" w14:textId="77777777" w:rsidR="00000000" w:rsidRDefault="00000000">
    <w:pPr>
      <w:pStyle w:val="ae"/>
    </w:pPr>
    <w:r>
      <w:pict w14:anchorId="508DE834">
        <v:shapetype id="_x0000_t202" coordsize="21600,21600" o:spt="202" path="m,l,21600r21600,l21600,xe">
          <v:stroke joinstyle="miter"/>
          <v:path gradientshapeok="t" o:connecttype="rect"/>
        </v:shapetype>
        <v:shape id="文本框 11" o:spid="_x0000_s1035" type="#_x0000_t202" style="position:absolute;left:0;text-align:left;margin-left:92.8pt;margin-top:0;width:2in;height:2in;z-index:9;mso-wrap-style:none;mso-position-horizontal:outside;mso-position-horizontal-relative:margin" filled="f" stroked="f">
          <v:fill o:detectmouseclick="t"/>
          <v:textbox style="mso-fit-shape-to-text:t" inset="0,0,0,0">
            <w:txbxContent>
              <w:p w14:paraId="701DB8D7" w14:textId="77777777" w:rsidR="00000000" w:rsidRDefault="00000000">
                <w:pPr>
                  <w:pStyle w:val="ae"/>
                  <w:rPr>
                    <w:rStyle w:val="af6"/>
                  </w:rPr>
                </w:pPr>
                <w:r>
                  <w:rPr>
                    <w:rStyle w:val="af6"/>
                  </w:rPr>
                  <w:fldChar w:fldCharType="begin"/>
                </w:r>
                <w:r>
                  <w:rPr>
                    <w:rStyle w:val="af6"/>
                    <w:color w:val="000000"/>
                  </w:rPr>
                  <w:instrText xml:space="preserve">PAGE  </w:instrText>
                </w:r>
                <w:r>
                  <w:rPr>
                    <w:rStyle w:val="af6"/>
                  </w:rPr>
                  <w:fldChar w:fldCharType="separate"/>
                </w:r>
                <w:r>
                  <w:rPr>
                    <w:rStyle w:val="af6"/>
                    <w:color w:val="000000"/>
                  </w:rPr>
                  <w:t>IV</w:t>
                </w:r>
                <w:r>
                  <w:rPr>
                    <w:rStyle w:val="af6"/>
                  </w:rPr>
                  <w:fldChar w:fldCharType="end"/>
                </w:r>
              </w:p>
            </w:txbxContent>
          </v:textbox>
          <w10:wrap anchorx="margin"/>
        </v:shape>
      </w:pic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189BC" w14:textId="77777777" w:rsidR="00000000" w:rsidRDefault="00000000">
    <w:pPr>
      <w:pStyle w:val="ae"/>
    </w:pPr>
    <w:r>
      <w:pict w14:anchorId="6F11FEB6">
        <v:shapetype id="_x0000_t202" coordsize="21600,21600" o:spt="202" path="m,l,21600r21600,l21600,xe">
          <v:stroke joinstyle="miter"/>
          <v:path gradientshapeok="t" o:connecttype="rect"/>
        </v:shapetype>
        <v:shape id="文本框 10" o:spid="_x0000_s1034" type="#_x0000_t202" style="position:absolute;left:0;text-align:left;margin-left:92.8pt;margin-top:0;width:2in;height:2in;z-index:8;mso-wrap-style:none;mso-position-horizontal:outside;mso-position-horizontal-relative:margin" filled="f" stroked="f">
          <v:fill o:detectmouseclick="t"/>
          <v:textbox style="mso-fit-shape-to-text:t" inset="0,0,0,0">
            <w:txbxContent>
              <w:p w14:paraId="6C8E4BDC" w14:textId="77777777" w:rsidR="00000000" w:rsidRDefault="00000000">
                <w:pPr>
                  <w:pStyle w:val="ae"/>
                  <w:rPr>
                    <w:rStyle w:val="af6"/>
                  </w:rPr>
                </w:pPr>
                <w:r>
                  <w:rPr>
                    <w:rStyle w:val="af6"/>
                  </w:rPr>
                  <w:fldChar w:fldCharType="begin"/>
                </w:r>
                <w:r>
                  <w:rPr>
                    <w:rStyle w:val="af6"/>
                    <w:color w:val="000000"/>
                  </w:rPr>
                  <w:instrText xml:space="preserve">PAGE  </w:instrText>
                </w:r>
                <w:r>
                  <w:rPr>
                    <w:rStyle w:val="af6"/>
                  </w:rPr>
                  <w:fldChar w:fldCharType="separate"/>
                </w:r>
                <w:r>
                  <w:rPr>
                    <w:rStyle w:val="af6"/>
                    <w:color w:val="000000"/>
                  </w:rPr>
                  <w:t>V</w:t>
                </w:r>
                <w:r>
                  <w:rPr>
                    <w:rStyle w:val="af6"/>
                  </w:rPr>
                  <w:fldChar w:fldCharType="end"/>
                </w:r>
              </w:p>
            </w:txbxContent>
          </v:textbox>
          <w10:wrap anchorx="margin"/>
        </v:shape>
      </w:pic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A61586" w14:textId="77777777" w:rsidR="00000000" w:rsidRDefault="00000000">
    <w:pPr>
      <w:pStyle w:val="ae"/>
      <w:tabs>
        <w:tab w:val="left" w:pos="6000"/>
        <w:tab w:val="right" w:pos="8267"/>
      </w:tabs>
      <w:jc w:val="left"/>
    </w:pPr>
    <w:r>
      <w:pict w14:anchorId="20657492">
        <v:shapetype id="_x0000_t202" coordsize="21600,21600" o:spt="202" path="m,l,21600r21600,l21600,xe">
          <v:stroke joinstyle="miter"/>
          <v:path gradientshapeok="t" o:connecttype="rect"/>
        </v:shapetype>
        <v:shape id="文本框 9" o:spid="_x0000_s1033" type="#_x0000_t202" style="position:absolute;left:0;text-align:left;margin-left:92.8pt;margin-top:0;width:2in;height:2in;z-index:7;mso-wrap-style:none;mso-position-horizontal:outside;mso-position-horizontal-relative:margin" filled="f" stroked="f">
          <v:fill o:detectmouseclick="t"/>
          <v:textbox style="mso-fit-shape-to-text:t" inset="0,0,0,0">
            <w:txbxContent>
              <w:p w14:paraId="0BA9B894" w14:textId="77777777" w:rsidR="00000000" w:rsidRDefault="00000000">
                <w:pPr>
                  <w:pStyle w:val="ae"/>
                  <w:rPr>
                    <w:rStyle w:val="af6"/>
                  </w:rPr>
                </w:pPr>
                <w:r>
                  <w:rPr>
                    <w:rStyle w:val="af6"/>
                  </w:rPr>
                  <w:fldChar w:fldCharType="begin"/>
                </w:r>
                <w:r>
                  <w:rPr>
                    <w:rStyle w:val="af6"/>
                    <w:color w:val="000000"/>
                  </w:rPr>
                  <w:instrText xml:space="preserve">PAGE  </w:instrText>
                </w:r>
                <w:r>
                  <w:rPr>
                    <w:rStyle w:val="af6"/>
                  </w:rPr>
                  <w:fldChar w:fldCharType="separate"/>
                </w:r>
                <w:r>
                  <w:rPr>
                    <w:rStyle w:val="af6"/>
                    <w:color w:val="000000"/>
                  </w:rPr>
                  <w:t>IV</w:t>
                </w:r>
                <w:r>
                  <w:rPr>
                    <w:rStyle w:val="af6"/>
                  </w:rPr>
                  <w:fldChar w:fldCharType="end"/>
                </w:r>
              </w:p>
            </w:txbxContent>
          </v:textbox>
          <w10:wrap anchorx="margin"/>
        </v:shape>
      </w:pict>
    </w:r>
    <w:r>
      <w:rPr>
        <w:rFonts w:hint="eastAsia"/>
      </w:rPr>
      <w:tab/>
    </w:r>
    <w:r>
      <w:rPr>
        <w:rFonts w:hint="eastAsia"/>
      </w:rPr>
      <w:tab/>
    </w:r>
    <w:r>
      <w:rPr>
        <w:rFonts w:hint="eastAsia"/>
      </w:rPr>
      <w:tab/>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8CDE72" w14:textId="77777777" w:rsidR="00000000" w:rsidRDefault="00000000">
    <w:pPr>
      <w:pStyle w:val="ae"/>
    </w:pPr>
    <w:r>
      <w:pict w14:anchorId="6F35C09B">
        <v:shapetype id="_x0000_t202" coordsize="21600,21600" o:spt="202" path="m,l,21600r21600,l21600,xe">
          <v:stroke joinstyle="miter"/>
          <v:path gradientshapeok="t" o:connecttype="rect"/>
        </v:shapetype>
        <v:shape id="文本框 8" o:spid="_x0000_s1032" type="#_x0000_t202" style="position:absolute;left:0;text-align:left;margin-left:92.8pt;margin-top:0;width:2in;height:2in;z-index:6;mso-wrap-style:none;mso-position-horizontal:outside;mso-position-horizontal-relative:margin" filled="f" stroked="f">
          <v:fill o:detectmouseclick="t"/>
          <v:textbox style="mso-fit-shape-to-text:t" inset="0,0,0,0">
            <w:txbxContent>
              <w:p w14:paraId="63E4D2CD" w14:textId="77777777" w:rsidR="00000000" w:rsidRDefault="00000000">
                <w:pPr>
                  <w:pStyle w:val="ae"/>
                  <w:rPr>
                    <w:rStyle w:val="af6"/>
                  </w:rPr>
                </w:pPr>
                <w:r>
                  <w:rPr>
                    <w:rStyle w:val="af6"/>
                  </w:rPr>
                  <w:fldChar w:fldCharType="begin"/>
                </w:r>
                <w:r>
                  <w:rPr>
                    <w:rStyle w:val="af6"/>
                    <w:color w:val="000000"/>
                  </w:rPr>
                  <w:instrText xml:space="preserve">PAGE  </w:instrText>
                </w:r>
                <w:r>
                  <w:rPr>
                    <w:rStyle w:val="af6"/>
                  </w:rPr>
                  <w:fldChar w:fldCharType="separate"/>
                </w:r>
                <w:r>
                  <w:rPr>
                    <w:rStyle w:val="af6"/>
                    <w:color w:val="000000"/>
                  </w:rPr>
                  <w:t>21</w:t>
                </w:r>
                <w:r>
                  <w:rPr>
                    <w:rStyle w:val="af6"/>
                  </w:rPr>
                  <w:fldChar w:fldCharType="end"/>
                </w:r>
              </w:p>
            </w:txbxContent>
          </v:textbox>
          <w10:wrap anchorx="margin"/>
        </v:shape>
      </w:pict>
    </w:r>
  </w:p>
  <w:p w14:paraId="7C3E722F" w14:textId="77777777" w:rsidR="00000000" w:rsidRDefault="00000000"/>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EE253B" w14:textId="77777777" w:rsidR="00000000" w:rsidRDefault="00000000">
    <w:pPr>
      <w:pStyle w:val="ae"/>
      <w:tabs>
        <w:tab w:val="left" w:pos="6000"/>
        <w:tab w:val="right" w:pos="8267"/>
      </w:tabs>
      <w:jc w:val="left"/>
    </w:pPr>
    <w:r>
      <w:pict w14:anchorId="7C2AE3A8">
        <v:shapetype id="_x0000_t202" coordsize="21600,21600" o:spt="202" path="m,l,21600r21600,l21600,xe">
          <v:stroke joinstyle="miter"/>
          <v:path gradientshapeok="t" o:connecttype="rect"/>
        </v:shapetype>
        <v:shape id="文本框 13" o:spid="_x0000_s1037" type="#_x0000_t202" style="position:absolute;left:0;text-align:left;margin-left:92.8pt;margin-top:0;width:2in;height:2in;z-index:11;mso-wrap-style:none;mso-position-horizontal:outside;mso-position-horizontal-relative:margin" filled="f" stroked="f">
          <v:fill o:detectmouseclick="t"/>
          <v:textbox style="mso-fit-shape-to-text:t" inset="0,0,0,0">
            <w:txbxContent>
              <w:p w14:paraId="0192E977" w14:textId="77777777" w:rsidR="00000000" w:rsidRDefault="00000000">
                <w:pPr>
                  <w:pStyle w:val="ae"/>
                  <w:rPr>
                    <w:rStyle w:val="af6"/>
                  </w:rPr>
                </w:pPr>
                <w:r>
                  <w:rPr>
                    <w:rStyle w:val="af6"/>
                  </w:rPr>
                  <w:fldChar w:fldCharType="begin"/>
                </w:r>
                <w:r>
                  <w:rPr>
                    <w:rStyle w:val="af6"/>
                    <w:color w:val="000000"/>
                  </w:rPr>
                  <w:instrText xml:space="preserve">PAGE  </w:instrText>
                </w:r>
                <w:r>
                  <w:rPr>
                    <w:rStyle w:val="af6"/>
                  </w:rPr>
                  <w:fldChar w:fldCharType="separate"/>
                </w:r>
                <w:r>
                  <w:rPr>
                    <w:rStyle w:val="af6"/>
                    <w:color w:val="000000"/>
                  </w:rPr>
                  <w:t>IV</w:t>
                </w:r>
                <w:r>
                  <w:rPr>
                    <w:rStyle w:val="af6"/>
                  </w:rPr>
                  <w:fldChar w:fldCharType="end"/>
                </w:r>
              </w:p>
            </w:txbxContent>
          </v:textbox>
          <w10:wrap anchorx="margin"/>
        </v:shape>
      </w:pict>
    </w:r>
    <w:r>
      <w:rPr>
        <w:rFonts w:hint="eastAsia"/>
      </w:rPr>
      <w:tab/>
    </w:r>
    <w:r>
      <w:rPr>
        <w:rFonts w:hint="eastAsia"/>
      </w:rPr>
      <w:tab/>
    </w:r>
    <w:r>
      <w:rPr>
        <w:rFonts w:hint="eastAsia"/>
      </w:rPr>
      <w:tab/>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C81DB" w14:textId="77777777" w:rsidR="00000000" w:rsidRDefault="00000000">
    <w:pPr>
      <w:pStyle w:val="ae"/>
    </w:pPr>
    <w:r>
      <w:pict w14:anchorId="146C8CDC">
        <v:shapetype id="_x0000_t202" coordsize="21600,21600" o:spt="202" path="m,l,21600r21600,l21600,xe">
          <v:stroke joinstyle="miter"/>
          <v:path gradientshapeok="t" o:connecttype="rect"/>
        </v:shapetype>
        <v:shape id="文本框 12" o:spid="_x0000_s1036" type="#_x0000_t202" style="position:absolute;left:0;text-align:left;margin-left:92.8pt;margin-top:0;width:2in;height:2in;z-index:10;mso-wrap-style:none;mso-position-horizontal:outside;mso-position-horizontal-relative:margin" filled="f" stroked="f">
          <v:fill o:detectmouseclick="t"/>
          <v:textbox style="mso-fit-shape-to-text:t" inset="0,0,0,0">
            <w:txbxContent>
              <w:p w14:paraId="0726666C" w14:textId="77777777" w:rsidR="00000000" w:rsidRDefault="00000000">
                <w:pPr>
                  <w:pStyle w:val="ae"/>
                  <w:rPr>
                    <w:rStyle w:val="af6"/>
                  </w:rPr>
                </w:pPr>
                <w:r>
                  <w:rPr>
                    <w:rStyle w:val="af6"/>
                  </w:rPr>
                  <w:fldChar w:fldCharType="begin"/>
                </w:r>
                <w:r>
                  <w:rPr>
                    <w:rStyle w:val="af6"/>
                    <w:color w:val="000000"/>
                  </w:rPr>
                  <w:instrText xml:space="preserve">PAGE  </w:instrText>
                </w:r>
                <w:r>
                  <w:rPr>
                    <w:rStyle w:val="af6"/>
                  </w:rPr>
                  <w:fldChar w:fldCharType="separate"/>
                </w:r>
                <w:r>
                  <w:rPr>
                    <w:rStyle w:val="af6"/>
                    <w:color w:val="000000"/>
                  </w:rPr>
                  <w:t>21</w:t>
                </w:r>
                <w:r>
                  <w:rPr>
                    <w:rStyle w:val="af6"/>
                  </w:rPr>
                  <w:fldChar w:fldCharType="end"/>
                </w:r>
              </w:p>
            </w:txbxContent>
          </v:textbox>
          <w10:wrap anchorx="margin"/>
        </v:shape>
      </w:pict>
    </w:r>
  </w:p>
  <w:p w14:paraId="7B2EA6AA" w14:textId="77777777" w:rsidR="00000000" w:rsidRDefault="00000000"/>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3032D8" w14:textId="77777777" w:rsidR="00000000" w:rsidRDefault="00000000">
    <w:pPr>
      <w:pStyle w:val="ae"/>
    </w:pPr>
    <w:r>
      <w:pict w14:anchorId="23648BE5">
        <v:shapetype id="_x0000_t202" coordsize="21600,21600" o:spt="202" path="m,l,21600r21600,l21600,xe">
          <v:stroke joinstyle="miter"/>
          <v:path gradientshapeok="t" o:connecttype="rect"/>
        </v:shapetype>
        <v:shape id="文本框 4" o:spid="_x0000_s1028" type="#_x0000_t202" style="position:absolute;left:0;text-align:left;margin-left:92.8pt;margin-top:0;width:2in;height:2in;z-index:2;mso-wrap-style:none;mso-position-horizontal:outside;mso-position-horizontal-relative:margin" filled="f" stroked="f">
          <v:fill o:detectmouseclick="t"/>
          <v:textbox style="mso-fit-shape-to-text:t" inset="0,0,0,0">
            <w:txbxContent>
              <w:p w14:paraId="4E6CCA60" w14:textId="77777777" w:rsidR="00000000" w:rsidRDefault="00000000">
                <w:pPr>
                  <w:pStyle w:val="ae"/>
                  <w:rPr>
                    <w:rStyle w:val="af6"/>
                  </w:rPr>
                </w:pPr>
                <w:r>
                  <w:rPr>
                    <w:rStyle w:val="af6"/>
                  </w:rPr>
                  <w:fldChar w:fldCharType="begin"/>
                </w:r>
                <w:r>
                  <w:rPr>
                    <w:rStyle w:val="af6"/>
                    <w:color w:val="000000"/>
                  </w:rPr>
                  <w:instrText xml:space="preserve">PAGE  </w:instrText>
                </w:r>
                <w:r>
                  <w:rPr>
                    <w:rStyle w:val="af6"/>
                  </w:rPr>
                  <w:fldChar w:fldCharType="separate"/>
                </w:r>
                <w:r>
                  <w:rPr>
                    <w:rStyle w:val="af6"/>
                    <w:color w:val="000000"/>
                  </w:rPr>
                  <w:t>80</w:t>
                </w:r>
                <w:r>
                  <w:rPr>
                    <w:rStyle w:val="af6"/>
                  </w:rPr>
                  <w:fldChar w:fldCharType="end"/>
                </w:r>
              </w:p>
            </w:txbxContent>
          </v:textbox>
          <w10:wrap anchorx="margin"/>
        </v:shape>
      </w:pict>
    </w:r>
  </w:p>
  <w:p w14:paraId="611B7EC7" w14:textId="77777777" w:rsidR="00000000" w:rsidRDefault="00000000"/>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621E39" w14:textId="77777777" w:rsidR="00000000" w:rsidRDefault="00000000">
    <w:pPr>
      <w:pStyle w:val="ae"/>
    </w:pPr>
    <w:r>
      <w:pict w14:anchorId="63579DF7">
        <v:shapetype id="_x0000_t202" coordsize="21600,21600" o:spt="202" path="m,l,21600r21600,l21600,xe">
          <v:stroke joinstyle="miter"/>
          <v:path gradientshapeok="t" o:connecttype="rect"/>
        </v:shapetype>
        <v:shape id="文本框 3" o:spid="_x0000_s1027" type="#_x0000_t202" style="position:absolute;left:0;text-align:left;margin-left:92.8pt;margin-top:0;width:2in;height:2in;z-index:1;mso-wrap-style:none;mso-position-horizontal:outside;mso-position-horizontal-relative:margin" filled="f" stroked="f">
          <v:fill o:detectmouseclick="t"/>
          <v:textbox style="mso-fit-shape-to-text:t" inset="0,0,0,0">
            <w:txbxContent>
              <w:p w14:paraId="1A4ADB1A" w14:textId="77777777" w:rsidR="00000000" w:rsidRDefault="00000000">
                <w:pPr>
                  <w:pStyle w:val="ae"/>
                  <w:rPr>
                    <w:rStyle w:val="af6"/>
                  </w:rPr>
                </w:pPr>
                <w:r>
                  <w:rPr>
                    <w:rStyle w:val="af6"/>
                  </w:rPr>
                  <w:fldChar w:fldCharType="begin"/>
                </w:r>
                <w:r>
                  <w:rPr>
                    <w:rStyle w:val="af6"/>
                    <w:color w:val="000000"/>
                  </w:rPr>
                  <w:instrText xml:space="preserve">PAGE  </w:instrText>
                </w:r>
                <w:r>
                  <w:rPr>
                    <w:rStyle w:val="af6"/>
                  </w:rPr>
                  <w:fldChar w:fldCharType="separate"/>
                </w:r>
                <w:r>
                  <w:rPr>
                    <w:rStyle w:val="af6"/>
                    <w:color w:val="000000"/>
                  </w:rPr>
                  <w:t>81</w:t>
                </w:r>
                <w:r>
                  <w:rPr>
                    <w:rStyle w:val="af6"/>
                  </w:rPr>
                  <w:fldChar w:fldCharType="end"/>
                </w:r>
              </w:p>
            </w:txbxContent>
          </v:textbox>
          <w10:wrap anchorx="margin"/>
        </v:shape>
      </w:pict>
    </w:r>
  </w:p>
  <w:p w14:paraId="2F2E563C" w14:textId="77777777" w:rsidR="00000000" w:rsidRDefault="0000000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656EEE" w14:textId="77777777" w:rsidR="00832D6C" w:rsidRDefault="00832D6C">
      <w:r>
        <w:separator/>
      </w:r>
    </w:p>
  </w:footnote>
  <w:footnote w:type="continuationSeparator" w:id="0">
    <w:p w14:paraId="20044F54" w14:textId="77777777" w:rsidR="00832D6C" w:rsidRDefault="00832D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9D5AB" w14:textId="77777777" w:rsidR="00000000" w:rsidRDefault="00000000">
    <w:pPr>
      <w:pStyle w:val="af"/>
      <w:rPr>
        <w:rFonts w:hint="eastAsia"/>
      </w:rPr>
    </w:pPr>
    <w:r>
      <w:rPr>
        <w:rFonts w:hint="eastAsia"/>
      </w:rPr>
      <w:t>摘要</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7C0DB" w14:textId="77777777" w:rsidR="00000000" w:rsidRDefault="00000000">
    <w:pPr>
      <w:pStyle w:val="af"/>
      <w:pBdr>
        <w:bottom w:val="none" w:sz="0" w:space="1"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83A447" w14:textId="77777777" w:rsidR="00000000" w:rsidRDefault="00000000">
    <w:pPr>
      <w:pStyle w:val="af"/>
    </w:pPr>
    <w:r>
      <w:rPr>
        <w:rFonts w:hint="eastAsia"/>
      </w:rPr>
      <w:t>摘要</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B36DF" w14:textId="77777777" w:rsidR="00000000" w:rsidRDefault="00000000">
    <w:pPr>
      <w:pStyle w:val="af"/>
      <w:pBdr>
        <w:bottom w:val="double" w:sz="8" w:space="1" w:color="auto"/>
      </w:pBdr>
    </w:pPr>
    <w:r>
      <w:rPr>
        <w:rFonts w:hint="eastAsia"/>
      </w:rPr>
      <w:t>摘要</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D59100" w14:textId="77777777" w:rsidR="00000000" w:rsidRDefault="00000000">
    <w:pPr>
      <w:pStyle w:val="af"/>
    </w:pPr>
    <w:r>
      <w:rPr>
        <w:rFonts w:hint="eastAsia"/>
      </w:rPr>
      <w:t>ABSTRACT</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103C45" w14:textId="77777777" w:rsidR="00000000" w:rsidRDefault="00000000">
    <w:pPr>
      <w:pStyle w:val="af"/>
    </w:pPr>
    <w:r>
      <w:rPr>
        <w:rFonts w:hint="eastAsia"/>
      </w:rPr>
      <w:t>ABSTRACT</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06997A" w14:textId="77777777" w:rsidR="00000000" w:rsidRDefault="00000000">
    <w:pPr>
      <w:pStyle w:val="af"/>
    </w:pPr>
    <w:r>
      <w:rPr>
        <w:rFonts w:hint="eastAsia"/>
      </w:rPr>
      <w:t>河南科技大学硕士学位论文</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EE1B77" w14:textId="77777777" w:rsidR="00000000" w:rsidRDefault="00000000">
    <w:pPr>
      <w:pStyle w:val="af"/>
    </w:pPr>
    <w:r>
      <w:rPr>
        <w:rFonts w:hint="eastAsia"/>
      </w:rPr>
      <w:t>第一章</w:t>
    </w:r>
    <w:r>
      <w:rPr>
        <w:rFonts w:hint="eastAsia"/>
      </w:rPr>
      <w:t xml:space="preserve"> </w:t>
    </w:r>
    <w:r>
      <w:rPr>
        <w:rFonts w:hint="eastAsia"/>
      </w:rPr>
      <w:t>绪论</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4A0EF0" w14:textId="77777777" w:rsidR="00000000" w:rsidRDefault="00000000">
    <w:pPr>
      <w:pBdr>
        <w:bottom w:val="double" w:sz="8" w:space="0" w:color="auto"/>
      </w:pBdr>
      <w:ind w:firstLine="0"/>
      <w:jc w:val="center"/>
      <w:rPr>
        <w:sz w:val="21"/>
        <w:szCs w:val="16"/>
      </w:rPr>
    </w:pPr>
    <w:r>
      <w:rPr>
        <w:rFonts w:hint="eastAsia"/>
        <w:color w:val="000000"/>
        <w:sz w:val="21"/>
        <w:szCs w:val="16"/>
      </w:rPr>
      <w:t>河南科技大学硕士学位论文</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368D5" w14:textId="77777777" w:rsidR="00000000" w:rsidRDefault="00000000">
    <w:pPr>
      <w:pStyle w:val="af"/>
    </w:pPr>
    <w:r>
      <w:rPr>
        <w:rFonts w:hint="eastAsia"/>
        <w:color w:val="000000"/>
      </w:rPr>
      <w:t>第二章</w:t>
    </w:r>
    <w:r>
      <w:rPr>
        <w:rFonts w:hint="eastAsia"/>
        <w:color w:val="000000"/>
      </w:rPr>
      <w:t xml:space="preserve"> </w:t>
    </w:r>
    <w:r>
      <w:rPr>
        <w:rFonts w:hint="eastAsia"/>
        <w:color w:val="000000"/>
      </w:rPr>
      <w:t>相关概念及理论基础</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2F7BE" w14:textId="77777777" w:rsidR="00000000" w:rsidRDefault="00000000">
    <w:pPr>
      <w:pBdr>
        <w:bottom w:val="double" w:sz="8" w:space="0" w:color="auto"/>
      </w:pBdr>
      <w:ind w:firstLine="0"/>
      <w:jc w:val="center"/>
      <w:rPr>
        <w:sz w:val="21"/>
        <w:szCs w:val="16"/>
      </w:rPr>
    </w:pPr>
    <w:r>
      <w:rPr>
        <w:rFonts w:hint="eastAsia"/>
        <w:color w:val="000000"/>
        <w:sz w:val="21"/>
        <w:szCs w:val="16"/>
      </w:rPr>
      <w:t>河南科技大学硕士学位论文</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A0BC90" w14:textId="77777777" w:rsidR="00000000" w:rsidRDefault="00000000">
    <w:pPr>
      <w:pStyle w:val="af"/>
    </w:pPr>
    <w:r>
      <w:rPr>
        <w:rFonts w:hint="eastAsia"/>
        <w:color w:val="000000"/>
      </w:rPr>
      <w:t>第三章</w:t>
    </w:r>
    <w:r>
      <w:rPr>
        <w:rFonts w:hint="eastAsia"/>
        <w:color w:val="000000"/>
      </w:rPr>
      <w:t xml:space="preserve"> M</w:t>
    </w:r>
    <w:r>
      <w:rPr>
        <w:rFonts w:hint="eastAsia"/>
        <w:color w:val="000000"/>
      </w:rPr>
      <w:t>公司概况及轻资产运营模式现状分析</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4E07E2" w14:textId="77777777" w:rsidR="00000000" w:rsidRDefault="00000000">
    <w:pPr>
      <w:pBdr>
        <w:bottom w:val="double" w:sz="8" w:space="0" w:color="auto"/>
      </w:pBdr>
      <w:ind w:firstLine="0"/>
      <w:jc w:val="center"/>
      <w:rPr>
        <w:sz w:val="21"/>
        <w:szCs w:val="16"/>
      </w:rPr>
    </w:pPr>
    <w:r>
      <w:rPr>
        <w:rFonts w:hint="eastAsia"/>
        <w:color w:val="000000"/>
        <w:sz w:val="21"/>
        <w:szCs w:val="16"/>
      </w:rPr>
      <w:t>河南科技大学硕士学位论文</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A21F22" w14:textId="77777777" w:rsidR="00000000" w:rsidRDefault="00000000">
    <w:pPr>
      <w:pStyle w:val="af"/>
    </w:pPr>
    <w:r>
      <w:rPr>
        <w:rFonts w:hint="eastAsia"/>
        <w:color w:val="000000"/>
      </w:rPr>
      <w:t>第四章</w:t>
    </w:r>
    <w:r>
      <w:rPr>
        <w:rFonts w:hint="eastAsia"/>
        <w:color w:val="000000"/>
      </w:rPr>
      <w:t xml:space="preserve"> </w:t>
    </w:r>
    <w:r>
      <w:rPr>
        <w:rFonts w:hint="eastAsia"/>
        <w:color w:val="000000"/>
      </w:rPr>
      <w:t>轻资产运营模式下</w:t>
    </w:r>
    <w:r>
      <w:rPr>
        <w:rFonts w:hint="eastAsia"/>
        <w:color w:val="000000"/>
      </w:rPr>
      <w:t>M</w:t>
    </w:r>
    <w:r>
      <w:rPr>
        <w:rFonts w:hint="eastAsia"/>
        <w:color w:val="000000"/>
      </w:rPr>
      <w:t>公司财务风险识别及成因分析</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334220" w14:textId="77777777" w:rsidR="00000000" w:rsidRDefault="00000000">
    <w:pPr>
      <w:pBdr>
        <w:bottom w:val="double" w:sz="8" w:space="0" w:color="auto"/>
      </w:pBdr>
      <w:ind w:firstLine="0"/>
      <w:jc w:val="center"/>
      <w:rPr>
        <w:sz w:val="21"/>
        <w:szCs w:val="16"/>
      </w:rPr>
    </w:pPr>
    <w:r>
      <w:rPr>
        <w:rFonts w:hint="eastAsia"/>
        <w:color w:val="000000"/>
        <w:sz w:val="21"/>
        <w:szCs w:val="16"/>
      </w:rPr>
      <w:t>河南科技大学硕士学位论文</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F64CD2" w14:textId="77777777" w:rsidR="00000000" w:rsidRDefault="00000000">
    <w:pPr>
      <w:pStyle w:val="af"/>
    </w:pPr>
    <w:r>
      <w:rPr>
        <w:rFonts w:hint="eastAsia"/>
        <w:color w:val="000000"/>
      </w:rPr>
      <w:t>第五章</w:t>
    </w:r>
    <w:r>
      <w:rPr>
        <w:rFonts w:hint="eastAsia"/>
        <w:color w:val="000000"/>
      </w:rPr>
      <w:t xml:space="preserve"> </w:t>
    </w:r>
    <w:r>
      <w:rPr>
        <w:rFonts w:hint="eastAsia"/>
        <w:color w:val="000000"/>
      </w:rPr>
      <w:t>基于熵权</w:t>
    </w:r>
    <w:r>
      <w:rPr>
        <w:rFonts w:hint="eastAsia"/>
        <w:color w:val="000000"/>
      </w:rPr>
      <w:t>-TOPSIS</w:t>
    </w:r>
    <w:r>
      <w:rPr>
        <w:rFonts w:hint="eastAsia"/>
        <w:color w:val="000000"/>
      </w:rPr>
      <w:t>方法的</w:t>
    </w:r>
    <w:r>
      <w:rPr>
        <w:rFonts w:hint="eastAsia"/>
        <w:color w:val="000000"/>
      </w:rPr>
      <w:t>M</w:t>
    </w:r>
    <w:r>
      <w:rPr>
        <w:rFonts w:hint="eastAsia"/>
        <w:color w:val="000000"/>
      </w:rPr>
      <w:t>公司财务风险评价</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C9BA2D" w14:textId="77777777" w:rsidR="00000000" w:rsidRDefault="00000000">
    <w:pPr>
      <w:pBdr>
        <w:bottom w:val="double" w:sz="8" w:space="0" w:color="auto"/>
      </w:pBdr>
      <w:ind w:firstLine="0"/>
      <w:jc w:val="center"/>
      <w:rPr>
        <w:sz w:val="21"/>
        <w:szCs w:val="16"/>
      </w:rPr>
    </w:pPr>
    <w:r>
      <w:rPr>
        <w:rFonts w:hint="eastAsia"/>
        <w:color w:val="000000"/>
        <w:sz w:val="21"/>
        <w:szCs w:val="16"/>
      </w:rPr>
      <w:t>河南科技大学硕士学位论文</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DE6982" w14:textId="77777777" w:rsidR="00000000" w:rsidRDefault="00000000">
    <w:pPr>
      <w:pStyle w:val="af"/>
    </w:pPr>
    <w:r>
      <w:rPr>
        <w:rFonts w:hint="eastAsia"/>
        <w:color w:val="000000"/>
      </w:rPr>
      <w:t>第六章</w:t>
    </w:r>
    <w:r>
      <w:rPr>
        <w:rFonts w:hint="eastAsia"/>
        <w:color w:val="000000"/>
      </w:rPr>
      <w:t xml:space="preserve"> </w:t>
    </w:r>
    <w:r>
      <w:rPr>
        <w:rFonts w:hint="eastAsia"/>
        <w:color w:val="000000"/>
      </w:rPr>
      <w:t>轻资产运营模式下</w:t>
    </w:r>
    <w:r>
      <w:rPr>
        <w:rFonts w:hint="eastAsia"/>
        <w:color w:val="000000"/>
      </w:rPr>
      <w:t>M</w:t>
    </w:r>
    <w:r>
      <w:rPr>
        <w:rFonts w:hint="eastAsia"/>
        <w:color w:val="000000"/>
      </w:rPr>
      <w:t>公司财务风险控制策略</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9FE3B1" w14:textId="77777777" w:rsidR="00000000" w:rsidRDefault="00000000">
    <w:pPr>
      <w:pBdr>
        <w:bottom w:val="double" w:sz="8" w:space="0" w:color="auto"/>
      </w:pBdr>
      <w:ind w:firstLine="0"/>
      <w:jc w:val="center"/>
      <w:rPr>
        <w:sz w:val="21"/>
        <w:szCs w:val="16"/>
      </w:rPr>
    </w:pPr>
    <w:r>
      <w:rPr>
        <w:rFonts w:hint="eastAsia"/>
        <w:sz w:val="21"/>
        <w:szCs w:val="16"/>
      </w:rPr>
      <w:t>河南科技大学硕士学位论文</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F58FD" w14:textId="77777777" w:rsidR="00000000" w:rsidRDefault="00000000">
    <w:pPr>
      <w:pStyle w:val="af"/>
    </w:pPr>
    <w:r>
      <w:rPr>
        <w:rFonts w:hint="eastAsia"/>
      </w:rPr>
      <w:t>第七章</w:t>
    </w:r>
    <w:r>
      <w:rPr>
        <w:rFonts w:hint="eastAsia"/>
      </w:rPr>
      <w:t xml:space="preserve"> </w:t>
    </w:r>
    <w:r>
      <w:rPr>
        <w:rFonts w:hint="eastAsia"/>
      </w:rPr>
      <w:t>结论与展望</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60406" w14:textId="77777777" w:rsidR="00000000" w:rsidRDefault="00000000">
    <w:pPr>
      <w:pBdr>
        <w:bottom w:val="double" w:sz="8" w:space="0" w:color="auto"/>
      </w:pBdr>
      <w:ind w:firstLine="0"/>
      <w:jc w:val="center"/>
      <w:rPr>
        <w:sz w:val="21"/>
        <w:szCs w:val="16"/>
      </w:rPr>
    </w:pPr>
    <w:r>
      <w:rPr>
        <w:rFonts w:hint="eastAsia"/>
        <w:sz w:val="21"/>
        <w:szCs w:val="16"/>
      </w:rPr>
      <w:t>河南科技大学硕士学位论文</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D75877" w14:textId="77777777" w:rsidR="00000000" w:rsidRDefault="00000000">
    <w:pPr>
      <w:pStyle w:val="af"/>
    </w:pPr>
    <w:r>
      <w:rPr>
        <w:rFonts w:hint="eastAsia"/>
      </w:rPr>
      <w:t>参考文献</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1EF308" w14:textId="77777777" w:rsidR="00000000" w:rsidRDefault="00000000">
    <w:pPr>
      <w:pBdr>
        <w:bottom w:val="double" w:sz="8" w:space="0" w:color="auto"/>
      </w:pBdr>
      <w:jc w:val="center"/>
      <w:rPr>
        <w:sz w:val="21"/>
        <w:szCs w:val="16"/>
      </w:rPr>
    </w:pPr>
    <w:r>
      <w:rPr>
        <w:rFonts w:hint="eastAsia"/>
        <w:color w:val="000000"/>
        <w:sz w:val="21"/>
        <w:szCs w:val="16"/>
      </w:rPr>
      <w:t>致谢</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06C6CA" w14:textId="77777777" w:rsidR="00000000" w:rsidRDefault="00000000">
    <w:pPr>
      <w:pStyle w:val="af"/>
    </w:pPr>
    <w:r>
      <w:rPr>
        <w:rFonts w:hint="eastAsia"/>
        <w:color w:val="000000"/>
      </w:rPr>
      <w:t>致谢</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B3BA2E0"/>
    <w:multiLevelType w:val="singleLevel"/>
    <w:tmpl w:val="8B3BA2E0"/>
    <w:lvl w:ilvl="0">
      <w:start w:val="1"/>
      <w:numFmt w:val="chineseCounting"/>
      <w:suff w:val="nothing"/>
      <w:lvlText w:val="（%1）"/>
      <w:lvlJc w:val="left"/>
      <w:pPr>
        <w:ind w:left="0" w:firstLine="567"/>
      </w:pPr>
      <w:rPr>
        <w:rFonts w:hint="eastAsia"/>
      </w:rPr>
    </w:lvl>
  </w:abstractNum>
  <w:abstractNum w:abstractNumId="1" w15:restartNumberingAfterBreak="0">
    <w:nsid w:val="93B4DFE9"/>
    <w:multiLevelType w:val="singleLevel"/>
    <w:tmpl w:val="93B4DFE9"/>
    <w:lvl w:ilvl="0">
      <w:start w:val="1"/>
      <w:numFmt w:val="chineseCounting"/>
      <w:suff w:val="nothing"/>
      <w:lvlText w:val="（%1）"/>
      <w:lvlJc w:val="left"/>
      <w:pPr>
        <w:ind w:left="0" w:firstLine="420"/>
      </w:pPr>
      <w:rPr>
        <w:rFonts w:hint="eastAsia"/>
      </w:rPr>
    </w:lvl>
  </w:abstractNum>
  <w:abstractNum w:abstractNumId="2" w15:restartNumberingAfterBreak="0">
    <w:nsid w:val="94D1CAA9"/>
    <w:multiLevelType w:val="singleLevel"/>
    <w:tmpl w:val="94D1CAA9"/>
    <w:lvl w:ilvl="0">
      <w:start w:val="1"/>
      <w:numFmt w:val="chineseCounting"/>
      <w:suff w:val="nothing"/>
      <w:lvlText w:val="（%1）"/>
      <w:lvlJc w:val="left"/>
      <w:pPr>
        <w:ind w:left="0" w:firstLine="420"/>
      </w:pPr>
      <w:rPr>
        <w:rFonts w:hint="eastAsia"/>
      </w:rPr>
    </w:lvl>
  </w:abstractNum>
  <w:abstractNum w:abstractNumId="3" w15:restartNumberingAfterBreak="0">
    <w:nsid w:val="9650623C"/>
    <w:multiLevelType w:val="singleLevel"/>
    <w:tmpl w:val="9650623C"/>
    <w:lvl w:ilvl="0">
      <w:start w:val="1"/>
      <w:numFmt w:val="chineseCounting"/>
      <w:suff w:val="nothing"/>
      <w:lvlText w:val="（%1）"/>
      <w:lvlJc w:val="left"/>
      <w:pPr>
        <w:ind w:left="0" w:firstLine="420"/>
      </w:pPr>
      <w:rPr>
        <w:rFonts w:hint="eastAsia"/>
      </w:rPr>
    </w:lvl>
  </w:abstractNum>
  <w:abstractNum w:abstractNumId="4" w15:restartNumberingAfterBreak="0">
    <w:nsid w:val="9CB9D28B"/>
    <w:multiLevelType w:val="singleLevel"/>
    <w:tmpl w:val="9CB9D28B"/>
    <w:lvl w:ilvl="0">
      <w:start w:val="1"/>
      <w:numFmt w:val="chineseCounting"/>
      <w:suff w:val="nothing"/>
      <w:lvlText w:val="%1、"/>
      <w:lvlJc w:val="left"/>
      <w:pPr>
        <w:tabs>
          <w:tab w:val="num" w:pos="0"/>
        </w:tabs>
        <w:ind w:left="0" w:firstLine="567"/>
      </w:pPr>
      <w:rPr>
        <w:rFonts w:hint="eastAsia"/>
      </w:rPr>
    </w:lvl>
  </w:abstractNum>
  <w:abstractNum w:abstractNumId="5" w15:restartNumberingAfterBreak="0">
    <w:nsid w:val="A48302D8"/>
    <w:multiLevelType w:val="singleLevel"/>
    <w:tmpl w:val="A48302D8"/>
    <w:lvl w:ilvl="0">
      <w:start w:val="1"/>
      <w:numFmt w:val="chineseCounting"/>
      <w:suff w:val="space"/>
      <w:lvlText w:val="第%1节"/>
      <w:lvlJc w:val="left"/>
      <w:pPr>
        <w:tabs>
          <w:tab w:val="num" w:pos="2552"/>
        </w:tabs>
      </w:pPr>
      <w:rPr>
        <w:rFonts w:hint="eastAsia"/>
      </w:rPr>
    </w:lvl>
  </w:abstractNum>
  <w:abstractNum w:abstractNumId="6" w15:restartNumberingAfterBreak="0">
    <w:nsid w:val="B0B88975"/>
    <w:multiLevelType w:val="singleLevel"/>
    <w:tmpl w:val="B0B88975"/>
    <w:lvl w:ilvl="0">
      <w:start w:val="1"/>
      <w:numFmt w:val="decimal"/>
      <w:lvlText w:val="[%1]"/>
      <w:lvlJc w:val="left"/>
      <w:pPr>
        <w:tabs>
          <w:tab w:val="num" w:pos="397"/>
        </w:tabs>
        <w:ind w:left="397" w:hanging="397"/>
      </w:pPr>
      <w:rPr>
        <w:rFonts w:hint="eastAsia"/>
        <w:b w:val="0"/>
        <w:i w:val="0"/>
        <w:color w:val="auto"/>
      </w:rPr>
    </w:lvl>
  </w:abstractNum>
  <w:abstractNum w:abstractNumId="7" w15:restartNumberingAfterBreak="0">
    <w:nsid w:val="B3C70C10"/>
    <w:multiLevelType w:val="singleLevel"/>
    <w:tmpl w:val="B3C70C10"/>
    <w:lvl w:ilvl="0">
      <w:start w:val="1"/>
      <w:numFmt w:val="chineseCounting"/>
      <w:suff w:val="nothing"/>
      <w:lvlText w:val="%1、"/>
      <w:lvlJc w:val="left"/>
      <w:pPr>
        <w:ind w:left="0" w:firstLine="420"/>
      </w:pPr>
      <w:rPr>
        <w:rFonts w:hint="eastAsia"/>
      </w:rPr>
    </w:lvl>
  </w:abstractNum>
  <w:abstractNum w:abstractNumId="8" w15:restartNumberingAfterBreak="0">
    <w:nsid w:val="BA64128D"/>
    <w:multiLevelType w:val="singleLevel"/>
    <w:tmpl w:val="BA64128D"/>
    <w:lvl w:ilvl="0">
      <w:start w:val="1"/>
      <w:numFmt w:val="chineseCounting"/>
      <w:suff w:val="nothing"/>
      <w:lvlText w:val="%1、"/>
      <w:lvlJc w:val="left"/>
      <w:pPr>
        <w:ind w:left="0" w:firstLine="420"/>
      </w:pPr>
      <w:rPr>
        <w:rFonts w:hint="eastAsia"/>
      </w:rPr>
    </w:lvl>
  </w:abstractNum>
  <w:abstractNum w:abstractNumId="9" w15:restartNumberingAfterBreak="0">
    <w:nsid w:val="C93EAE26"/>
    <w:multiLevelType w:val="singleLevel"/>
    <w:tmpl w:val="C93EAE26"/>
    <w:lvl w:ilvl="0">
      <w:start w:val="1"/>
      <w:numFmt w:val="chineseCounting"/>
      <w:suff w:val="nothing"/>
      <w:lvlText w:val="（%1）"/>
      <w:lvlJc w:val="left"/>
      <w:pPr>
        <w:ind w:left="0" w:firstLine="420"/>
      </w:pPr>
      <w:rPr>
        <w:rFonts w:hint="eastAsia"/>
      </w:rPr>
    </w:lvl>
  </w:abstractNum>
  <w:abstractNum w:abstractNumId="10" w15:restartNumberingAfterBreak="0">
    <w:nsid w:val="CC59C452"/>
    <w:multiLevelType w:val="singleLevel"/>
    <w:tmpl w:val="CC59C452"/>
    <w:lvl w:ilvl="0">
      <w:start w:val="1"/>
      <w:numFmt w:val="chineseCounting"/>
      <w:suff w:val="space"/>
      <w:lvlText w:val="第%1节"/>
      <w:lvlJc w:val="left"/>
      <w:pPr>
        <w:tabs>
          <w:tab w:val="num" w:pos="0"/>
        </w:tabs>
      </w:pPr>
      <w:rPr>
        <w:rFonts w:hint="eastAsia"/>
      </w:rPr>
    </w:lvl>
  </w:abstractNum>
  <w:abstractNum w:abstractNumId="11" w15:restartNumberingAfterBreak="0">
    <w:nsid w:val="CEE47C4D"/>
    <w:multiLevelType w:val="singleLevel"/>
    <w:tmpl w:val="CEE47C4D"/>
    <w:lvl w:ilvl="0">
      <w:start w:val="1"/>
      <w:numFmt w:val="chineseCounting"/>
      <w:suff w:val="nothing"/>
      <w:lvlText w:val="%1、"/>
      <w:lvlJc w:val="left"/>
      <w:pPr>
        <w:ind w:left="0" w:firstLine="420"/>
      </w:pPr>
      <w:rPr>
        <w:rFonts w:hint="eastAsia"/>
      </w:rPr>
    </w:lvl>
  </w:abstractNum>
  <w:abstractNum w:abstractNumId="12" w15:restartNumberingAfterBreak="0">
    <w:nsid w:val="D15E87F6"/>
    <w:multiLevelType w:val="singleLevel"/>
    <w:tmpl w:val="D15E87F6"/>
    <w:lvl w:ilvl="0">
      <w:start w:val="1"/>
      <w:numFmt w:val="chineseCounting"/>
      <w:suff w:val="nothing"/>
      <w:lvlText w:val="（%1）"/>
      <w:lvlJc w:val="left"/>
      <w:pPr>
        <w:ind w:left="0" w:firstLine="420"/>
      </w:pPr>
      <w:rPr>
        <w:rFonts w:hint="eastAsia"/>
      </w:rPr>
    </w:lvl>
  </w:abstractNum>
  <w:abstractNum w:abstractNumId="13" w15:restartNumberingAfterBreak="0">
    <w:nsid w:val="D41374D1"/>
    <w:multiLevelType w:val="singleLevel"/>
    <w:tmpl w:val="D41374D1"/>
    <w:lvl w:ilvl="0">
      <w:start w:val="1"/>
      <w:numFmt w:val="decimal"/>
      <w:lvlText w:val="[%1]"/>
      <w:lvlJc w:val="left"/>
      <w:pPr>
        <w:tabs>
          <w:tab w:val="num" w:pos="397"/>
        </w:tabs>
        <w:ind w:left="397" w:hanging="397"/>
      </w:pPr>
      <w:rPr>
        <w:rFonts w:hint="eastAsia"/>
        <w:b w:val="0"/>
        <w:i w:val="0"/>
        <w:color w:val="auto"/>
      </w:rPr>
    </w:lvl>
  </w:abstractNum>
  <w:abstractNum w:abstractNumId="14" w15:restartNumberingAfterBreak="0">
    <w:nsid w:val="D7E4BA5C"/>
    <w:multiLevelType w:val="singleLevel"/>
    <w:tmpl w:val="D7E4BA5C"/>
    <w:lvl w:ilvl="0">
      <w:start w:val="1"/>
      <w:numFmt w:val="chineseCounting"/>
      <w:suff w:val="space"/>
      <w:lvlText w:val="第%1节"/>
      <w:lvlJc w:val="left"/>
      <w:pPr>
        <w:tabs>
          <w:tab w:val="num" w:pos="0"/>
        </w:tabs>
      </w:pPr>
      <w:rPr>
        <w:rFonts w:hint="eastAsia"/>
      </w:rPr>
    </w:lvl>
  </w:abstractNum>
  <w:abstractNum w:abstractNumId="15" w15:restartNumberingAfterBreak="0">
    <w:nsid w:val="D7EF6119"/>
    <w:multiLevelType w:val="singleLevel"/>
    <w:tmpl w:val="D7EF6119"/>
    <w:lvl w:ilvl="0">
      <w:start w:val="1"/>
      <w:numFmt w:val="chineseCounting"/>
      <w:suff w:val="nothing"/>
      <w:lvlText w:val="%1、"/>
      <w:lvlJc w:val="left"/>
      <w:pPr>
        <w:ind w:left="0" w:firstLine="420"/>
      </w:pPr>
      <w:rPr>
        <w:rFonts w:hint="eastAsia"/>
      </w:rPr>
    </w:lvl>
  </w:abstractNum>
  <w:abstractNum w:abstractNumId="16" w15:restartNumberingAfterBreak="0">
    <w:nsid w:val="DAF8F866"/>
    <w:multiLevelType w:val="singleLevel"/>
    <w:tmpl w:val="DAF8F866"/>
    <w:lvl w:ilvl="0">
      <w:start w:val="1"/>
      <w:numFmt w:val="chineseCounting"/>
      <w:suff w:val="nothing"/>
      <w:lvlText w:val="%1、"/>
      <w:lvlJc w:val="left"/>
      <w:pPr>
        <w:ind w:left="0" w:firstLine="567"/>
      </w:pPr>
      <w:rPr>
        <w:rFonts w:hint="eastAsia"/>
      </w:rPr>
    </w:lvl>
  </w:abstractNum>
  <w:abstractNum w:abstractNumId="17" w15:restartNumberingAfterBreak="0">
    <w:nsid w:val="E2690B0C"/>
    <w:multiLevelType w:val="singleLevel"/>
    <w:tmpl w:val="E2690B0C"/>
    <w:lvl w:ilvl="0">
      <w:start w:val="1"/>
      <w:numFmt w:val="chineseCounting"/>
      <w:suff w:val="nothing"/>
      <w:lvlText w:val="%1、"/>
      <w:lvlJc w:val="left"/>
      <w:pPr>
        <w:tabs>
          <w:tab w:val="num" w:pos="0"/>
        </w:tabs>
        <w:ind w:left="0" w:firstLine="567"/>
      </w:pPr>
      <w:rPr>
        <w:rFonts w:hint="eastAsia"/>
      </w:rPr>
    </w:lvl>
  </w:abstractNum>
  <w:abstractNum w:abstractNumId="18" w15:restartNumberingAfterBreak="0">
    <w:nsid w:val="E78E20EE"/>
    <w:multiLevelType w:val="singleLevel"/>
    <w:tmpl w:val="E78E20EE"/>
    <w:lvl w:ilvl="0">
      <w:start w:val="1"/>
      <w:numFmt w:val="decimal"/>
      <w:lvlText w:val="[%1]"/>
      <w:lvlJc w:val="left"/>
      <w:pPr>
        <w:tabs>
          <w:tab w:val="num" w:pos="397"/>
        </w:tabs>
        <w:ind w:left="397" w:hanging="397"/>
      </w:pPr>
      <w:rPr>
        <w:rFonts w:hint="eastAsia"/>
        <w:b w:val="0"/>
        <w:i w:val="0"/>
        <w:color w:val="auto"/>
      </w:rPr>
    </w:lvl>
  </w:abstractNum>
  <w:abstractNum w:abstractNumId="19" w15:restartNumberingAfterBreak="0">
    <w:nsid w:val="F3EA37CF"/>
    <w:multiLevelType w:val="singleLevel"/>
    <w:tmpl w:val="F3EA37CF"/>
    <w:lvl w:ilvl="0">
      <w:start w:val="1"/>
      <w:numFmt w:val="chineseCounting"/>
      <w:suff w:val="nothing"/>
      <w:lvlText w:val="（%1）"/>
      <w:lvlJc w:val="left"/>
      <w:pPr>
        <w:ind w:left="0" w:firstLine="420"/>
      </w:pPr>
      <w:rPr>
        <w:rFonts w:hint="eastAsia"/>
      </w:rPr>
    </w:lvl>
  </w:abstractNum>
  <w:abstractNum w:abstractNumId="20" w15:restartNumberingAfterBreak="0">
    <w:nsid w:val="03383CCA"/>
    <w:multiLevelType w:val="singleLevel"/>
    <w:tmpl w:val="03383CCA"/>
    <w:lvl w:ilvl="0">
      <w:start w:val="1"/>
      <w:numFmt w:val="chineseCounting"/>
      <w:suff w:val="nothing"/>
      <w:lvlText w:val="%1、"/>
      <w:lvlJc w:val="left"/>
      <w:pPr>
        <w:tabs>
          <w:tab w:val="num" w:pos="0"/>
        </w:tabs>
        <w:ind w:left="0" w:firstLine="567"/>
      </w:pPr>
      <w:rPr>
        <w:rFonts w:hint="eastAsia"/>
      </w:rPr>
    </w:lvl>
  </w:abstractNum>
  <w:abstractNum w:abstractNumId="21" w15:restartNumberingAfterBreak="0">
    <w:nsid w:val="07367730"/>
    <w:multiLevelType w:val="singleLevel"/>
    <w:tmpl w:val="07367730"/>
    <w:lvl w:ilvl="0">
      <w:start w:val="1"/>
      <w:numFmt w:val="chineseCounting"/>
      <w:suff w:val="nothing"/>
      <w:lvlText w:val="（%1）"/>
      <w:lvlJc w:val="left"/>
      <w:pPr>
        <w:ind w:left="0" w:firstLine="420"/>
      </w:pPr>
      <w:rPr>
        <w:rFonts w:hint="eastAsia"/>
      </w:rPr>
    </w:lvl>
  </w:abstractNum>
  <w:abstractNum w:abstractNumId="22" w15:restartNumberingAfterBreak="0">
    <w:nsid w:val="073F6717"/>
    <w:multiLevelType w:val="singleLevel"/>
    <w:tmpl w:val="073F6717"/>
    <w:lvl w:ilvl="0">
      <w:start w:val="1"/>
      <w:numFmt w:val="chineseCounting"/>
      <w:suff w:val="nothing"/>
      <w:lvlText w:val="（%1）"/>
      <w:lvlJc w:val="left"/>
      <w:pPr>
        <w:ind w:left="0" w:firstLine="420"/>
      </w:pPr>
      <w:rPr>
        <w:rFonts w:hint="eastAsia"/>
      </w:rPr>
    </w:lvl>
  </w:abstractNum>
  <w:abstractNum w:abstractNumId="23" w15:restartNumberingAfterBreak="0">
    <w:nsid w:val="0B874103"/>
    <w:multiLevelType w:val="singleLevel"/>
    <w:tmpl w:val="0B874103"/>
    <w:lvl w:ilvl="0">
      <w:start w:val="1"/>
      <w:numFmt w:val="chineseCounting"/>
      <w:suff w:val="nothing"/>
      <w:lvlText w:val="（%1）"/>
      <w:lvlJc w:val="left"/>
      <w:rPr>
        <w:rFonts w:hint="eastAsia"/>
      </w:rPr>
    </w:lvl>
  </w:abstractNum>
  <w:abstractNum w:abstractNumId="24" w15:restartNumberingAfterBreak="0">
    <w:nsid w:val="0CF12584"/>
    <w:multiLevelType w:val="singleLevel"/>
    <w:tmpl w:val="0CF12584"/>
    <w:lvl w:ilvl="0">
      <w:start w:val="1"/>
      <w:numFmt w:val="chineseCounting"/>
      <w:suff w:val="nothing"/>
      <w:lvlText w:val="%1、"/>
      <w:lvlJc w:val="left"/>
      <w:pPr>
        <w:tabs>
          <w:tab w:val="num" w:pos="0"/>
        </w:tabs>
        <w:ind w:left="0" w:firstLine="567"/>
      </w:pPr>
      <w:rPr>
        <w:rFonts w:hint="eastAsia"/>
      </w:rPr>
    </w:lvl>
  </w:abstractNum>
  <w:abstractNum w:abstractNumId="25" w15:restartNumberingAfterBreak="0">
    <w:nsid w:val="0DCAF8C1"/>
    <w:multiLevelType w:val="singleLevel"/>
    <w:tmpl w:val="0DCAF8C1"/>
    <w:lvl w:ilvl="0">
      <w:start w:val="1"/>
      <w:numFmt w:val="chineseCounting"/>
      <w:suff w:val="nothing"/>
      <w:lvlText w:val="%1、"/>
      <w:lvlJc w:val="left"/>
      <w:pPr>
        <w:ind w:left="0" w:firstLine="420"/>
      </w:pPr>
      <w:rPr>
        <w:rFonts w:hint="eastAsia"/>
      </w:rPr>
    </w:lvl>
  </w:abstractNum>
  <w:abstractNum w:abstractNumId="26" w15:restartNumberingAfterBreak="0">
    <w:nsid w:val="1536730A"/>
    <w:multiLevelType w:val="singleLevel"/>
    <w:tmpl w:val="1536730A"/>
    <w:lvl w:ilvl="0">
      <w:start w:val="1"/>
      <w:numFmt w:val="upperRoman"/>
      <w:lvlText w:val="附录%1"/>
      <w:lvlJc w:val="left"/>
      <w:pPr>
        <w:tabs>
          <w:tab w:val="num" w:pos="720"/>
        </w:tabs>
        <w:ind w:left="680" w:hanging="680"/>
      </w:pPr>
      <w:rPr>
        <w:rFonts w:ascii="Times New Roman" w:hAnsi="Times New Roman" w:cs="Times New Roman" w:hint="default"/>
        <w:color w:val="auto"/>
      </w:rPr>
    </w:lvl>
  </w:abstractNum>
  <w:abstractNum w:abstractNumId="27" w15:restartNumberingAfterBreak="0">
    <w:nsid w:val="1D546873"/>
    <w:multiLevelType w:val="singleLevel"/>
    <w:tmpl w:val="1D546873"/>
    <w:lvl w:ilvl="0">
      <w:start w:val="1"/>
      <w:numFmt w:val="chineseCounting"/>
      <w:suff w:val="nothing"/>
      <w:lvlText w:val="%1、"/>
      <w:lvlJc w:val="left"/>
      <w:pPr>
        <w:ind w:left="0" w:firstLine="420"/>
      </w:pPr>
      <w:rPr>
        <w:rFonts w:hint="eastAsia"/>
      </w:rPr>
    </w:lvl>
  </w:abstractNum>
  <w:abstractNum w:abstractNumId="28" w15:restartNumberingAfterBreak="0">
    <w:nsid w:val="2555E605"/>
    <w:multiLevelType w:val="singleLevel"/>
    <w:tmpl w:val="2555E605"/>
    <w:lvl w:ilvl="0">
      <w:start w:val="1"/>
      <w:numFmt w:val="chineseCounting"/>
      <w:suff w:val="space"/>
      <w:lvlText w:val="第%1节"/>
      <w:lvlJc w:val="left"/>
      <w:pPr>
        <w:tabs>
          <w:tab w:val="num" w:pos="0"/>
        </w:tabs>
      </w:pPr>
      <w:rPr>
        <w:rFonts w:hint="eastAsia"/>
      </w:rPr>
    </w:lvl>
  </w:abstractNum>
  <w:abstractNum w:abstractNumId="29" w15:restartNumberingAfterBreak="0">
    <w:nsid w:val="30B34ACE"/>
    <w:multiLevelType w:val="singleLevel"/>
    <w:tmpl w:val="30B34ACE"/>
    <w:lvl w:ilvl="0">
      <w:start w:val="1"/>
      <w:numFmt w:val="chineseCounting"/>
      <w:suff w:val="nothing"/>
      <w:lvlText w:val="（%1）"/>
      <w:lvlJc w:val="left"/>
      <w:pPr>
        <w:ind w:left="0" w:firstLine="420"/>
      </w:pPr>
      <w:rPr>
        <w:rFonts w:hint="eastAsia"/>
      </w:rPr>
    </w:lvl>
  </w:abstractNum>
  <w:abstractNum w:abstractNumId="30" w15:restartNumberingAfterBreak="0">
    <w:nsid w:val="34ED2517"/>
    <w:multiLevelType w:val="singleLevel"/>
    <w:tmpl w:val="34ED2517"/>
    <w:lvl w:ilvl="0">
      <w:start w:val="1"/>
      <w:numFmt w:val="chineseCounting"/>
      <w:suff w:val="space"/>
      <w:lvlText w:val="第%1节"/>
      <w:lvlJc w:val="left"/>
      <w:pPr>
        <w:tabs>
          <w:tab w:val="num" w:pos="0"/>
        </w:tabs>
      </w:pPr>
      <w:rPr>
        <w:rFonts w:hint="eastAsia"/>
      </w:rPr>
    </w:lvl>
  </w:abstractNum>
  <w:abstractNum w:abstractNumId="31" w15:restartNumberingAfterBreak="0">
    <w:nsid w:val="38B8A468"/>
    <w:multiLevelType w:val="singleLevel"/>
    <w:tmpl w:val="38B8A468"/>
    <w:lvl w:ilvl="0">
      <w:start w:val="1"/>
      <w:numFmt w:val="chineseCounting"/>
      <w:suff w:val="nothing"/>
      <w:lvlText w:val="（%1）"/>
      <w:lvlJc w:val="left"/>
      <w:pPr>
        <w:ind w:left="0" w:firstLine="420"/>
      </w:pPr>
      <w:rPr>
        <w:rFonts w:hint="eastAsia"/>
      </w:rPr>
    </w:lvl>
  </w:abstractNum>
  <w:abstractNum w:abstractNumId="32" w15:restartNumberingAfterBreak="0">
    <w:nsid w:val="3BDCC5AF"/>
    <w:multiLevelType w:val="singleLevel"/>
    <w:tmpl w:val="3BDCC5AF"/>
    <w:lvl w:ilvl="0">
      <w:start w:val="1"/>
      <w:numFmt w:val="chineseCounting"/>
      <w:suff w:val="nothing"/>
      <w:lvlText w:val="（%1）"/>
      <w:lvlJc w:val="left"/>
      <w:pPr>
        <w:ind w:left="0" w:firstLine="420"/>
      </w:pPr>
      <w:rPr>
        <w:rFonts w:hint="eastAsia"/>
      </w:rPr>
    </w:lvl>
  </w:abstractNum>
  <w:abstractNum w:abstractNumId="33" w15:restartNumberingAfterBreak="0">
    <w:nsid w:val="3E2544A4"/>
    <w:multiLevelType w:val="multilevel"/>
    <w:tmpl w:val="3E2544A4"/>
    <w:lvl w:ilvl="0">
      <w:start w:val="1"/>
      <w:numFmt w:val="japaneseCounting"/>
      <w:lvlText w:val="%1、"/>
      <w:lvlJc w:val="left"/>
      <w:pPr>
        <w:tabs>
          <w:tab w:val="num" w:pos="720"/>
        </w:tabs>
        <w:ind w:left="720" w:hanging="72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34" w15:restartNumberingAfterBreak="0">
    <w:nsid w:val="45BC76E8"/>
    <w:multiLevelType w:val="singleLevel"/>
    <w:tmpl w:val="45BC76E8"/>
    <w:lvl w:ilvl="0">
      <w:start w:val="1"/>
      <w:numFmt w:val="chineseCounting"/>
      <w:suff w:val="nothing"/>
      <w:lvlText w:val="%1、"/>
      <w:lvlJc w:val="left"/>
      <w:pPr>
        <w:ind w:left="857" w:firstLine="420"/>
      </w:pPr>
      <w:rPr>
        <w:rFonts w:hint="eastAsia"/>
        <w:lang w:val="en-US"/>
      </w:rPr>
    </w:lvl>
  </w:abstractNum>
  <w:abstractNum w:abstractNumId="35" w15:restartNumberingAfterBreak="0">
    <w:nsid w:val="4A013371"/>
    <w:multiLevelType w:val="singleLevel"/>
    <w:tmpl w:val="4A013371"/>
    <w:lvl w:ilvl="0">
      <w:start w:val="1"/>
      <w:numFmt w:val="chineseCounting"/>
      <w:suff w:val="space"/>
      <w:lvlText w:val="第%1节"/>
      <w:lvlJc w:val="left"/>
      <w:pPr>
        <w:tabs>
          <w:tab w:val="num" w:pos="3260"/>
        </w:tabs>
      </w:pPr>
      <w:rPr>
        <w:rFonts w:hint="eastAsia"/>
      </w:rPr>
    </w:lvl>
  </w:abstractNum>
  <w:abstractNum w:abstractNumId="36" w15:restartNumberingAfterBreak="0">
    <w:nsid w:val="4B58B48F"/>
    <w:multiLevelType w:val="singleLevel"/>
    <w:tmpl w:val="4B58B48F"/>
    <w:lvl w:ilvl="0">
      <w:start w:val="1"/>
      <w:numFmt w:val="chineseCounting"/>
      <w:suff w:val="nothing"/>
      <w:lvlText w:val="（%1）"/>
      <w:lvlJc w:val="left"/>
      <w:pPr>
        <w:ind w:left="0" w:firstLine="420"/>
      </w:pPr>
      <w:rPr>
        <w:rFonts w:hint="eastAsia"/>
      </w:rPr>
    </w:lvl>
  </w:abstractNum>
  <w:abstractNum w:abstractNumId="37" w15:restartNumberingAfterBreak="0">
    <w:nsid w:val="4D5FB117"/>
    <w:multiLevelType w:val="singleLevel"/>
    <w:tmpl w:val="4D5FB117"/>
    <w:lvl w:ilvl="0">
      <w:start w:val="1"/>
      <w:numFmt w:val="chineseCounting"/>
      <w:suff w:val="nothing"/>
      <w:lvlText w:val="%1、"/>
      <w:lvlJc w:val="left"/>
      <w:pPr>
        <w:tabs>
          <w:tab w:val="num" w:pos="0"/>
        </w:tabs>
        <w:ind w:left="0" w:firstLine="567"/>
      </w:pPr>
      <w:rPr>
        <w:rFonts w:hint="eastAsia"/>
        <w:lang w:eastAsia="zh-CN"/>
      </w:rPr>
    </w:lvl>
  </w:abstractNum>
  <w:abstractNum w:abstractNumId="38" w15:restartNumberingAfterBreak="0">
    <w:nsid w:val="528F94EB"/>
    <w:multiLevelType w:val="singleLevel"/>
    <w:tmpl w:val="528F94EB"/>
    <w:lvl w:ilvl="0">
      <w:start w:val="1"/>
      <w:numFmt w:val="chineseCounting"/>
      <w:suff w:val="nothing"/>
      <w:lvlText w:val="（%1）"/>
      <w:lvlJc w:val="left"/>
      <w:pPr>
        <w:ind w:left="0" w:firstLine="420"/>
      </w:pPr>
      <w:rPr>
        <w:rFonts w:hint="eastAsia"/>
      </w:rPr>
    </w:lvl>
  </w:abstractNum>
  <w:abstractNum w:abstractNumId="39" w15:restartNumberingAfterBreak="0">
    <w:nsid w:val="5835351F"/>
    <w:multiLevelType w:val="multilevel"/>
    <w:tmpl w:val="5835351F"/>
    <w:lvl w:ilvl="0">
      <w:start w:val="1"/>
      <w:numFmt w:val="decimal"/>
      <w:suff w:val="space"/>
      <w:lvlText w:val="第%1章 "/>
      <w:lvlJc w:val="left"/>
      <w:pPr>
        <w:ind w:left="4617" w:hanging="4617"/>
      </w:pPr>
      <w:rPr>
        <w:rFonts w:ascii="Times New Roman" w:eastAsia="宋体" w:hAnsi="Times New Roman" w:cs="Times New Roman" w:hint="default"/>
        <w:b/>
        <w:color w:val="auto"/>
        <w:spacing w:val="0"/>
        <w:position w:val="0"/>
      </w:rPr>
    </w:lvl>
    <w:lvl w:ilvl="1">
      <w:start w:val="1"/>
      <w:numFmt w:val="decimal"/>
      <w:suff w:val="space"/>
      <w:lvlText w:val="%1.%2 "/>
      <w:lvlJc w:val="left"/>
      <w:pPr>
        <w:ind w:left="0" w:firstLine="0"/>
      </w:pPr>
      <w:rPr>
        <w:rFonts w:ascii="Times New Roman" w:eastAsia="黑体" w:hAnsi="Times New Roman" w:hint="default"/>
        <w:b/>
        <w:i w:val="0"/>
        <w:sz w:val="28"/>
      </w:rPr>
    </w:lvl>
    <w:lvl w:ilvl="2">
      <w:start w:val="1"/>
      <w:numFmt w:val="decimal"/>
      <w:suff w:val="space"/>
      <w:lvlText w:val="%1.%2.%3 "/>
      <w:lvlJc w:val="left"/>
      <w:pPr>
        <w:ind w:left="0" w:firstLine="0"/>
      </w:pPr>
      <w:rPr>
        <w:rFonts w:ascii="Times New Roman" w:eastAsia="黑体" w:hAnsi="Times New Roman" w:hint="default"/>
        <w:b/>
        <w:sz w:val="24"/>
      </w:rPr>
    </w:lvl>
    <w:lvl w:ilvl="3">
      <w:start w:val="1"/>
      <w:numFmt w:val="none"/>
      <w:suff w:val="nothing"/>
      <w:lvlText w:val=""/>
      <w:lvlJc w:val="left"/>
      <w:pPr>
        <w:ind w:left="0" w:firstLine="0"/>
      </w:pPr>
      <w:rPr>
        <w:rFonts w:hint="eastAsia"/>
      </w:rPr>
    </w:lvl>
    <w:lvl w:ilvl="4">
      <w:start w:val="1"/>
      <w:numFmt w:val="none"/>
      <w:suff w:val="nothing"/>
      <w:lvlText w:val=""/>
      <w:lvlJc w:val="left"/>
      <w:pPr>
        <w:ind w:left="0" w:firstLine="0"/>
      </w:pPr>
      <w:rPr>
        <w:rFonts w:hint="eastAsia"/>
      </w:rPr>
    </w:lvl>
    <w:lvl w:ilvl="5">
      <w:start w:val="1"/>
      <w:numFmt w:val="none"/>
      <w:suff w:val="nothing"/>
      <w:lvlText w:val=""/>
      <w:lvlJc w:val="left"/>
      <w:pPr>
        <w:ind w:left="0" w:firstLine="0"/>
      </w:pPr>
      <w:rPr>
        <w:rFonts w:hint="eastAsia"/>
      </w:rPr>
    </w:lvl>
    <w:lvl w:ilvl="6">
      <w:start w:val="1"/>
      <w:numFmt w:val="none"/>
      <w:suff w:val="nothing"/>
      <w:lvlText w:val=""/>
      <w:lvlJc w:val="left"/>
      <w:pPr>
        <w:ind w:left="0" w:firstLine="0"/>
      </w:pPr>
      <w:rPr>
        <w:rFonts w:hint="eastAsia"/>
      </w:rPr>
    </w:lvl>
    <w:lvl w:ilvl="7">
      <w:start w:val="1"/>
      <w:numFmt w:val="none"/>
      <w:suff w:val="nothing"/>
      <w:lvlText w:val=""/>
      <w:lvlJc w:val="left"/>
      <w:pPr>
        <w:ind w:left="0" w:firstLine="0"/>
      </w:pPr>
      <w:rPr>
        <w:rFonts w:hint="eastAsia"/>
      </w:rPr>
    </w:lvl>
    <w:lvl w:ilvl="8">
      <w:start w:val="1"/>
      <w:numFmt w:val="none"/>
      <w:suff w:val="nothing"/>
      <w:lvlText w:val=""/>
      <w:lvlJc w:val="left"/>
      <w:pPr>
        <w:ind w:left="0" w:firstLine="0"/>
      </w:pPr>
      <w:rPr>
        <w:rFonts w:hint="eastAsia"/>
      </w:rPr>
    </w:lvl>
  </w:abstractNum>
  <w:abstractNum w:abstractNumId="40" w15:restartNumberingAfterBreak="0">
    <w:nsid w:val="58F78BCF"/>
    <w:multiLevelType w:val="singleLevel"/>
    <w:tmpl w:val="58F78BCF"/>
    <w:lvl w:ilvl="0">
      <w:start w:val="1"/>
      <w:numFmt w:val="chineseCounting"/>
      <w:suff w:val="nothing"/>
      <w:lvlText w:val="%1、"/>
      <w:lvlJc w:val="left"/>
      <w:pPr>
        <w:tabs>
          <w:tab w:val="num" w:pos="0"/>
        </w:tabs>
        <w:ind w:left="0" w:firstLine="567"/>
      </w:pPr>
      <w:rPr>
        <w:rFonts w:hint="eastAsia"/>
      </w:rPr>
    </w:lvl>
  </w:abstractNum>
  <w:abstractNum w:abstractNumId="41" w15:restartNumberingAfterBreak="0">
    <w:nsid w:val="65F0D7B3"/>
    <w:multiLevelType w:val="singleLevel"/>
    <w:tmpl w:val="65F0D7B3"/>
    <w:lvl w:ilvl="0">
      <w:start w:val="1"/>
      <w:numFmt w:val="chineseCounting"/>
      <w:suff w:val="nothing"/>
      <w:lvlText w:val="（%1）"/>
      <w:lvlJc w:val="left"/>
      <w:pPr>
        <w:ind w:left="0" w:firstLine="420"/>
      </w:pPr>
      <w:rPr>
        <w:rFonts w:hint="eastAsia"/>
      </w:rPr>
    </w:lvl>
  </w:abstractNum>
  <w:abstractNum w:abstractNumId="42" w15:restartNumberingAfterBreak="0">
    <w:nsid w:val="6AC2F089"/>
    <w:multiLevelType w:val="singleLevel"/>
    <w:tmpl w:val="6AC2F089"/>
    <w:lvl w:ilvl="0">
      <w:start w:val="1"/>
      <w:numFmt w:val="chineseCounting"/>
      <w:suff w:val="nothing"/>
      <w:lvlText w:val="%1、"/>
      <w:lvlJc w:val="left"/>
      <w:pPr>
        <w:ind w:left="0" w:firstLine="420"/>
      </w:pPr>
      <w:rPr>
        <w:rFonts w:hint="eastAsia"/>
      </w:rPr>
    </w:lvl>
  </w:abstractNum>
  <w:abstractNum w:abstractNumId="43" w15:restartNumberingAfterBreak="0">
    <w:nsid w:val="74C33D20"/>
    <w:multiLevelType w:val="singleLevel"/>
    <w:tmpl w:val="74C33D20"/>
    <w:lvl w:ilvl="0">
      <w:start w:val="1"/>
      <w:numFmt w:val="decimal"/>
      <w:suff w:val="space"/>
      <w:lvlText w:val="%1."/>
      <w:lvlJc w:val="left"/>
      <w:pPr>
        <w:ind w:left="454" w:firstLine="113"/>
      </w:pPr>
      <w:rPr>
        <w:rFonts w:hint="default"/>
      </w:rPr>
    </w:lvl>
  </w:abstractNum>
  <w:abstractNum w:abstractNumId="44" w15:restartNumberingAfterBreak="0">
    <w:nsid w:val="7810D6FC"/>
    <w:multiLevelType w:val="singleLevel"/>
    <w:tmpl w:val="7810D6FC"/>
    <w:lvl w:ilvl="0">
      <w:start w:val="1"/>
      <w:numFmt w:val="chineseCounting"/>
      <w:suff w:val="space"/>
      <w:lvlText w:val="第%1章"/>
      <w:lvlJc w:val="left"/>
      <w:pPr>
        <w:tabs>
          <w:tab w:val="num" w:pos="0"/>
        </w:tabs>
      </w:pPr>
      <w:rPr>
        <w:rFonts w:hint="eastAsia"/>
      </w:rPr>
    </w:lvl>
  </w:abstractNum>
  <w:num w:numId="1" w16cid:durableId="745542052">
    <w:abstractNumId w:val="39"/>
  </w:num>
  <w:num w:numId="2" w16cid:durableId="1852603345">
    <w:abstractNumId w:val="44"/>
  </w:num>
  <w:num w:numId="3" w16cid:durableId="1544639464">
    <w:abstractNumId w:val="28"/>
  </w:num>
  <w:num w:numId="4" w16cid:durableId="941494852">
    <w:abstractNumId w:val="37"/>
  </w:num>
  <w:num w:numId="5" w16cid:durableId="1743478635">
    <w:abstractNumId w:val="13"/>
  </w:num>
  <w:num w:numId="6" w16cid:durableId="1348024201">
    <w:abstractNumId w:val="33"/>
  </w:num>
  <w:num w:numId="7" w16cid:durableId="900019549">
    <w:abstractNumId w:val="26"/>
  </w:num>
  <w:num w:numId="8" w16cid:durableId="1742677533">
    <w:abstractNumId w:val="6"/>
  </w:num>
  <w:num w:numId="9" w16cid:durableId="1668290563">
    <w:abstractNumId w:val="42"/>
  </w:num>
  <w:num w:numId="10" w16cid:durableId="1341276248">
    <w:abstractNumId w:val="2"/>
  </w:num>
  <w:num w:numId="11" w16cid:durableId="765928311">
    <w:abstractNumId w:val="34"/>
  </w:num>
  <w:num w:numId="12" w16cid:durableId="967979893">
    <w:abstractNumId w:val="19"/>
  </w:num>
  <w:num w:numId="13" w16cid:durableId="1314334448">
    <w:abstractNumId w:val="43"/>
  </w:num>
  <w:num w:numId="14" w16cid:durableId="2034456555">
    <w:abstractNumId w:val="12"/>
  </w:num>
  <w:num w:numId="15" w16cid:durableId="166872971">
    <w:abstractNumId w:val="8"/>
  </w:num>
  <w:num w:numId="16" w16cid:durableId="1654291364">
    <w:abstractNumId w:val="31"/>
  </w:num>
  <w:num w:numId="17" w16cid:durableId="52900187">
    <w:abstractNumId w:val="35"/>
    <w:lvlOverride w:ilvl="0">
      <w:startOverride w:val="1"/>
    </w:lvlOverride>
  </w:num>
  <w:num w:numId="18" w16cid:durableId="631253394">
    <w:abstractNumId w:val="16"/>
  </w:num>
  <w:num w:numId="19" w16cid:durableId="79330717">
    <w:abstractNumId w:val="41"/>
  </w:num>
  <w:num w:numId="20" w16cid:durableId="1108161456">
    <w:abstractNumId w:val="32"/>
  </w:num>
  <w:num w:numId="21" w16cid:durableId="456339140">
    <w:abstractNumId w:val="17"/>
    <w:lvlOverride w:ilvl="0">
      <w:startOverride w:val="1"/>
    </w:lvlOverride>
  </w:num>
  <w:num w:numId="22" w16cid:durableId="1592005801">
    <w:abstractNumId w:val="30"/>
    <w:lvlOverride w:ilvl="0">
      <w:startOverride w:val="1"/>
    </w:lvlOverride>
  </w:num>
  <w:num w:numId="23" w16cid:durableId="1164855626">
    <w:abstractNumId w:val="25"/>
  </w:num>
  <w:num w:numId="24" w16cid:durableId="1502969760">
    <w:abstractNumId w:val="11"/>
  </w:num>
  <w:num w:numId="25" w16cid:durableId="1737123194">
    <w:abstractNumId w:val="1"/>
  </w:num>
  <w:num w:numId="26" w16cid:durableId="1195970462">
    <w:abstractNumId w:val="27"/>
  </w:num>
  <w:num w:numId="27" w16cid:durableId="1350183983">
    <w:abstractNumId w:val="9"/>
  </w:num>
  <w:num w:numId="28" w16cid:durableId="1151022806">
    <w:abstractNumId w:val="21"/>
  </w:num>
  <w:num w:numId="29" w16cid:durableId="1789658551">
    <w:abstractNumId w:val="10"/>
  </w:num>
  <w:num w:numId="30" w16cid:durableId="1872841848">
    <w:abstractNumId w:val="36"/>
  </w:num>
  <w:num w:numId="31" w16cid:durableId="1584099045">
    <w:abstractNumId w:val="38"/>
  </w:num>
  <w:num w:numId="32" w16cid:durableId="270357017">
    <w:abstractNumId w:val="29"/>
  </w:num>
  <w:num w:numId="33" w16cid:durableId="1312321075">
    <w:abstractNumId w:val="7"/>
  </w:num>
  <w:num w:numId="34" w16cid:durableId="1702166585">
    <w:abstractNumId w:val="22"/>
  </w:num>
  <w:num w:numId="35" w16cid:durableId="954293914">
    <w:abstractNumId w:val="3"/>
  </w:num>
  <w:num w:numId="36" w16cid:durableId="346561909">
    <w:abstractNumId w:val="14"/>
    <w:lvlOverride w:ilvl="0">
      <w:startOverride w:val="1"/>
    </w:lvlOverride>
  </w:num>
  <w:num w:numId="37" w16cid:durableId="1494223595">
    <w:abstractNumId w:val="4"/>
    <w:lvlOverride w:ilvl="0">
      <w:startOverride w:val="1"/>
    </w:lvlOverride>
  </w:num>
  <w:num w:numId="38" w16cid:durableId="359355557">
    <w:abstractNumId w:val="0"/>
  </w:num>
  <w:num w:numId="39" w16cid:durableId="2006516015">
    <w:abstractNumId w:val="5"/>
  </w:num>
  <w:num w:numId="40" w16cid:durableId="564223545">
    <w:abstractNumId w:val="15"/>
  </w:num>
  <w:num w:numId="41" w16cid:durableId="5140845">
    <w:abstractNumId w:val="40"/>
    <w:lvlOverride w:ilvl="0">
      <w:startOverride w:val="1"/>
    </w:lvlOverride>
  </w:num>
  <w:num w:numId="42" w16cid:durableId="1006322110">
    <w:abstractNumId w:val="20"/>
    <w:lvlOverride w:ilvl="0">
      <w:startOverride w:val="1"/>
    </w:lvlOverride>
  </w:num>
  <w:num w:numId="43" w16cid:durableId="1157577201">
    <w:abstractNumId w:val="23"/>
  </w:num>
  <w:num w:numId="44" w16cid:durableId="52169422">
    <w:abstractNumId w:val="24"/>
    <w:lvlOverride w:ilvl="0">
      <w:startOverride w:val="1"/>
    </w:lvlOverride>
  </w:num>
  <w:num w:numId="45" w16cid:durableId="578440479">
    <w:abstractNumId w:val="28"/>
    <w:lvlOverride w:ilvl="0">
      <w:startOverride w:val="1"/>
    </w:lvlOverride>
  </w:num>
  <w:num w:numId="46" w16cid:durableId="135727026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0"/>
  <w:displayBackgroundShape/>
  <w:attachedTemplate r:id="rId1"/>
  <w:doNotTrackMoves/>
  <w:defaultTabStop w:val="360"/>
  <w:evenAndOddHeaders/>
  <w:drawingGridHorizontalSpacing w:val="243"/>
  <w:drawingGridVerticalSpacing w:val="415"/>
  <w:doNotShadeFormData/>
  <w:noPunctuationKerning/>
  <w:characterSpacingControl w:val="doNotCompress"/>
  <w:hdrShapeDefaults>
    <o:shapedefaults v:ext="edit" spidmax="2150" fillcolor="white">
      <v:fill color="white"/>
    </o:shapedefaults>
    <o:shapelayout v:ext="edit">
      <o:idmap v:ext="edit" data="1"/>
    </o:shapelayout>
  </w:hdrShapeDefaults>
  <w:footnotePr>
    <w:numRestart w:val="eachPage"/>
    <w:footnote w:id="-1"/>
    <w:footnote w:id="0"/>
  </w:footnotePr>
  <w:endnotePr>
    <w:endnote w:id="-1"/>
    <w:endnote w:id="0"/>
  </w:endnotePr>
  <w:compat>
    <w:spaceForUL/>
    <w:balanceSingleByteDoubleByteWidth/>
    <w:doNotLeaveBackslashAlone/>
    <w:ulTrailSpace/>
    <w:doNotExpandShiftReturn/>
    <w:doNotSuppressParagraphBorders/>
    <w:footnoteLayoutLikeWW8/>
    <w:forgetLastTabAlignment/>
    <w:layoutRawTableWidth/>
    <w:layoutTableRowsApart/>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ODc5NWIxNDVkMDcxYjQyOTk1NzhjMzgxOGYwOWYyNGMifQ=="/>
  </w:docVars>
  <w:rsids>
    <w:rsidRoot w:val="00A16A65"/>
    <w:rsid w:val="000232A6"/>
    <w:rsid w:val="00067EAF"/>
    <w:rsid w:val="00092360"/>
    <w:rsid w:val="000B74D8"/>
    <w:rsid w:val="000D63ED"/>
    <w:rsid w:val="000E00F2"/>
    <w:rsid w:val="00112D36"/>
    <w:rsid w:val="0012371D"/>
    <w:rsid w:val="001336F8"/>
    <w:rsid w:val="00143A50"/>
    <w:rsid w:val="0016470F"/>
    <w:rsid w:val="00182860"/>
    <w:rsid w:val="001E3755"/>
    <w:rsid w:val="001F07E8"/>
    <w:rsid w:val="002633B4"/>
    <w:rsid w:val="0029422B"/>
    <w:rsid w:val="002D79B0"/>
    <w:rsid w:val="00307E5D"/>
    <w:rsid w:val="003732C2"/>
    <w:rsid w:val="003B3FF9"/>
    <w:rsid w:val="003C5AA8"/>
    <w:rsid w:val="00420AAD"/>
    <w:rsid w:val="005243A7"/>
    <w:rsid w:val="00562B47"/>
    <w:rsid w:val="00575A05"/>
    <w:rsid w:val="00584439"/>
    <w:rsid w:val="005B4F89"/>
    <w:rsid w:val="005B7DE3"/>
    <w:rsid w:val="005F0382"/>
    <w:rsid w:val="00613432"/>
    <w:rsid w:val="0061349C"/>
    <w:rsid w:val="00645891"/>
    <w:rsid w:val="00647C87"/>
    <w:rsid w:val="007E54DE"/>
    <w:rsid w:val="007F108A"/>
    <w:rsid w:val="007F5ED3"/>
    <w:rsid w:val="007F61D7"/>
    <w:rsid w:val="00832D6C"/>
    <w:rsid w:val="008674F5"/>
    <w:rsid w:val="00991A67"/>
    <w:rsid w:val="009A5241"/>
    <w:rsid w:val="00A16A65"/>
    <w:rsid w:val="00AA1BFD"/>
    <w:rsid w:val="00B13755"/>
    <w:rsid w:val="00B72742"/>
    <w:rsid w:val="00BB366A"/>
    <w:rsid w:val="00C05A45"/>
    <w:rsid w:val="00C52508"/>
    <w:rsid w:val="00C76022"/>
    <w:rsid w:val="00CC6A80"/>
    <w:rsid w:val="00D47667"/>
    <w:rsid w:val="00D55F31"/>
    <w:rsid w:val="00DD7692"/>
    <w:rsid w:val="00DF77C1"/>
    <w:rsid w:val="00E42EE7"/>
    <w:rsid w:val="00F87BA8"/>
    <w:rsid w:val="01852063"/>
    <w:rsid w:val="01C56903"/>
    <w:rsid w:val="03946217"/>
    <w:rsid w:val="058228AD"/>
    <w:rsid w:val="0632648F"/>
    <w:rsid w:val="06D84D92"/>
    <w:rsid w:val="083D5AC0"/>
    <w:rsid w:val="09B90AFC"/>
    <w:rsid w:val="0A045EA6"/>
    <w:rsid w:val="0A662542"/>
    <w:rsid w:val="0A9B36F2"/>
    <w:rsid w:val="0B3951BE"/>
    <w:rsid w:val="0B7E024F"/>
    <w:rsid w:val="0C8F08BF"/>
    <w:rsid w:val="0D95046E"/>
    <w:rsid w:val="0DC16AA6"/>
    <w:rsid w:val="0E532C29"/>
    <w:rsid w:val="0E62590F"/>
    <w:rsid w:val="0EB03058"/>
    <w:rsid w:val="0F5E7C89"/>
    <w:rsid w:val="1129402E"/>
    <w:rsid w:val="11307F6F"/>
    <w:rsid w:val="11441D0A"/>
    <w:rsid w:val="115455AE"/>
    <w:rsid w:val="118C679D"/>
    <w:rsid w:val="11A57F9D"/>
    <w:rsid w:val="12077BE7"/>
    <w:rsid w:val="12DF1205"/>
    <w:rsid w:val="13031039"/>
    <w:rsid w:val="141A2ADF"/>
    <w:rsid w:val="15400925"/>
    <w:rsid w:val="174A5489"/>
    <w:rsid w:val="19104BC2"/>
    <w:rsid w:val="19FC472E"/>
    <w:rsid w:val="1A8D6535"/>
    <w:rsid w:val="1B453001"/>
    <w:rsid w:val="1C393D1E"/>
    <w:rsid w:val="1D18304B"/>
    <w:rsid w:val="1D2624F4"/>
    <w:rsid w:val="1F0F1CD3"/>
    <w:rsid w:val="1F5F584A"/>
    <w:rsid w:val="20B553BC"/>
    <w:rsid w:val="20BA6C28"/>
    <w:rsid w:val="211A5ECC"/>
    <w:rsid w:val="233E063B"/>
    <w:rsid w:val="23AA5FF0"/>
    <w:rsid w:val="24C1290A"/>
    <w:rsid w:val="266A2418"/>
    <w:rsid w:val="27C21E3D"/>
    <w:rsid w:val="286204DB"/>
    <w:rsid w:val="28A6480D"/>
    <w:rsid w:val="29B844D4"/>
    <w:rsid w:val="2ABC55EB"/>
    <w:rsid w:val="2B887B72"/>
    <w:rsid w:val="2BE47802"/>
    <w:rsid w:val="2C762FA9"/>
    <w:rsid w:val="2D437A68"/>
    <w:rsid w:val="2DE41D3C"/>
    <w:rsid w:val="2E11000C"/>
    <w:rsid w:val="2E586286"/>
    <w:rsid w:val="2F805A94"/>
    <w:rsid w:val="300F4937"/>
    <w:rsid w:val="30513D5D"/>
    <w:rsid w:val="31880C30"/>
    <w:rsid w:val="32DF2566"/>
    <w:rsid w:val="33321433"/>
    <w:rsid w:val="33335CA8"/>
    <w:rsid w:val="343B467F"/>
    <w:rsid w:val="3454618B"/>
    <w:rsid w:val="351D324F"/>
    <w:rsid w:val="36CA76B5"/>
    <w:rsid w:val="37334BFC"/>
    <w:rsid w:val="379C745B"/>
    <w:rsid w:val="37E40B8A"/>
    <w:rsid w:val="38CD0A75"/>
    <w:rsid w:val="3B314A57"/>
    <w:rsid w:val="3B8C73D7"/>
    <w:rsid w:val="3CB17110"/>
    <w:rsid w:val="3E377C66"/>
    <w:rsid w:val="3F8F587F"/>
    <w:rsid w:val="3FC875AA"/>
    <w:rsid w:val="3FE70097"/>
    <w:rsid w:val="412A7BD3"/>
    <w:rsid w:val="420662CD"/>
    <w:rsid w:val="420E28D1"/>
    <w:rsid w:val="42871AEA"/>
    <w:rsid w:val="429C5D82"/>
    <w:rsid w:val="435D4A3E"/>
    <w:rsid w:val="439E385D"/>
    <w:rsid w:val="43BD6F8E"/>
    <w:rsid w:val="480E5204"/>
    <w:rsid w:val="48161C43"/>
    <w:rsid w:val="4A116FF6"/>
    <w:rsid w:val="4AEC26C7"/>
    <w:rsid w:val="4B0B1D3D"/>
    <w:rsid w:val="4B311606"/>
    <w:rsid w:val="4B3A18E6"/>
    <w:rsid w:val="4B62209A"/>
    <w:rsid w:val="4BB31D2A"/>
    <w:rsid w:val="4BCC40FB"/>
    <w:rsid w:val="4BED18BF"/>
    <w:rsid w:val="4C540DCB"/>
    <w:rsid w:val="4C84513E"/>
    <w:rsid w:val="4F353525"/>
    <w:rsid w:val="4FC1410C"/>
    <w:rsid w:val="502C6028"/>
    <w:rsid w:val="504D229D"/>
    <w:rsid w:val="506A2404"/>
    <w:rsid w:val="512C2F2E"/>
    <w:rsid w:val="51880E6C"/>
    <w:rsid w:val="534E7AD3"/>
    <w:rsid w:val="553E0544"/>
    <w:rsid w:val="55487740"/>
    <w:rsid w:val="577218B7"/>
    <w:rsid w:val="58746A4D"/>
    <w:rsid w:val="58CA3DD7"/>
    <w:rsid w:val="5B6A2662"/>
    <w:rsid w:val="5C9127DF"/>
    <w:rsid w:val="5C97525E"/>
    <w:rsid w:val="5CFC234E"/>
    <w:rsid w:val="5D301FF8"/>
    <w:rsid w:val="5E9B5B15"/>
    <w:rsid w:val="5EE4309A"/>
    <w:rsid w:val="5EE70DDC"/>
    <w:rsid w:val="5F937AAE"/>
    <w:rsid w:val="633B16F7"/>
    <w:rsid w:val="64967B01"/>
    <w:rsid w:val="652C1097"/>
    <w:rsid w:val="666163CB"/>
    <w:rsid w:val="66774A66"/>
    <w:rsid w:val="676F196F"/>
    <w:rsid w:val="679F3D9A"/>
    <w:rsid w:val="67B1675F"/>
    <w:rsid w:val="67B613E9"/>
    <w:rsid w:val="68B97C32"/>
    <w:rsid w:val="69650C42"/>
    <w:rsid w:val="6AB667AC"/>
    <w:rsid w:val="6AF90681"/>
    <w:rsid w:val="6B2B61C5"/>
    <w:rsid w:val="6B785135"/>
    <w:rsid w:val="6BD13549"/>
    <w:rsid w:val="6C5B4ADD"/>
    <w:rsid w:val="6CB71DEE"/>
    <w:rsid w:val="6CF22E26"/>
    <w:rsid w:val="6D1234C8"/>
    <w:rsid w:val="6D2C4E67"/>
    <w:rsid w:val="6D8065C6"/>
    <w:rsid w:val="6DB17AB3"/>
    <w:rsid w:val="6DEC2D28"/>
    <w:rsid w:val="6E7019C4"/>
    <w:rsid w:val="6E9235BF"/>
    <w:rsid w:val="6F9650D1"/>
    <w:rsid w:val="70D523F8"/>
    <w:rsid w:val="70F24351"/>
    <w:rsid w:val="71015DAE"/>
    <w:rsid w:val="710E6DE2"/>
    <w:rsid w:val="71551DFD"/>
    <w:rsid w:val="71557E27"/>
    <w:rsid w:val="723B701D"/>
    <w:rsid w:val="72A868F7"/>
    <w:rsid w:val="74085625"/>
    <w:rsid w:val="745D327B"/>
    <w:rsid w:val="74907BD1"/>
    <w:rsid w:val="74970FC6"/>
    <w:rsid w:val="75652734"/>
    <w:rsid w:val="75F93477"/>
    <w:rsid w:val="768F3DF2"/>
    <w:rsid w:val="76AF1D88"/>
    <w:rsid w:val="7732442C"/>
    <w:rsid w:val="77484414"/>
    <w:rsid w:val="77EA16F7"/>
    <w:rsid w:val="79820143"/>
    <w:rsid w:val="7AE24350"/>
    <w:rsid w:val="7BF85F7F"/>
    <w:rsid w:val="7C434BF4"/>
    <w:rsid w:val="7C743857"/>
    <w:rsid w:val="7CCF78E3"/>
    <w:rsid w:val="7D9879D1"/>
    <w:rsid w:val="7E835FD4"/>
    <w:rsid w:val="7FA404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50" fillcolor="white">
      <v:fill color="white"/>
    </o:shapedefaults>
    <o:shapelayout v:ext="edit">
      <o:idmap v:ext="edit" data="2"/>
    </o:shapelayout>
  </w:shapeDefaults>
  <w:decimalSymbol w:val="."/>
  <w:listSeparator w:val=","/>
  <w14:docId w14:val="7C4193DF"/>
  <w15:chartTrackingRefBased/>
  <w15:docId w15:val="{E36E6FB2-229F-492A-9A98-C0D85CEE7F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semiHidden="1" w:qFormat="1"/>
    <w:lsdException w:name="toc 2" w:semiHidden="1" w:qFormat="1"/>
    <w:lsdException w:name="toc 3" w:semiHidden="1" w:qFormat="1"/>
    <w:lsdException w:name="toc 4" w:semiHidden="1" w:qFormat="1"/>
    <w:lsdException w:name="toc 5" w:semiHidden="1" w:qFormat="1"/>
    <w:lsdException w:name="toc 6" w:semiHidden="1" w:qFormat="1"/>
    <w:lsdException w:name="toc 7" w:semiHidden="1" w:qFormat="1"/>
    <w:lsdException w:name="toc 8" w:semiHidden="1" w:qFormat="1"/>
    <w:lsdException w:name="toc 9" w:semiHidden="1" w:qFormat="1"/>
    <w:lsdException w:name="annotation text" w:semiHidden="1" w:qFormat="1"/>
    <w:lsdException w:name="header" w:semiHidden="1" w:qFormat="1"/>
    <w:lsdException w:name="footer" w:semiHidden="1" w:qFormat="1"/>
    <w:lsdException w:name="caption" w:qFormat="1"/>
    <w:lsdException w:name="annotation reference" w:semiHidden="1" w:qFormat="1"/>
    <w:lsdException w:name="page number" w:semiHidden="1" w:qFormat="1"/>
    <w:lsdException w:name="endnote reference" w:semiHidden="1" w:qFormat="1"/>
    <w:lsdException w:name="endnote text" w:semiHidden="1" w:qFormat="1"/>
    <w:lsdException w:name="Title" w:qFormat="1"/>
    <w:lsdException w:name="Default Paragraph Font" w:uiPriority="1" w:unhideWhenUsed="1" w:qFormat="1"/>
    <w:lsdException w:name="Body Text" w:semiHidden="1" w:qFormat="1"/>
    <w:lsdException w:name="Body Text Indent" w:semiHidden="1" w:qFormat="1"/>
    <w:lsdException w:name="Subtitle" w:qFormat="1"/>
    <w:lsdException w:name="Date" w:semiHidden="1" w:qFormat="1"/>
    <w:lsdException w:name="Body Text First Indent" w:qFormat="1"/>
    <w:lsdException w:name="Body Text Indent 2" w:semiHidden="1" w:qFormat="1"/>
    <w:lsdException w:name="Hyperlink" w:semiHidden="1" w:qFormat="1"/>
    <w:lsdException w:name="FollowedHyperlink" w:semiHidden="1" w:qFormat="1"/>
    <w:lsdException w:name="Strong" w:qFormat="1"/>
    <w:lsdException w:name="Emphasis" w:qFormat="1"/>
    <w:lsdException w:name="Document Map" w:semiHidden="1" w:qFormat="1"/>
    <w:lsdException w:name="Plain Text" w:qFormat="1"/>
    <w:lsdException w:name="HTML Top of Form" w:semiHidden="1" w:uiPriority="99" w:unhideWhenUsed="1"/>
    <w:lsdException w:name="HTML Bottom of Form" w:semiHidden="1" w:uiPriority="99" w:unhideWhenUsed="1"/>
    <w:lsdException w:name="Normal (Web)" w:qFormat="1"/>
    <w:lsdException w:name="Normal Table" w:uiPriority="99" w:unhideWhenUsed="1" w:qFormat="1"/>
    <w:lsdException w:name="annotation subject"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qFormat="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qFormat="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ind w:firstLine="595"/>
      <w:jc w:val="both"/>
    </w:pPr>
    <w:rPr>
      <w:kern w:val="2"/>
      <w:sz w:val="24"/>
    </w:rPr>
  </w:style>
  <w:style w:type="paragraph" w:styleId="1">
    <w:name w:val="heading 1"/>
    <w:basedOn w:val="a"/>
    <w:next w:val="a"/>
    <w:qFormat/>
    <w:pPr>
      <w:numPr>
        <w:numId w:val="1"/>
      </w:numPr>
      <w:spacing w:beforeLines="50" w:before="207" w:afterLines="100" w:after="415"/>
      <w:jc w:val="center"/>
      <w:outlineLvl w:val="0"/>
    </w:pPr>
    <w:rPr>
      <w:rFonts w:ascii="宋体" w:hAnsi="宋体"/>
      <w:b/>
      <w:kern w:val="28"/>
      <w:sz w:val="32"/>
      <w:szCs w:val="30"/>
    </w:rPr>
  </w:style>
  <w:style w:type="paragraph" w:styleId="2">
    <w:name w:val="heading 2"/>
    <w:basedOn w:val="a"/>
    <w:next w:val="a"/>
    <w:qFormat/>
    <w:pPr>
      <w:numPr>
        <w:ilvl w:val="1"/>
        <w:numId w:val="1"/>
      </w:numPr>
      <w:spacing w:beforeLines="50" w:before="207" w:afterLines="50" w:after="207"/>
      <w:jc w:val="left"/>
      <w:outlineLvl w:val="1"/>
    </w:pPr>
    <w:rPr>
      <w:rFonts w:ascii="宋体" w:hAnsi="宋体"/>
      <w:b/>
      <w:kern w:val="28"/>
      <w:sz w:val="28"/>
      <w:szCs w:val="30"/>
    </w:rPr>
  </w:style>
  <w:style w:type="paragraph" w:styleId="3">
    <w:name w:val="heading 3"/>
    <w:basedOn w:val="a"/>
    <w:next w:val="a"/>
    <w:qFormat/>
    <w:pPr>
      <w:numPr>
        <w:ilvl w:val="2"/>
        <w:numId w:val="1"/>
      </w:numPr>
      <w:spacing w:beforeLines="100" w:before="415"/>
      <w:jc w:val="left"/>
      <w:outlineLvl w:val="2"/>
    </w:pPr>
    <w:rPr>
      <w:rFonts w:ascii="宋体" w:hAnsi="宋体"/>
      <w:b/>
      <w:kern w:val="28"/>
      <w:szCs w:val="30"/>
    </w:rPr>
  </w:style>
  <w:style w:type="paragraph" w:styleId="4">
    <w:name w:val="heading 4"/>
    <w:basedOn w:val="a"/>
    <w:next w:val="a"/>
    <w:qFormat/>
    <w:pPr>
      <w:keepNext/>
      <w:keepLines/>
      <w:spacing w:line="360" w:lineRule="auto"/>
      <w:ind w:firstLine="0"/>
      <w:jc w:val="left"/>
      <w:outlineLvl w:val="3"/>
    </w:pPr>
    <w:rPr>
      <w:rFonts w:eastAsia="黑体"/>
      <w:spacing w:val="-2"/>
      <w:kern w:val="28"/>
      <w:szCs w:val="30"/>
    </w:rPr>
  </w:style>
  <w:style w:type="paragraph" w:styleId="5">
    <w:name w:val="heading 5"/>
    <w:basedOn w:val="a"/>
    <w:next w:val="a"/>
    <w:qFormat/>
    <w:pPr>
      <w:keepNext/>
      <w:keepLines/>
      <w:spacing w:line="360" w:lineRule="auto"/>
      <w:ind w:firstLine="0"/>
      <w:jc w:val="left"/>
      <w:outlineLvl w:val="4"/>
    </w:pPr>
    <w:rPr>
      <w:rFonts w:eastAsia="黑体"/>
      <w:spacing w:val="-2"/>
      <w:kern w:val="28"/>
      <w:szCs w:val="30"/>
    </w:rPr>
  </w:style>
  <w:style w:type="paragraph" w:styleId="6">
    <w:name w:val="heading 6"/>
    <w:basedOn w:val="a"/>
    <w:next w:val="a"/>
    <w:qFormat/>
    <w:pPr>
      <w:keepNext/>
      <w:keepLines/>
      <w:spacing w:line="360" w:lineRule="auto"/>
      <w:ind w:firstLine="0"/>
      <w:jc w:val="left"/>
      <w:outlineLvl w:val="5"/>
    </w:pPr>
    <w:rPr>
      <w:rFonts w:eastAsia="黑体"/>
      <w:spacing w:val="-4"/>
      <w:kern w:val="28"/>
      <w:szCs w:val="30"/>
    </w:rPr>
  </w:style>
  <w:style w:type="paragraph" w:styleId="7">
    <w:name w:val="heading 7"/>
    <w:basedOn w:val="a"/>
    <w:next w:val="a"/>
    <w:qFormat/>
    <w:pPr>
      <w:keepNext/>
      <w:keepLines/>
      <w:spacing w:line="360" w:lineRule="auto"/>
      <w:ind w:firstLine="0"/>
      <w:jc w:val="left"/>
      <w:outlineLvl w:val="6"/>
    </w:pPr>
    <w:rPr>
      <w:rFonts w:eastAsia="黑体"/>
      <w:spacing w:val="-4"/>
      <w:kern w:val="28"/>
      <w:szCs w:val="30"/>
    </w:rPr>
  </w:style>
  <w:style w:type="paragraph" w:styleId="8">
    <w:name w:val="heading 8"/>
    <w:basedOn w:val="a"/>
    <w:next w:val="a"/>
    <w:qFormat/>
    <w:pPr>
      <w:keepNext/>
      <w:keepLines/>
      <w:spacing w:line="360" w:lineRule="auto"/>
      <w:ind w:firstLine="0"/>
      <w:jc w:val="left"/>
      <w:outlineLvl w:val="7"/>
    </w:pPr>
    <w:rPr>
      <w:rFonts w:eastAsia="黑体"/>
      <w:spacing w:val="-4"/>
      <w:kern w:val="28"/>
      <w:szCs w:val="30"/>
    </w:rPr>
  </w:style>
  <w:style w:type="paragraph" w:styleId="9">
    <w:name w:val="heading 9"/>
    <w:basedOn w:val="a"/>
    <w:next w:val="a"/>
    <w:qFormat/>
    <w:pPr>
      <w:keepNext/>
      <w:keepLines/>
      <w:spacing w:line="360" w:lineRule="auto"/>
      <w:ind w:firstLine="0"/>
      <w:jc w:val="left"/>
      <w:outlineLvl w:val="8"/>
    </w:pPr>
    <w:rPr>
      <w:rFonts w:eastAsia="黑体"/>
      <w:spacing w:val="-4"/>
      <w:kern w:val="28"/>
      <w:szCs w:val="30"/>
    </w:rPr>
  </w:style>
  <w:style w:type="character" w:default="1" w:styleId="a0">
    <w:name w:val="Default Paragraph Font"/>
    <w:uiPriority w:val="1"/>
    <w:unhideWhenUsed/>
    <w:qFormat/>
  </w:style>
  <w:style w:type="table" w:default="1" w:styleId="a1">
    <w:name w:val="Normal Table"/>
    <w:uiPriority w:val="99"/>
    <w:unhideWhenUsed/>
    <w:qFormat/>
    <w:tblPr>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semiHidden/>
    <w:qFormat/>
    <w:pPr>
      <w:ind w:leftChars="1200" w:left="2520" w:firstLine="0"/>
    </w:pPr>
    <w:rPr>
      <w:sz w:val="21"/>
      <w:szCs w:val="24"/>
    </w:rPr>
  </w:style>
  <w:style w:type="paragraph" w:styleId="a3">
    <w:name w:val="caption"/>
    <w:basedOn w:val="a4"/>
    <w:next w:val="20"/>
    <w:qFormat/>
    <w:pPr>
      <w:spacing w:line="220" w:lineRule="atLeast"/>
    </w:pPr>
    <w:rPr>
      <w:i/>
      <w:sz w:val="18"/>
    </w:rPr>
  </w:style>
  <w:style w:type="paragraph" w:customStyle="1" w:styleId="a4">
    <w:name w:val="图片"/>
    <w:basedOn w:val="a"/>
    <w:next w:val="a"/>
    <w:semiHidden/>
    <w:qFormat/>
    <w:pPr>
      <w:keepNext/>
      <w:ind w:firstLine="0"/>
      <w:jc w:val="center"/>
    </w:pPr>
    <w:rPr>
      <w:rFonts w:eastAsia="楷体_GB2312"/>
      <w:szCs w:val="24"/>
    </w:rPr>
  </w:style>
  <w:style w:type="paragraph" w:customStyle="1" w:styleId="20">
    <w:name w:val="正文文本2"/>
    <w:basedOn w:val="a"/>
    <w:semiHidden/>
    <w:qFormat/>
    <w:pPr>
      <w:spacing w:after="220" w:line="180" w:lineRule="atLeast"/>
      <w:ind w:firstLine="0"/>
      <w:jc w:val="center"/>
    </w:pPr>
    <w:rPr>
      <w:sz w:val="36"/>
      <w:szCs w:val="30"/>
    </w:rPr>
  </w:style>
  <w:style w:type="paragraph" w:styleId="a5">
    <w:name w:val="Document Map"/>
    <w:basedOn w:val="a"/>
    <w:semiHidden/>
    <w:qFormat/>
    <w:pPr>
      <w:shd w:val="clear" w:color="auto" w:fill="000080"/>
    </w:pPr>
  </w:style>
  <w:style w:type="paragraph" w:styleId="a6">
    <w:name w:val="annotation text"/>
    <w:basedOn w:val="a"/>
    <w:semiHidden/>
    <w:qFormat/>
    <w:pPr>
      <w:keepLines/>
      <w:spacing w:after="220" w:line="200" w:lineRule="atLeast"/>
      <w:ind w:firstLine="0"/>
      <w:jc w:val="center"/>
    </w:pPr>
    <w:rPr>
      <w:sz w:val="16"/>
      <w:szCs w:val="30"/>
    </w:rPr>
  </w:style>
  <w:style w:type="paragraph" w:styleId="a7">
    <w:name w:val="Body Text"/>
    <w:basedOn w:val="a"/>
    <w:link w:val="a8"/>
    <w:semiHidden/>
    <w:qFormat/>
    <w:pPr>
      <w:spacing w:after="220" w:line="180" w:lineRule="atLeast"/>
      <w:ind w:firstLine="0"/>
      <w:jc w:val="center"/>
    </w:pPr>
    <w:rPr>
      <w:sz w:val="36"/>
      <w:szCs w:val="30"/>
    </w:rPr>
  </w:style>
  <w:style w:type="character" w:customStyle="1" w:styleId="a8">
    <w:name w:val="正文文本 字符"/>
    <w:link w:val="a7"/>
    <w:qFormat/>
    <w:rPr>
      <w:rFonts w:eastAsia="宋体"/>
      <w:kern w:val="2"/>
      <w:sz w:val="36"/>
      <w:szCs w:val="30"/>
      <w:lang w:val="en-US" w:eastAsia="zh-CN" w:bidi="ar-SA"/>
    </w:rPr>
  </w:style>
  <w:style w:type="paragraph" w:styleId="a9">
    <w:name w:val="Body Text Indent"/>
    <w:basedOn w:val="a"/>
    <w:semiHidden/>
    <w:qFormat/>
    <w:pPr>
      <w:ind w:firstLine="357"/>
    </w:pPr>
    <w:rPr>
      <w:sz w:val="21"/>
    </w:rPr>
  </w:style>
  <w:style w:type="paragraph" w:styleId="TOC5">
    <w:name w:val="toc 5"/>
    <w:basedOn w:val="a"/>
    <w:next w:val="a"/>
    <w:semiHidden/>
    <w:qFormat/>
    <w:pPr>
      <w:ind w:leftChars="800" w:left="1680" w:firstLine="0"/>
    </w:pPr>
    <w:rPr>
      <w:sz w:val="21"/>
      <w:szCs w:val="24"/>
    </w:rPr>
  </w:style>
  <w:style w:type="paragraph" w:styleId="TOC3">
    <w:name w:val="toc 3"/>
    <w:basedOn w:val="a"/>
    <w:next w:val="a"/>
    <w:semiHidden/>
    <w:qFormat/>
    <w:pPr>
      <w:tabs>
        <w:tab w:val="right" w:leader="dot" w:pos="8780"/>
      </w:tabs>
      <w:ind w:firstLineChars="214" w:firstLine="627"/>
    </w:pPr>
  </w:style>
  <w:style w:type="paragraph" w:styleId="aa">
    <w:name w:val="Plain Text"/>
    <w:basedOn w:val="a"/>
    <w:qFormat/>
    <w:pPr>
      <w:ind w:firstLine="0"/>
    </w:pPr>
    <w:rPr>
      <w:rFonts w:ascii="宋体" w:hAnsi="Courier New"/>
      <w:sz w:val="21"/>
    </w:rPr>
  </w:style>
  <w:style w:type="paragraph" w:styleId="TOC8">
    <w:name w:val="toc 8"/>
    <w:basedOn w:val="a"/>
    <w:next w:val="a"/>
    <w:semiHidden/>
    <w:qFormat/>
    <w:pPr>
      <w:ind w:leftChars="1400" w:left="2940" w:firstLine="0"/>
    </w:pPr>
    <w:rPr>
      <w:sz w:val="21"/>
      <w:szCs w:val="24"/>
    </w:rPr>
  </w:style>
  <w:style w:type="paragraph" w:styleId="ab">
    <w:name w:val="Date"/>
    <w:basedOn w:val="20"/>
    <w:next w:val="a"/>
    <w:semiHidden/>
    <w:qFormat/>
    <w:pPr>
      <w:spacing w:after="0"/>
      <w:jc w:val="left"/>
    </w:pPr>
  </w:style>
  <w:style w:type="paragraph" w:styleId="21">
    <w:name w:val="Body Text Indent 2"/>
    <w:basedOn w:val="a"/>
    <w:semiHidden/>
    <w:qFormat/>
    <w:pPr>
      <w:ind w:firstLineChars="232" w:firstLine="680"/>
    </w:pPr>
    <w:rPr>
      <w:rFonts w:ascii="宋体" w:hAnsi="宋体"/>
    </w:rPr>
  </w:style>
  <w:style w:type="paragraph" w:styleId="ac">
    <w:name w:val="endnote text"/>
    <w:basedOn w:val="a"/>
    <w:semiHidden/>
    <w:qFormat/>
    <w:pPr>
      <w:keepLines/>
      <w:spacing w:after="220" w:line="200" w:lineRule="atLeast"/>
      <w:ind w:firstLine="0"/>
      <w:jc w:val="center"/>
    </w:pPr>
    <w:rPr>
      <w:sz w:val="16"/>
      <w:szCs w:val="30"/>
    </w:rPr>
  </w:style>
  <w:style w:type="paragraph" w:styleId="ad">
    <w:name w:val="Balloon Text"/>
    <w:basedOn w:val="a"/>
    <w:semiHidden/>
    <w:qFormat/>
    <w:rPr>
      <w:sz w:val="18"/>
      <w:szCs w:val="18"/>
    </w:rPr>
  </w:style>
  <w:style w:type="paragraph" w:styleId="ae">
    <w:name w:val="footer"/>
    <w:basedOn w:val="a"/>
    <w:semiHidden/>
    <w:qFormat/>
    <w:pPr>
      <w:keepLines/>
      <w:tabs>
        <w:tab w:val="center" w:pos="4320"/>
        <w:tab w:val="right" w:pos="8640"/>
      </w:tabs>
      <w:spacing w:before="200"/>
      <w:ind w:right="360" w:firstLine="360"/>
      <w:jc w:val="right"/>
    </w:pPr>
    <w:rPr>
      <w:kern w:val="0"/>
      <w:sz w:val="21"/>
      <w:szCs w:val="21"/>
    </w:rPr>
  </w:style>
  <w:style w:type="paragraph" w:styleId="af">
    <w:name w:val="header"/>
    <w:basedOn w:val="a"/>
    <w:semiHidden/>
    <w:qFormat/>
    <w:pPr>
      <w:pBdr>
        <w:bottom w:val="double" w:sz="4" w:space="1" w:color="auto"/>
      </w:pBdr>
      <w:tabs>
        <w:tab w:val="center" w:pos="4320"/>
        <w:tab w:val="right" w:pos="8640"/>
      </w:tabs>
      <w:spacing w:after="200"/>
      <w:ind w:firstLine="0"/>
      <w:jc w:val="center"/>
    </w:pPr>
    <w:rPr>
      <w:sz w:val="21"/>
      <w:szCs w:val="21"/>
    </w:rPr>
  </w:style>
  <w:style w:type="paragraph" w:styleId="TOC1">
    <w:name w:val="toc 1"/>
    <w:basedOn w:val="a"/>
    <w:next w:val="a"/>
    <w:semiHidden/>
    <w:qFormat/>
    <w:pPr>
      <w:tabs>
        <w:tab w:val="right" w:leader="dot" w:pos="8780"/>
      </w:tabs>
      <w:ind w:firstLine="0"/>
    </w:pPr>
    <w:rPr>
      <w:rFonts w:ascii="宋体" w:hAnsi="宋体"/>
      <w:b/>
      <w:sz w:val="28"/>
      <w:szCs w:val="28"/>
    </w:rPr>
  </w:style>
  <w:style w:type="paragraph" w:styleId="TOC4">
    <w:name w:val="toc 4"/>
    <w:basedOn w:val="a"/>
    <w:next w:val="a"/>
    <w:semiHidden/>
    <w:qFormat/>
    <w:pPr>
      <w:spacing w:after="40"/>
      <w:ind w:left="1259"/>
    </w:pPr>
  </w:style>
  <w:style w:type="paragraph" w:styleId="TOC6">
    <w:name w:val="toc 6"/>
    <w:basedOn w:val="a"/>
    <w:next w:val="a"/>
    <w:semiHidden/>
    <w:qFormat/>
    <w:pPr>
      <w:ind w:leftChars="1000" w:left="2100" w:firstLine="0"/>
    </w:pPr>
    <w:rPr>
      <w:sz w:val="21"/>
      <w:szCs w:val="24"/>
    </w:rPr>
  </w:style>
  <w:style w:type="paragraph" w:styleId="TOC2">
    <w:name w:val="toc 2"/>
    <w:basedOn w:val="a"/>
    <w:next w:val="a"/>
    <w:semiHidden/>
    <w:qFormat/>
    <w:pPr>
      <w:tabs>
        <w:tab w:val="right" w:leader="dot" w:pos="8780"/>
      </w:tabs>
      <w:ind w:firstLineChars="107" w:firstLine="314"/>
    </w:pPr>
    <w:rPr>
      <w:szCs w:val="28"/>
    </w:rPr>
  </w:style>
  <w:style w:type="paragraph" w:styleId="TOC9">
    <w:name w:val="toc 9"/>
    <w:basedOn w:val="a"/>
    <w:next w:val="a"/>
    <w:semiHidden/>
    <w:qFormat/>
    <w:pPr>
      <w:ind w:leftChars="1600" w:left="3360" w:firstLine="0"/>
    </w:pPr>
    <w:rPr>
      <w:sz w:val="21"/>
      <w:szCs w:val="24"/>
    </w:rPr>
  </w:style>
  <w:style w:type="paragraph" w:styleId="af0">
    <w:name w:val="Normal (Web)"/>
    <w:basedOn w:val="a"/>
    <w:qFormat/>
    <w:pPr>
      <w:spacing w:beforeAutospacing="1" w:afterAutospacing="1"/>
      <w:jc w:val="left"/>
    </w:pPr>
    <w:rPr>
      <w:kern w:val="0"/>
    </w:rPr>
  </w:style>
  <w:style w:type="paragraph" w:styleId="af1">
    <w:name w:val="annotation subject"/>
    <w:basedOn w:val="a6"/>
    <w:next w:val="a6"/>
    <w:semiHidden/>
    <w:qFormat/>
    <w:pPr>
      <w:keepLines w:val="0"/>
      <w:spacing w:after="0" w:line="240" w:lineRule="auto"/>
      <w:jc w:val="left"/>
    </w:pPr>
    <w:rPr>
      <w:b/>
      <w:bCs/>
      <w:sz w:val="24"/>
    </w:rPr>
  </w:style>
  <w:style w:type="paragraph" w:styleId="af2">
    <w:name w:val="Body Text First Indent"/>
    <w:basedOn w:val="a7"/>
    <w:qFormat/>
    <w:pPr>
      <w:spacing w:after="120" w:line="240" w:lineRule="auto"/>
      <w:ind w:firstLineChars="100" w:firstLine="420"/>
      <w:jc w:val="both"/>
    </w:pPr>
    <w:rPr>
      <w:sz w:val="21"/>
      <w:szCs w:val="24"/>
    </w:rPr>
  </w:style>
  <w:style w:type="table" w:styleId="af3">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0">
    <w:name w:val="Table Simple 1"/>
    <w:basedOn w:val="a1"/>
    <w:qFormat/>
    <w:pPr>
      <w:widowControl w:val="0"/>
      <w:ind w:firstLine="595"/>
      <w:jc w:val="both"/>
    </w:pPr>
    <w:tblPr>
      <w:tblBorders>
        <w:top w:val="single" w:sz="12" w:space="0" w:color="008000"/>
        <w:bottom w:val="single" w:sz="12" w:space="0" w:color="008000"/>
      </w:tblBorders>
    </w:tblPr>
    <w:tcPr>
      <w:shd w:val="clear" w:color="auto" w:fill="auto"/>
    </w:tcPr>
    <w:tblStylePr w:type="firstRow">
      <w:tblPr/>
      <w:tcPr>
        <w:tcBorders>
          <w:top w:val="nil"/>
          <w:left w:val="single" w:sz="6" w:space="0" w:color="008000"/>
          <w:bottom w:val="nil"/>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character" w:styleId="af4">
    <w:name w:val="Strong"/>
    <w:qFormat/>
    <w:rPr>
      <w:b/>
    </w:rPr>
  </w:style>
  <w:style w:type="character" w:styleId="af5">
    <w:name w:val="endnote reference"/>
    <w:semiHidden/>
    <w:qFormat/>
    <w:rPr>
      <w:vertAlign w:val="superscript"/>
    </w:rPr>
  </w:style>
  <w:style w:type="character" w:styleId="af6">
    <w:name w:val="page number"/>
    <w:semiHidden/>
    <w:qFormat/>
    <w:rPr>
      <w:rFonts w:ascii="Times New Roman" w:eastAsia="宋体" w:hAnsi="Times New Roman"/>
      <w:sz w:val="18"/>
    </w:rPr>
  </w:style>
  <w:style w:type="character" w:styleId="af7">
    <w:name w:val="FollowedHyperlink"/>
    <w:semiHidden/>
    <w:qFormat/>
    <w:rPr>
      <w:color w:val="800080"/>
      <w:u w:val="single"/>
    </w:rPr>
  </w:style>
  <w:style w:type="character" w:styleId="af8">
    <w:name w:val="Hyperlink"/>
    <w:semiHidden/>
    <w:qFormat/>
    <w:rPr>
      <w:color w:val="0000FF"/>
      <w:u w:val="single"/>
    </w:rPr>
  </w:style>
  <w:style w:type="character" w:styleId="af9">
    <w:name w:val="annotation reference"/>
    <w:semiHidden/>
    <w:qFormat/>
    <w:rPr>
      <w:sz w:val="16"/>
    </w:rPr>
  </w:style>
  <w:style w:type="paragraph" w:customStyle="1" w:styleId="afa">
    <w:name w:val="论文一级标题"/>
    <w:basedOn w:val="a"/>
    <w:link w:val="Char"/>
    <w:qFormat/>
    <w:pPr>
      <w:numPr>
        <w:numId w:val="2"/>
      </w:numPr>
      <w:tabs>
        <w:tab w:val="clear" w:pos="0"/>
        <w:tab w:val="right" w:leader="dot" w:pos="8780"/>
      </w:tabs>
      <w:spacing w:beforeLines="100" w:before="100" w:afterLines="50" w:after="50" w:line="400" w:lineRule="exact"/>
      <w:ind w:firstLine="0"/>
      <w:jc w:val="center"/>
      <w:outlineLvl w:val="0"/>
    </w:pPr>
    <w:rPr>
      <w:rFonts w:hint="eastAsia"/>
      <w:b/>
      <w:bCs/>
      <w:kern w:val="0"/>
      <w:sz w:val="32"/>
      <w:szCs w:val="32"/>
    </w:rPr>
  </w:style>
  <w:style w:type="character" w:customStyle="1" w:styleId="Char">
    <w:name w:val="论文一级标题 Char"/>
    <w:link w:val="afa"/>
    <w:qFormat/>
    <w:rPr>
      <w:rFonts w:ascii="Times New Roman" w:hAnsi="Times New Roman" w:hint="eastAsia"/>
      <w:b/>
      <w:bCs/>
      <w:sz w:val="32"/>
      <w:szCs w:val="32"/>
      <w:lang w:val="en-US" w:eastAsia="zh-CN"/>
    </w:rPr>
  </w:style>
  <w:style w:type="paragraph" w:customStyle="1" w:styleId="afb">
    <w:name w:val="论文二级标题"/>
    <w:basedOn w:val="a"/>
    <w:next w:val="a"/>
    <w:qFormat/>
    <w:pPr>
      <w:numPr>
        <w:numId w:val="3"/>
      </w:numPr>
      <w:tabs>
        <w:tab w:val="left" w:pos="0"/>
      </w:tabs>
      <w:spacing w:beforeLines="50" w:before="50" w:afterLines="50" w:after="50"/>
      <w:ind w:firstLine="0"/>
      <w:jc w:val="center"/>
      <w:outlineLvl w:val="1"/>
    </w:pPr>
    <w:rPr>
      <w:rFonts w:hint="eastAsia"/>
      <w:b/>
      <w:kern w:val="28"/>
      <w:sz w:val="28"/>
      <w:szCs w:val="28"/>
    </w:rPr>
  </w:style>
  <w:style w:type="paragraph" w:customStyle="1" w:styleId="afc">
    <w:name w:val="论文三级标题"/>
    <w:basedOn w:val="a"/>
    <w:link w:val="Char0"/>
    <w:qFormat/>
    <w:pPr>
      <w:numPr>
        <w:numId w:val="4"/>
      </w:numPr>
      <w:tabs>
        <w:tab w:val="left" w:pos="0"/>
      </w:tabs>
      <w:autoSpaceDE w:val="0"/>
      <w:autoSpaceDN w:val="0"/>
      <w:adjustRightInd w:val="0"/>
      <w:spacing w:beforeLines="50" w:before="50"/>
      <w:jc w:val="left"/>
      <w:outlineLvl w:val="2"/>
    </w:pPr>
    <w:rPr>
      <w:rFonts w:ascii="宋体" w:hAnsi="宋体" w:cs="TimesNewRomanPSMT"/>
      <w:b/>
      <w:bCs/>
      <w:kern w:val="0"/>
    </w:rPr>
  </w:style>
  <w:style w:type="character" w:customStyle="1" w:styleId="Char0">
    <w:name w:val="论文三级标题 Char"/>
    <w:link w:val="afc"/>
    <w:qFormat/>
    <w:rPr>
      <w:rFonts w:ascii="宋体" w:eastAsia="宋体" w:hAnsi="宋体" w:cs="TimesNewRomanPSMT"/>
      <w:b/>
      <w:bCs/>
      <w:kern w:val="0"/>
      <w:sz w:val="24"/>
      <w:lang w:val="en-US" w:eastAsia="zh-CN" w:bidi="ar-SA"/>
    </w:rPr>
  </w:style>
  <w:style w:type="paragraph" w:customStyle="1" w:styleId="afd">
    <w:name w:val="论文正文样式"/>
    <w:basedOn w:val="a"/>
    <w:qFormat/>
    <w:pPr>
      <w:widowControl/>
      <w:wordWrap w:val="0"/>
      <w:spacing w:line="400" w:lineRule="exact"/>
      <w:ind w:firstLineChars="200" w:firstLine="484"/>
    </w:pPr>
    <w:rPr>
      <w:rFonts w:ascii="宋体" w:hAnsi="宋体"/>
      <w:color w:val="353535"/>
      <w:kern w:val="0"/>
    </w:rPr>
  </w:style>
  <w:style w:type="paragraph" w:customStyle="1" w:styleId="afe">
    <w:name w:val="论文参考文献（最新）"/>
    <w:basedOn w:val="a"/>
    <w:qFormat/>
    <w:pPr>
      <w:spacing w:beforeLines="100" w:before="100" w:afterLines="50" w:after="50" w:line="400" w:lineRule="exact"/>
      <w:ind w:firstLineChars="104" w:firstLine="334"/>
      <w:jc w:val="center"/>
      <w:outlineLvl w:val="0"/>
    </w:pPr>
    <w:rPr>
      <w:b/>
      <w:bCs/>
      <w:sz w:val="32"/>
      <w:szCs w:val="32"/>
    </w:rPr>
  </w:style>
  <w:style w:type="paragraph" w:customStyle="1" w:styleId="aff">
    <w:name w:val="论文参考文献列表（最新）"/>
    <w:basedOn w:val="a"/>
    <w:qFormat/>
    <w:pPr>
      <w:numPr>
        <w:numId w:val="5"/>
      </w:numPr>
      <w:tabs>
        <w:tab w:val="left" w:pos="397"/>
      </w:tabs>
      <w:wordWrap w:val="0"/>
      <w:spacing w:line="400" w:lineRule="exact"/>
      <w:jc w:val="left"/>
    </w:pPr>
    <w:rPr>
      <w:sz w:val="21"/>
      <w:szCs w:val="21"/>
    </w:rPr>
  </w:style>
  <w:style w:type="paragraph" w:customStyle="1" w:styleId="aff0">
    <w:name w:val="封面大题目"/>
    <w:basedOn w:val="a"/>
    <w:qFormat/>
    <w:pPr>
      <w:spacing w:line="240" w:lineRule="atLeast"/>
      <w:jc w:val="center"/>
    </w:pPr>
    <w:rPr>
      <w:rFonts w:cs="宋体"/>
    </w:rPr>
  </w:style>
  <w:style w:type="paragraph" w:customStyle="1" w:styleId="aff1">
    <w:name w:val="封面日期"/>
    <w:basedOn w:val="a"/>
    <w:qFormat/>
    <w:pPr>
      <w:jc w:val="center"/>
    </w:pPr>
    <w:rPr>
      <w:rFonts w:ascii="黑体" w:eastAsia="黑体" w:cs="宋体"/>
      <w:sz w:val="28"/>
    </w:rPr>
  </w:style>
  <w:style w:type="paragraph" w:customStyle="1" w:styleId="aff2">
    <w:name w:val="表标题"/>
    <w:basedOn w:val="a"/>
    <w:next w:val="a"/>
    <w:semiHidden/>
    <w:qFormat/>
    <w:rPr>
      <w:b/>
    </w:rPr>
  </w:style>
  <w:style w:type="paragraph" w:customStyle="1" w:styleId="aff3">
    <w:name w:val="连续正文文字"/>
    <w:basedOn w:val="20"/>
    <w:qFormat/>
    <w:pPr>
      <w:keepNext/>
    </w:pPr>
  </w:style>
  <w:style w:type="paragraph" w:customStyle="1" w:styleId="aff4">
    <w:name w:val="图标题"/>
    <w:basedOn w:val="a"/>
    <w:next w:val="a"/>
    <w:semiHidden/>
    <w:qFormat/>
    <w:pPr>
      <w:jc w:val="center"/>
    </w:pPr>
    <w:rPr>
      <w:b/>
    </w:rPr>
  </w:style>
  <w:style w:type="paragraph" w:customStyle="1" w:styleId="12">
    <w:name w:val="样式 居中 行距: 最小值 12 磅"/>
    <w:basedOn w:val="a"/>
    <w:qFormat/>
    <w:pPr>
      <w:spacing w:line="240" w:lineRule="atLeast"/>
      <w:jc w:val="center"/>
    </w:pPr>
    <w:rPr>
      <w:rFonts w:cs="宋体"/>
      <w:sz w:val="72"/>
    </w:rPr>
  </w:style>
  <w:style w:type="character" w:customStyle="1" w:styleId="aff5">
    <w:name w:val="上标"/>
    <w:semiHidden/>
    <w:qFormat/>
    <w:rPr>
      <w:vertAlign w:val="superscript"/>
    </w:rPr>
  </w:style>
  <w:style w:type="paragraph" w:customStyle="1" w:styleId="aff6">
    <w:name w:val="尾消息标题"/>
    <w:basedOn w:val="a"/>
    <w:next w:val="20"/>
    <w:semiHidden/>
    <w:qFormat/>
    <w:pPr>
      <w:numPr>
        <w:numId w:val="6"/>
      </w:numPr>
      <w:tabs>
        <w:tab w:val="left" w:pos="720"/>
      </w:tabs>
      <w:spacing w:line="400" w:lineRule="exact"/>
      <w:ind w:left="0" w:firstLine="0"/>
    </w:pPr>
    <w:rPr>
      <w:rFonts w:ascii="宋体" w:hAnsi="宋体"/>
      <w:b/>
      <w:sz w:val="28"/>
      <w:szCs w:val="28"/>
    </w:rPr>
  </w:style>
  <w:style w:type="paragraph" w:customStyle="1" w:styleId="aff7">
    <w:name w:val="附录"/>
    <w:basedOn w:val="1"/>
    <w:next w:val="a"/>
    <w:semiHidden/>
    <w:qFormat/>
    <w:pPr>
      <w:numPr>
        <w:numId w:val="7"/>
      </w:numPr>
      <w:tabs>
        <w:tab w:val="left" w:pos="720"/>
      </w:tabs>
      <w:spacing w:beforeLines="100" w:before="415" w:afterLines="50" w:after="207"/>
    </w:pPr>
  </w:style>
  <w:style w:type="paragraph" w:customStyle="1" w:styleId="22">
    <w:name w:val="标题2"/>
    <w:basedOn w:val="a"/>
    <w:semiHidden/>
    <w:qFormat/>
    <w:rPr>
      <w:rFonts w:eastAsia="黑体"/>
      <w:spacing w:val="-10"/>
      <w:kern w:val="28"/>
      <w:sz w:val="28"/>
    </w:rPr>
  </w:style>
  <w:style w:type="paragraph" w:customStyle="1" w:styleId="aff8">
    <w:name w:val="中午摘要关键词"/>
    <w:basedOn w:val="aff9"/>
    <w:link w:val="Char1"/>
    <w:qFormat/>
    <w:pPr>
      <w:spacing w:beforeLines="100" w:before="100"/>
    </w:pPr>
    <w:rPr>
      <w:rFonts w:ascii="Times New Roman" w:hAnsi="Times New Roman"/>
      <w:b w:val="0"/>
      <w:sz w:val="20"/>
      <w:szCs w:val="20"/>
    </w:rPr>
  </w:style>
  <w:style w:type="paragraph" w:customStyle="1" w:styleId="aff9">
    <w:name w:val="关键词"/>
    <w:link w:val="Char2"/>
    <w:semiHidden/>
    <w:qFormat/>
    <w:pPr>
      <w:spacing w:beforeLines="50" w:before="207" w:line="400" w:lineRule="atLeast"/>
    </w:pPr>
    <w:rPr>
      <w:rFonts w:ascii="宋体" w:hAnsi="宋体"/>
      <w:b/>
      <w:sz w:val="28"/>
      <w:szCs w:val="28"/>
    </w:rPr>
  </w:style>
  <w:style w:type="character" w:customStyle="1" w:styleId="Char2">
    <w:name w:val="关键词 Char"/>
    <w:link w:val="aff9"/>
    <w:semiHidden/>
    <w:qFormat/>
    <w:rPr>
      <w:rFonts w:ascii="宋体" w:hAnsi="宋体"/>
      <w:b/>
      <w:sz w:val="28"/>
      <w:szCs w:val="28"/>
      <w:lang w:val="en-US" w:eastAsia="zh-CN" w:bidi="ar-SA"/>
    </w:rPr>
  </w:style>
  <w:style w:type="character" w:customStyle="1" w:styleId="Char1">
    <w:name w:val="中午摘要关键词 Char"/>
    <w:link w:val="aff8"/>
    <w:qFormat/>
    <w:rPr>
      <w:lang w:val="en-US" w:eastAsia="zh-CN" w:bidi="ar-SA"/>
    </w:rPr>
  </w:style>
  <w:style w:type="paragraph" w:customStyle="1" w:styleId="affa">
    <w:name w:val="中文题目"/>
    <w:semiHidden/>
    <w:qFormat/>
    <w:pPr>
      <w:spacing w:beforeLines="50" w:before="120" w:afterLines="100" w:after="240"/>
      <w:jc w:val="center"/>
    </w:pPr>
    <w:rPr>
      <w:rFonts w:ascii="宋体" w:hAnsi="宋体"/>
      <w:b/>
      <w:bCs/>
      <w:sz w:val="32"/>
      <w:szCs w:val="32"/>
    </w:rPr>
  </w:style>
  <w:style w:type="paragraph" w:customStyle="1" w:styleId="affb">
    <w:name w:val="英文题目"/>
    <w:link w:val="Char3"/>
    <w:semiHidden/>
    <w:qFormat/>
    <w:pPr>
      <w:jc w:val="center"/>
    </w:pPr>
    <w:rPr>
      <w:rFonts w:eastAsia="黑体"/>
      <w:bCs/>
      <w:sz w:val="32"/>
    </w:rPr>
  </w:style>
  <w:style w:type="character" w:customStyle="1" w:styleId="Char3">
    <w:name w:val="英文题目 Char"/>
    <w:link w:val="affb"/>
    <w:semiHidden/>
    <w:qFormat/>
    <w:rPr>
      <w:rFonts w:eastAsia="黑体"/>
      <w:bCs/>
      <w:sz w:val="32"/>
      <w:lang w:val="en-US" w:eastAsia="zh-CN" w:bidi="ar-SA"/>
    </w:rPr>
  </w:style>
  <w:style w:type="paragraph" w:customStyle="1" w:styleId="affc">
    <w:name w:val="目录"/>
    <w:semiHidden/>
    <w:qFormat/>
    <w:pPr>
      <w:spacing w:beforeLines="50" w:before="120" w:afterLines="100" w:after="240"/>
      <w:jc w:val="center"/>
    </w:pPr>
    <w:rPr>
      <w:rFonts w:ascii="宋体" w:hAnsi="宋体"/>
      <w:b/>
      <w:sz w:val="32"/>
    </w:rPr>
  </w:style>
  <w:style w:type="paragraph" w:customStyle="1" w:styleId="affd">
    <w:name w:val="参考文献"/>
    <w:basedOn w:val="1"/>
    <w:next w:val="a"/>
    <w:semiHidden/>
    <w:qFormat/>
    <w:pPr>
      <w:numPr>
        <w:numId w:val="0"/>
      </w:numPr>
    </w:pPr>
  </w:style>
  <w:style w:type="paragraph" w:customStyle="1" w:styleId="affe">
    <w:name w:val="致谢"/>
    <w:basedOn w:val="1"/>
    <w:next w:val="a"/>
    <w:semiHidden/>
    <w:qFormat/>
    <w:pPr>
      <w:numPr>
        <w:numId w:val="0"/>
      </w:numPr>
    </w:pPr>
  </w:style>
  <w:style w:type="paragraph" w:customStyle="1" w:styleId="afff">
    <w:name w:val="攻读硕士学位期间的研究成果"/>
    <w:basedOn w:val="1"/>
    <w:next w:val="a"/>
    <w:semiHidden/>
    <w:qFormat/>
    <w:pPr>
      <w:numPr>
        <w:numId w:val="0"/>
      </w:numPr>
    </w:pPr>
  </w:style>
  <w:style w:type="paragraph" w:customStyle="1" w:styleId="afff0">
    <w:name w:val="缩略语词汇表"/>
    <w:basedOn w:val="a"/>
    <w:semiHidden/>
    <w:qFormat/>
    <w:pPr>
      <w:spacing w:line="360" w:lineRule="auto"/>
      <w:ind w:firstLineChars="213" w:firstLine="511"/>
      <w:jc w:val="center"/>
    </w:pPr>
  </w:style>
  <w:style w:type="character" w:customStyle="1" w:styleId="Char4">
    <w:name w:val="正文文本 Char"/>
    <w:semiHidden/>
    <w:qFormat/>
    <w:rPr>
      <w:rFonts w:eastAsia="宋体"/>
      <w:kern w:val="2"/>
      <w:sz w:val="30"/>
      <w:lang w:val="en-US" w:eastAsia="zh-CN" w:bidi="ar-SA"/>
    </w:rPr>
  </w:style>
  <w:style w:type="character" w:customStyle="1" w:styleId="1Char">
    <w:name w:val="标题 1 Char"/>
    <w:semiHidden/>
    <w:qFormat/>
    <w:rPr>
      <w:rFonts w:ascii="宋体" w:eastAsia="宋体" w:hAnsi="宋体"/>
      <w:b/>
      <w:spacing w:val="-10"/>
      <w:kern w:val="28"/>
      <w:sz w:val="32"/>
      <w:lang w:val="en-US" w:eastAsia="zh-CN" w:bidi="ar-SA"/>
    </w:rPr>
  </w:style>
  <w:style w:type="paragraph" w:customStyle="1" w:styleId="afff1">
    <w:name w:val="中文摘要题头"/>
    <w:basedOn w:val="a"/>
    <w:semiHidden/>
    <w:qFormat/>
    <w:pPr>
      <w:spacing w:line="240" w:lineRule="atLeast"/>
      <w:ind w:firstLine="0"/>
    </w:pPr>
    <w:rPr>
      <w:rFonts w:ascii="宋体" w:hAnsi="宋体"/>
      <w:b/>
      <w:bCs/>
      <w:sz w:val="28"/>
      <w:szCs w:val="28"/>
    </w:rPr>
  </w:style>
  <w:style w:type="paragraph" w:customStyle="1" w:styleId="afff2">
    <w:name w:val="中文摘要题目"/>
    <w:basedOn w:val="affa"/>
    <w:semiHidden/>
    <w:qFormat/>
    <w:pPr>
      <w:spacing w:before="207" w:after="415"/>
    </w:pPr>
  </w:style>
  <w:style w:type="paragraph" w:customStyle="1" w:styleId="afff3">
    <w:name w:val="中文摘要内容"/>
    <w:basedOn w:val="a"/>
    <w:semiHidden/>
    <w:qFormat/>
    <w:pPr>
      <w:spacing w:line="400" w:lineRule="exact"/>
    </w:pPr>
    <w:rPr>
      <w:rFonts w:ascii="宋体" w:hAnsi="宋体"/>
    </w:rPr>
  </w:style>
  <w:style w:type="paragraph" w:customStyle="1" w:styleId="afff4">
    <w:name w:val="中文摘要论文类型"/>
    <w:basedOn w:val="aff9"/>
    <w:link w:val="CharChar"/>
    <w:semiHidden/>
    <w:qFormat/>
    <w:pPr>
      <w:spacing w:beforeLines="100" w:before="415" w:line="400" w:lineRule="exact"/>
    </w:pPr>
    <w:rPr>
      <w:rFonts w:ascii="Times New Roman" w:hAnsi="Times New Roman"/>
      <w:b w:val="0"/>
      <w:sz w:val="20"/>
      <w:szCs w:val="20"/>
    </w:rPr>
  </w:style>
  <w:style w:type="character" w:customStyle="1" w:styleId="CharChar">
    <w:name w:val="中文摘要论文类型 Char Char"/>
    <w:link w:val="afff4"/>
    <w:qFormat/>
    <w:rPr>
      <w:lang w:val="en-US" w:eastAsia="zh-CN" w:bidi="ar-SA"/>
    </w:rPr>
  </w:style>
  <w:style w:type="paragraph" w:customStyle="1" w:styleId="afff5">
    <w:name w:val="关键词内容"/>
    <w:basedOn w:val="aff9"/>
    <w:link w:val="Char5"/>
    <w:qFormat/>
    <w:pPr>
      <w:spacing w:beforeLines="100" w:before="415" w:line="400" w:lineRule="exact"/>
    </w:pPr>
    <w:rPr>
      <w:rFonts w:ascii="Times New Roman" w:hAnsi="Times New Roman"/>
      <w:b w:val="0"/>
      <w:sz w:val="24"/>
      <w:szCs w:val="24"/>
    </w:rPr>
  </w:style>
  <w:style w:type="character" w:customStyle="1" w:styleId="Char5">
    <w:name w:val="关键词内容 Char"/>
    <w:link w:val="afff5"/>
    <w:qFormat/>
    <w:rPr>
      <w:sz w:val="24"/>
      <w:szCs w:val="24"/>
      <w:lang w:val="en-US" w:eastAsia="zh-CN" w:bidi="ar-SA"/>
    </w:rPr>
  </w:style>
  <w:style w:type="paragraph" w:customStyle="1" w:styleId="afff6">
    <w:name w:val="论文类型内容"/>
    <w:basedOn w:val="aff9"/>
    <w:link w:val="Char6"/>
    <w:qFormat/>
    <w:pPr>
      <w:spacing w:line="400" w:lineRule="exact"/>
      <w:ind w:left="1408" w:hangingChars="497" w:hanging="1408"/>
    </w:pPr>
    <w:rPr>
      <w:rFonts w:ascii="Times New Roman" w:hAnsi="Times New Roman"/>
      <w:b w:val="0"/>
      <w:sz w:val="24"/>
      <w:szCs w:val="24"/>
    </w:rPr>
  </w:style>
  <w:style w:type="character" w:customStyle="1" w:styleId="Char6">
    <w:name w:val="论文类型内容 Char"/>
    <w:link w:val="afff6"/>
    <w:qFormat/>
    <w:rPr>
      <w:sz w:val="24"/>
      <w:szCs w:val="24"/>
      <w:lang w:val="en-US" w:eastAsia="zh-CN" w:bidi="ar-SA"/>
    </w:rPr>
  </w:style>
  <w:style w:type="paragraph" w:customStyle="1" w:styleId="afff7">
    <w:name w:val="英文题头"/>
    <w:basedOn w:val="affb"/>
    <w:link w:val="Char7"/>
    <w:semiHidden/>
    <w:qFormat/>
    <w:pPr>
      <w:spacing w:line="240" w:lineRule="atLeast"/>
      <w:jc w:val="both"/>
    </w:pPr>
    <w:rPr>
      <w:rFonts w:eastAsia="宋体"/>
      <w:bCs w:val="0"/>
      <w:sz w:val="28"/>
      <w:szCs w:val="28"/>
      <w:u w:val="single"/>
    </w:rPr>
  </w:style>
  <w:style w:type="character" w:customStyle="1" w:styleId="Char7">
    <w:name w:val="英文题头 Char"/>
    <w:link w:val="afff7"/>
    <w:qFormat/>
    <w:rPr>
      <w:sz w:val="28"/>
      <w:szCs w:val="28"/>
      <w:u w:val="single"/>
      <w:lang w:val="en-US" w:eastAsia="zh-CN" w:bidi="ar-SA"/>
    </w:rPr>
  </w:style>
  <w:style w:type="paragraph" w:customStyle="1" w:styleId="afff8">
    <w:name w:val="英文摘要题目"/>
    <w:basedOn w:val="affb"/>
    <w:semiHidden/>
    <w:qFormat/>
    <w:pPr>
      <w:spacing w:beforeLines="50" w:before="207" w:afterLines="100" w:after="415"/>
    </w:pPr>
    <w:rPr>
      <w:b/>
    </w:rPr>
  </w:style>
  <w:style w:type="paragraph" w:customStyle="1" w:styleId="afff9">
    <w:name w:val="封面英文题目"/>
    <w:basedOn w:val="a"/>
    <w:qFormat/>
    <w:pPr>
      <w:spacing w:after="415"/>
      <w:jc w:val="center"/>
    </w:pPr>
    <w:rPr>
      <w:rFonts w:eastAsia="Times New Roman" w:cs="宋体"/>
      <w:sz w:val="30"/>
    </w:rPr>
  </w:style>
  <w:style w:type="paragraph" w:customStyle="1" w:styleId="afffa">
    <w:name w:val="英文摘要内容"/>
    <w:basedOn w:val="a"/>
    <w:qFormat/>
    <w:pPr>
      <w:spacing w:line="400" w:lineRule="exact"/>
      <w:ind w:firstLine="0"/>
    </w:pPr>
  </w:style>
  <w:style w:type="paragraph" w:customStyle="1" w:styleId="afffb">
    <w:name w:val="英文摘要论文类型"/>
    <w:basedOn w:val="a"/>
    <w:link w:val="Char8"/>
    <w:qFormat/>
    <w:pPr>
      <w:spacing w:before="50"/>
    </w:pPr>
    <w:rPr>
      <w:sz w:val="20"/>
    </w:rPr>
  </w:style>
  <w:style w:type="character" w:customStyle="1" w:styleId="Char8">
    <w:name w:val="英文摘要论文类型 Char"/>
    <w:link w:val="afffb"/>
    <w:qFormat/>
    <w:rPr>
      <w:kern w:val="2"/>
      <w:lang w:val="en-US" w:eastAsia="zh-CN" w:bidi="ar-SA"/>
    </w:rPr>
  </w:style>
  <w:style w:type="paragraph" w:customStyle="1" w:styleId="afffc">
    <w:name w:val="英文摘要论文类型内容"/>
    <w:basedOn w:val="a"/>
    <w:link w:val="Char9"/>
    <w:qFormat/>
    <w:pPr>
      <w:spacing w:beforeLines="50" w:before="207" w:line="400" w:lineRule="exact"/>
      <w:ind w:firstLine="0"/>
    </w:pPr>
  </w:style>
  <w:style w:type="character" w:customStyle="1" w:styleId="Char9">
    <w:name w:val="英文摘要论文类型内容 Char"/>
    <w:link w:val="afffc"/>
    <w:qFormat/>
    <w:rPr>
      <w:kern w:val="2"/>
      <w:sz w:val="24"/>
      <w:lang w:val="en-US" w:eastAsia="zh-CN" w:bidi="ar-SA"/>
    </w:rPr>
  </w:style>
  <w:style w:type="paragraph" w:customStyle="1" w:styleId="afffd">
    <w:name w:val="英文摘要关键词"/>
    <w:basedOn w:val="a"/>
    <w:link w:val="CharChar0"/>
    <w:qFormat/>
    <w:pPr>
      <w:spacing w:beforeLines="100" w:before="100" w:line="400" w:lineRule="exact"/>
    </w:pPr>
    <w:rPr>
      <w:sz w:val="20"/>
    </w:rPr>
  </w:style>
  <w:style w:type="character" w:customStyle="1" w:styleId="CharChar0">
    <w:name w:val="英文摘要关键词 Char Char"/>
    <w:link w:val="afffd"/>
    <w:qFormat/>
    <w:rPr>
      <w:kern w:val="2"/>
      <w:lang w:val="en-US" w:eastAsia="zh-CN" w:bidi="ar-SA"/>
    </w:rPr>
  </w:style>
  <w:style w:type="paragraph" w:customStyle="1" w:styleId="afffe">
    <w:name w:val="样式 论文缩略语词汇表"/>
    <w:basedOn w:val="affff"/>
    <w:qFormat/>
    <w:pPr>
      <w:spacing w:before="50" w:after="100" w:line="400" w:lineRule="exact"/>
      <w:ind w:firstLineChars="0" w:firstLine="0"/>
    </w:pPr>
    <w:rPr>
      <w:rFonts w:cs="宋体"/>
      <w:bCs/>
      <w:szCs w:val="20"/>
    </w:rPr>
  </w:style>
  <w:style w:type="paragraph" w:customStyle="1" w:styleId="affff">
    <w:name w:val="论文缩略语词汇表"/>
    <w:basedOn w:val="afff0"/>
    <w:qFormat/>
    <w:pPr>
      <w:spacing w:beforeLines="50" w:before="207" w:afterLines="100" w:after="415" w:line="240" w:lineRule="auto"/>
      <w:ind w:firstLine="689"/>
    </w:pPr>
    <w:rPr>
      <w:b/>
      <w:sz w:val="32"/>
      <w:szCs w:val="32"/>
    </w:rPr>
  </w:style>
  <w:style w:type="paragraph" w:customStyle="1" w:styleId="affff0">
    <w:name w:val="样式 缩略语词汇表 内容"/>
    <w:basedOn w:val="afff0"/>
    <w:qFormat/>
    <w:pPr>
      <w:spacing w:line="400" w:lineRule="exact"/>
      <w:ind w:firstLineChars="0" w:firstLine="0"/>
      <w:jc w:val="both"/>
    </w:pPr>
    <w:rPr>
      <w:rFonts w:cs="宋体"/>
    </w:rPr>
  </w:style>
  <w:style w:type="paragraph" w:customStyle="1" w:styleId="affff1">
    <w:name w:val="英文摘要关键词内容"/>
    <w:basedOn w:val="a"/>
    <w:link w:val="Chara"/>
    <w:qFormat/>
    <w:pPr>
      <w:spacing w:beforeLines="100" w:before="100" w:line="400" w:lineRule="exact"/>
    </w:pPr>
    <w:rPr>
      <w:szCs w:val="24"/>
    </w:rPr>
  </w:style>
  <w:style w:type="character" w:customStyle="1" w:styleId="Chara">
    <w:name w:val="英文摘要关键词内容 Char"/>
    <w:link w:val="affff1"/>
    <w:qFormat/>
    <w:rPr>
      <w:kern w:val="2"/>
      <w:sz w:val="24"/>
      <w:szCs w:val="24"/>
      <w:lang w:val="en-US" w:eastAsia="zh-CN" w:bidi="ar-SA"/>
    </w:rPr>
  </w:style>
  <w:style w:type="paragraph" w:customStyle="1" w:styleId="affff2">
    <w:name w:val="符号表"/>
    <w:basedOn w:val="affc"/>
    <w:qFormat/>
    <w:pPr>
      <w:spacing w:before="207" w:after="415" w:line="400" w:lineRule="exact"/>
    </w:pPr>
  </w:style>
  <w:style w:type="paragraph" w:customStyle="1" w:styleId="23">
    <w:name w:val="符号表2"/>
    <w:basedOn w:val="affff2"/>
    <w:qFormat/>
  </w:style>
  <w:style w:type="paragraph" w:customStyle="1" w:styleId="affff3">
    <w:name w:val="论文目录"/>
    <w:basedOn w:val="affc"/>
    <w:qFormat/>
    <w:pPr>
      <w:spacing w:before="207" w:after="415" w:line="400" w:lineRule="exact"/>
    </w:pPr>
    <w:rPr>
      <w:bCs/>
    </w:rPr>
  </w:style>
  <w:style w:type="paragraph" w:customStyle="1" w:styleId="11">
    <w:name w:val="论文目录1级标题"/>
    <w:basedOn w:val="TOC1"/>
    <w:qFormat/>
    <w:pPr>
      <w:spacing w:line="400" w:lineRule="exact"/>
    </w:pPr>
  </w:style>
  <w:style w:type="paragraph" w:customStyle="1" w:styleId="24">
    <w:name w:val="论文目录2级标题"/>
    <w:basedOn w:val="TOC2"/>
    <w:qFormat/>
    <w:pPr>
      <w:spacing w:line="400" w:lineRule="exact"/>
      <w:ind w:firstLine="260"/>
    </w:pPr>
  </w:style>
  <w:style w:type="paragraph" w:customStyle="1" w:styleId="30">
    <w:name w:val="论文题目3级标题"/>
    <w:basedOn w:val="TOC3"/>
    <w:qFormat/>
    <w:pPr>
      <w:spacing w:line="400" w:lineRule="exact"/>
      <w:ind w:firstLine="520"/>
    </w:pPr>
  </w:style>
  <w:style w:type="paragraph" w:customStyle="1" w:styleId="affff4">
    <w:name w:val="论文标题"/>
    <w:basedOn w:val="1"/>
    <w:qFormat/>
  </w:style>
  <w:style w:type="paragraph" w:customStyle="1" w:styleId="13">
    <w:name w:val="论文1级标题"/>
    <w:basedOn w:val="affff4"/>
    <w:qFormat/>
    <w:pPr>
      <w:spacing w:before="50" w:after="100" w:line="400" w:lineRule="exact"/>
      <w:ind w:left="4615"/>
    </w:pPr>
  </w:style>
  <w:style w:type="paragraph" w:customStyle="1" w:styleId="25">
    <w:name w:val="论文2级标题"/>
    <w:basedOn w:val="2"/>
    <w:qFormat/>
    <w:pPr>
      <w:spacing w:before="50" w:after="50" w:line="400" w:lineRule="exact"/>
    </w:pPr>
    <w:rPr>
      <w:bCs/>
    </w:rPr>
  </w:style>
  <w:style w:type="paragraph" w:customStyle="1" w:styleId="affff5">
    <w:name w:val="论文正文"/>
    <w:basedOn w:val="a"/>
    <w:qFormat/>
    <w:pPr>
      <w:spacing w:line="400" w:lineRule="exact"/>
      <w:ind w:firstLineChars="200" w:firstLine="200"/>
    </w:pPr>
    <w:rPr>
      <w:rFonts w:ascii="宋体" w:hAnsi="宋体"/>
    </w:rPr>
  </w:style>
  <w:style w:type="paragraph" w:customStyle="1" w:styleId="31">
    <w:name w:val="论文3级标题"/>
    <w:basedOn w:val="3"/>
    <w:qFormat/>
    <w:pPr>
      <w:spacing w:before="100" w:line="400" w:lineRule="exact"/>
    </w:pPr>
  </w:style>
  <w:style w:type="paragraph" w:customStyle="1" w:styleId="affff6">
    <w:name w:val="论文参考文献"/>
    <w:basedOn w:val="affd"/>
    <w:qFormat/>
    <w:pPr>
      <w:spacing w:before="50" w:after="100" w:line="400" w:lineRule="exact"/>
    </w:pPr>
    <w:rPr>
      <w:bCs/>
    </w:rPr>
  </w:style>
  <w:style w:type="paragraph" w:customStyle="1" w:styleId="affff7">
    <w:name w:val="参考文献正文"/>
    <w:basedOn w:val="a"/>
    <w:qFormat/>
    <w:pPr>
      <w:spacing w:line="400" w:lineRule="exact"/>
      <w:ind w:firstLineChars="200" w:firstLine="426"/>
    </w:pPr>
    <w:rPr>
      <w:rFonts w:ascii="宋体" w:hAnsi="宋体"/>
      <w:color w:val="993300"/>
      <w:sz w:val="21"/>
      <w:szCs w:val="21"/>
    </w:rPr>
  </w:style>
  <w:style w:type="paragraph" w:customStyle="1" w:styleId="affff8">
    <w:name w:val="参考文献列表"/>
    <w:basedOn w:val="affff7"/>
    <w:qFormat/>
    <w:pPr>
      <w:numPr>
        <w:numId w:val="8"/>
      </w:numPr>
      <w:tabs>
        <w:tab w:val="left" w:pos="397"/>
      </w:tabs>
      <w:ind w:firstLineChars="0" w:firstLine="0"/>
      <w:jc w:val="left"/>
    </w:pPr>
    <w:rPr>
      <w:rFonts w:ascii="Times New Roman" w:hAnsi="Times New Roman"/>
      <w:color w:val="auto"/>
    </w:rPr>
  </w:style>
  <w:style w:type="paragraph" w:customStyle="1" w:styleId="affff9">
    <w:name w:val="缩略语词汇表正文文"/>
    <w:basedOn w:val="a"/>
    <w:qFormat/>
    <w:pPr>
      <w:spacing w:line="400" w:lineRule="exact"/>
      <w:ind w:firstLine="0"/>
    </w:pPr>
  </w:style>
  <w:style w:type="paragraph" w:customStyle="1" w:styleId="affffa">
    <w:name w:val="论文附录"/>
    <w:basedOn w:val="aff7"/>
    <w:qFormat/>
    <w:pPr>
      <w:spacing w:before="207" w:after="415"/>
    </w:pPr>
  </w:style>
  <w:style w:type="paragraph" w:customStyle="1" w:styleId="affffb">
    <w:name w:val="论文附录标题"/>
    <w:basedOn w:val="affffa"/>
    <w:qFormat/>
    <w:pPr>
      <w:spacing w:before="50" w:after="100" w:line="400" w:lineRule="exact"/>
    </w:pPr>
  </w:style>
  <w:style w:type="paragraph" w:customStyle="1" w:styleId="affffc">
    <w:name w:val="论文附录内容"/>
    <w:basedOn w:val="a"/>
    <w:qFormat/>
    <w:pPr>
      <w:spacing w:line="400" w:lineRule="exact"/>
      <w:ind w:leftChars="200" w:left="200"/>
    </w:pPr>
    <w:rPr>
      <w:rFonts w:ascii="宋体" w:hAnsi="宋体"/>
    </w:rPr>
  </w:style>
  <w:style w:type="paragraph" w:customStyle="1" w:styleId="affffd">
    <w:name w:val="论文致谢"/>
    <w:basedOn w:val="affe"/>
    <w:qFormat/>
  </w:style>
  <w:style w:type="paragraph" w:customStyle="1" w:styleId="affffe">
    <w:name w:val="论文致谢内容"/>
    <w:basedOn w:val="a"/>
    <w:qFormat/>
    <w:pPr>
      <w:spacing w:line="400" w:lineRule="exact"/>
    </w:pPr>
    <w:rPr>
      <w:rFonts w:ascii="宋体" w:hAnsi="宋体"/>
    </w:rPr>
  </w:style>
  <w:style w:type="paragraph" w:customStyle="1" w:styleId="afffff">
    <w:name w:val="论文攻读硕士学位期间的研究成果"/>
    <w:basedOn w:val="afff"/>
    <w:qFormat/>
    <w:pPr>
      <w:spacing w:before="50" w:after="100" w:line="400" w:lineRule="exact"/>
    </w:pPr>
  </w:style>
  <w:style w:type="paragraph" w:customStyle="1" w:styleId="afffff0">
    <w:name w:val="研究成果标题"/>
    <w:basedOn w:val="aff6"/>
    <w:qFormat/>
  </w:style>
  <w:style w:type="paragraph" w:customStyle="1" w:styleId="afffff1">
    <w:name w:val="论文图片"/>
    <w:basedOn w:val="a4"/>
    <w:qFormat/>
    <w:pPr>
      <w:spacing w:beforeLines="100" w:before="100" w:afterLines="100" w:after="100" w:line="400" w:lineRule="exact"/>
    </w:pPr>
    <w:rPr>
      <w:rFonts w:eastAsia="宋体" w:cs="宋体"/>
      <w:szCs w:val="20"/>
    </w:rPr>
  </w:style>
  <w:style w:type="paragraph" w:customStyle="1" w:styleId="26">
    <w:name w:val="样式 论文正文 + 首行缩进:  2 字符"/>
    <w:basedOn w:val="affff5"/>
    <w:link w:val="2Char"/>
    <w:qFormat/>
    <w:pPr>
      <w:ind w:firstLine="486"/>
    </w:pPr>
    <w:rPr>
      <w:rFonts w:ascii="Times New Roman" w:hAnsi="Times New Roman" w:cs="宋体"/>
    </w:rPr>
  </w:style>
  <w:style w:type="character" w:customStyle="1" w:styleId="2Char">
    <w:name w:val="样式 论文正文 + 首行缩进:  2 字符 Char"/>
    <w:link w:val="26"/>
    <w:qFormat/>
    <w:rPr>
      <w:rFonts w:eastAsia="宋体" w:cs="宋体"/>
      <w:kern w:val="2"/>
      <w:sz w:val="24"/>
      <w:lang w:val="en-US" w:eastAsia="zh-CN" w:bidi="ar-SA"/>
    </w:rPr>
  </w:style>
  <w:style w:type="paragraph" w:customStyle="1" w:styleId="afffff2">
    <w:name w:val="封面姓名、学科等"/>
    <w:basedOn w:val="a"/>
    <w:qFormat/>
    <w:pPr>
      <w:spacing w:before="120" w:after="120"/>
      <w:ind w:firstLine="0"/>
      <w:jc w:val="distribute"/>
    </w:pPr>
    <w:rPr>
      <w:rFonts w:ascii="黑体" w:eastAsia="黑体" w:cs="宋体"/>
      <w:b/>
      <w:bCs/>
      <w:sz w:val="32"/>
    </w:rPr>
  </w:style>
  <w:style w:type="paragraph" w:customStyle="1" w:styleId="afffff3">
    <w:name w:val="封面个人信息"/>
    <w:basedOn w:val="a"/>
    <w:qFormat/>
    <w:pPr>
      <w:spacing w:before="120" w:after="120"/>
      <w:ind w:firstLine="0"/>
      <w:jc w:val="center"/>
    </w:pPr>
    <w:rPr>
      <w:rFonts w:ascii="黑体" w:eastAsia="黑体" w:cs="宋体"/>
      <w:b/>
      <w:bCs/>
      <w:sz w:val="32"/>
    </w:rPr>
  </w:style>
  <w:style w:type="paragraph" w:customStyle="1" w:styleId="afffff4">
    <w:name w:val="论文的图片"/>
    <w:basedOn w:val="a"/>
    <w:qFormat/>
    <w:pPr>
      <w:ind w:firstLine="0"/>
      <w:jc w:val="center"/>
    </w:pPr>
    <w:rPr>
      <w:sz w:val="21"/>
    </w:rPr>
  </w:style>
  <w:style w:type="paragraph" w:customStyle="1" w:styleId="afffff5">
    <w:name w:val="硕士正文"/>
    <w:basedOn w:val="a"/>
    <w:link w:val="Charb"/>
    <w:qFormat/>
    <w:pPr>
      <w:spacing w:line="400" w:lineRule="exact"/>
      <w:ind w:firstLineChars="200" w:firstLine="200"/>
    </w:pPr>
    <w:rPr>
      <w:rFonts w:cs="宋体"/>
    </w:rPr>
  </w:style>
  <w:style w:type="character" w:customStyle="1" w:styleId="Charb">
    <w:name w:val="硕士正文 Char"/>
    <w:link w:val="afffff5"/>
    <w:qFormat/>
    <w:rPr>
      <w:rFonts w:eastAsia="宋体" w:cs="宋体"/>
      <w:kern w:val="2"/>
      <w:sz w:val="24"/>
      <w:lang w:val="en-US" w:eastAsia="zh-CN" w:bidi="ar-SA"/>
    </w:rPr>
  </w:style>
  <w:style w:type="paragraph" w:customStyle="1" w:styleId="CharChar1">
    <w:name w:val="Char Char1"/>
    <w:basedOn w:val="a"/>
    <w:qFormat/>
    <w:pPr>
      <w:ind w:firstLine="0"/>
    </w:pPr>
    <w:rPr>
      <w:sz w:val="21"/>
      <w:szCs w:val="24"/>
    </w:rPr>
  </w:style>
  <w:style w:type="paragraph" w:customStyle="1" w:styleId="afffff6">
    <w:name w:val="段落"/>
    <w:basedOn w:val="a"/>
    <w:qFormat/>
    <w:pPr>
      <w:widowControl/>
      <w:adjustRightInd w:val="0"/>
      <w:spacing w:line="420" w:lineRule="exact"/>
      <w:ind w:firstLineChars="200" w:firstLine="520"/>
      <w:textAlignment w:val="baseline"/>
    </w:pPr>
    <w:rPr>
      <w:spacing w:val="10"/>
      <w:kern w:val="0"/>
    </w:rPr>
  </w:style>
  <w:style w:type="character" w:customStyle="1" w:styleId="font11">
    <w:name w:val="font11"/>
    <w:qFormat/>
    <w:rPr>
      <w:rFonts w:ascii="宋体" w:eastAsia="宋体" w:hAnsi="宋体" w:cs="宋体" w:hint="eastAsia"/>
      <w:color w:val="000000"/>
      <w:sz w:val="20"/>
      <w:szCs w:val="20"/>
      <w:u w:val="none"/>
    </w:rPr>
  </w:style>
  <w:style w:type="paragraph" w:customStyle="1" w:styleId="afffff7">
    <w:name w:val="论文参考文献（新）"/>
    <w:basedOn w:val="a"/>
    <w:qFormat/>
    <w:pPr>
      <w:spacing w:beforeLines="100" w:before="100" w:afterLines="50" w:after="50" w:line="400" w:lineRule="exact"/>
      <w:ind w:firstLineChars="104" w:firstLine="334"/>
      <w:jc w:val="center"/>
      <w:outlineLvl w:val="0"/>
    </w:pPr>
    <w:rPr>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header" Target="header6.xml"/><Relationship Id="rId26" Type="http://schemas.openxmlformats.org/officeDocument/2006/relationships/footer" Target="footer8.xml"/><Relationship Id="rId39" Type="http://schemas.openxmlformats.org/officeDocument/2006/relationships/image" Target="media/image9.png"/><Relationship Id="rId21" Type="http://schemas.openxmlformats.org/officeDocument/2006/relationships/header" Target="header7.xml"/><Relationship Id="rId34" Type="http://schemas.openxmlformats.org/officeDocument/2006/relationships/image" Target="media/image4.png"/><Relationship Id="rId42" Type="http://schemas.openxmlformats.org/officeDocument/2006/relationships/image" Target="media/image10.png"/><Relationship Id="rId47" Type="http://schemas.openxmlformats.org/officeDocument/2006/relationships/header" Target="header15.xml"/><Relationship Id="rId50" Type="http://schemas.openxmlformats.org/officeDocument/2006/relationships/image" Target="media/image16.png"/><Relationship Id="rId55" Type="http://schemas.openxmlformats.org/officeDocument/2006/relationships/header" Target="header19.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footer" Target="footer3.xml"/><Relationship Id="rId29" Type="http://schemas.openxmlformats.org/officeDocument/2006/relationships/header" Target="header10.xml"/><Relationship Id="rId11" Type="http://schemas.openxmlformats.org/officeDocument/2006/relationships/header" Target="header2.xml"/><Relationship Id="rId24" Type="http://schemas.openxmlformats.org/officeDocument/2006/relationships/footer" Target="footer7.xml"/><Relationship Id="rId32" Type="http://schemas.openxmlformats.org/officeDocument/2006/relationships/header" Target="header11.xml"/><Relationship Id="rId37" Type="http://schemas.openxmlformats.org/officeDocument/2006/relationships/image" Target="media/image7.png"/><Relationship Id="rId40" Type="http://schemas.openxmlformats.org/officeDocument/2006/relationships/header" Target="header13.xml"/><Relationship Id="rId45" Type="http://schemas.openxmlformats.org/officeDocument/2006/relationships/image" Target="media/image13.png"/><Relationship Id="rId53" Type="http://schemas.openxmlformats.org/officeDocument/2006/relationships/header" Target="header17.xml"/><Relationship Id="rId58" Type="http://schemas.openxmlformats.org/officeDocument/2006/relationships/header" Target="header22.xml"/><Relationship Id="rId5" Type="http://schemas.openxmlformats.org/officeDocument/2006/relationships/footnotes" Target="footnotes.xml"/><Relationship Id="rId61" Type="http://schemas.openxmlformats.org/officeDocument/2006/relationships/fontTable" Target="fontTable.xml"/><Relationship Id="rId19" Type="http://schemas.openxmlformats.org/officeDocument/2006/relationships/footer" Target="footer4.xml"/><Relationship Id="rId14" Type="http://schemas.openxmlformats.org/officeDocument/2006/relationships/header" Target="header4.xml"/><Relationship Id="rId22" Type="http://schemas.openxmlformats.org/officeDocument/2006/relationships/header" Target="header8.xml"/><Relationship Id="rId27" Type="http://schemas.openxmlformats.org/officeDocument/2006/relationships/footer" Target="footer9.xml"/><Relationship Id="rId30" Type="http://schemas.openxmlformats.org/officeDocument/2006/relationships/footer" Target="footer10.xml"/><Relationship Id="rId35" Type="http://schemas.openxmlformats.org/officeDocument/2006/relationships/image" Target="media/image5.png"/><Relationship Id="rId43" Type="http://schemas.openxmlformats.org/officeDocument/2006/relationships/image" Target="media/image11.png"/><Relationship Id="rId48" Type="http://schemas.openxmlformats.org/officeDocument/2006/relationships/header" Target="header16.xml"/><Relationship Id="rId56" Type="http://schemas.openxmlformats.org/officeDocument/2006/relationships/header" Target="header20.xml"/><Relationship Id="rId8" Type="http://schemas.openxmlformats.org/officeDocument/2006/relationships/image" Target="media/image2.png"/><Relationship Id="rId51" Type="http://schemas.openxmlformats.org/officeDocument/2006/relationships/image" Target="media/image17.wmf"/><Relationship Id="rId3"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image" Target="media/image3.png"/><Relationship Id="rId33" Type="http://schemas.openxmlformats.org/officeDocument/2006/relationships/header" Target="header12.xml"/><Relationship Id="rId38" Type="http://schemas.openxmlformats.org/officeDocument/2006/relationships/image" Target="media/image8.png"/><Relationship Id="rId46" Type="http://schemas.openxmlformats.org/officeDocument/2006/relationships/image" Target="media/image14.png"/><Relationship Id="rId59" Type="http://schemas.openxmlformats.org/officeDocument/2006/relationships/header" Target="header23.xml"/><Relationship Id="rId20" Type="http://schemas.openxmlformats.org/officeDocument/2006/relationships/footer" Target="footer5.xml"/><Relationship Id="rId41" Type="http://schemas.openxmlformats.org/officeDocument/2006/relationships/header" Target="header14.xml"/><Relationship Id="rId54" Type="http://schemas.openxmlformats.org/officeDocument/2006/relationships/header" Target="header18.xml"/><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footer" Target="footer2.xml"/><Relationship Id="rId23" Type="http://schemas.openxmlformats.org/officeDocument/2006/relationships/footer" Target="footer6.xml"/><Relationship Id="rId28" Type="http://schemas.openxmlformats.org/officeDocument/2006/relationships/header" Target="header9.xml"/><Relationship Id="rId36" Type="http://schemas.openxmlformats.org/officeDocument/2006/relationships/image" Target="media/image6.png"/><Relationship Id="rId49" Type="http://schemas.openxmlformats.org/officeDocument/2006/relationships/image" Target="media/image15.png"/><Relationship Id="rId57" Type="http://schemas.openxmlformats.org/officeDocument/2006/relationships/header" Target="header21.xml"/><Relationship Id="rId10" Type="http://schemas.openxmlformats.org/officeDocument/2006/relationships/header" Target="header1.xml"/><Relationship Id="rId31" Type="http://schemas.openxmlformats.org/officeDocument/2006/relationships/footer" Target="footer11.xml"/><Relationship Id="rId44" Type="http://schemas.openxmlformats.org/officeDocument/2006/relationships/image" Target="media/image12.png"/><Relationship Id="rId52" Type="http://schemas.openxmlformats.org/officeDocument/2006/relationships/oleObject" Target="embeddings/oleObject2.bin"/><Relationship Id="rId60" Type="http://schemas.openxmlformats.org/officeDocument/2006/relationships/header" Target="header24.xml"/><Relationship Id="rId4" Type="http://schemas.openxmlformats.org/officeDocument/2006/relationships/webSettings" Target="webSettings.xml"/><Relationship Id="rId9" Type="http://schemas.openxmlformats.org/officeDocument/2006/relationships/oleObject" Target="embeddings/oleObject1.bin"/></Relationships>
</file>

<file path=word/_rels/settings.xml.rels><?xml version="1.0" encoding="UTF-8" standalone="yes"?>
<Relationships xmlns="http://schemas.openxmlformats.org/package/2006/relationships"><Relationship Id="rId1" Type="http://schemas.openxmlformats.org/officeDocument/2006/relationships/attachedTemplate" Target="file:///D:\360&#20113;&#30424;\&#24037;&#20316;\&#24429;&#21187;\&#30740;&#31350;&#29983;&#23398;&#20301;&#35770;&#25991;&#35268;&#33539;\&#23398;&#20301;&#35770;&#25991;\&#23398;&#26415;&#23398;&#20301;&#30740;&#31350;&#29983;&#23398;&#20301;&#35770;&#25991;\&#27827;&#21335;&#31185;&#25216;&#22823;&#23398;&#30740;&#31350;&#29983;&#23398;&#20301;&#35770;&#25991;&#27169;&#26495;.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河南科技大学研究生学位论文模板.dot</Template>
  <TotalTime>0</TotalTime>
  <Pages>85</Pages>
  <Words>10874</Words>
  <Characters>61985</Characters>
  <Application>Microsoft Office Word</Application>
  <DocSecurity>0</DocSecurity>
  <Lines>516</Lines>
  <Paragraphs>145</Paragraphs>
  <ScaleCrop>false</ScaleCrop>
  <Company>河南科技大学</Company>
  <LinksUpToDate>false</LinksUpToDate>
  <CharactersWithSpaces>72714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河科大硕士论文正文</dc:title>
  <dc:subject>河科大硕士论文正文模板</dc:subject>
  <dc:creator>Administrator</dc:creator>
  <cp:keywords/>
  <cp:lastModifiedBy>erzui weiyin</cp:lastModifiedBy>
  <cp:revision>2</cp:revision>
  <cp:lastPrinted>2026-03-23T05:00:00Z</cp:lastPrinted>
  <dcterms:created xsi:type="dcterms:W3CDTF">2026-04-24T03:18:00Z</dcterms:created>
  <dcterms:modified xsi:type="dcterms:W3CDTF">2026-04-24T03:18:00Z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49C9688317304CFD9584F4C914492B89_13</vt:lpwstr>
  </property>
  <property fmtid="{D5CDD505-2E9C-101B-9397-08002B2CF9AE}" pid="3" name="KSOProductBuildVer">
    <vt:lpwstr>2052-12.1.0.25225</vt:lpwstr>
  </property>
  <property fmtid="{D5CDD505-2E9C-101B-9397-08002B2CF9AE}" pid="4" name="KSOTemplateDocerSaveRecord">
    <vt:lpwstr>eyJoZGlkIjoiZjFlZmZkOTQ2ZmIyYjA5Mzc2MDE3MTZiYjY4MWJiZjQiLCJ1c2VySWQiOiI1MzM5ODM5MTQifQ==</vt:lpwstr>
  </property>
</Properties>
</file>