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>
              <w:rPr>
                <w:sz w:val="20"/>
              </w:rPr>
              <w:t>工作亮點:</w:t>
            </w:r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本月總翻譯時數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字幕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): 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影片長度總和非工作時數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t>長度: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Cs w:val="22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ascii="Calibri" w:hAnsi="Calibri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其他工作</w:t>
            </w: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英文新聞</w:t>
            </w:r>
            <w:r>
              <w:rPr>
                <w:rFonts w:eastAsia="新細明體" w:cs=""/>
                <w:kern w:val="2"/>
                <w:sz w:val="20"/>
                <w:szCs w:val="20"/>
                <w:lang w:val="en-US" w:eastAsia="zh-TW" w:bidi="ar-SA"/>
              </w:rPr>
              <w:t>: ?</w:t>
            </w: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篇</w:t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行政工作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PM</w:t>
            </w:r>
            <w:r>
              <w:rPr>
                <w:rFonts w:ascii="Calibri" w:hAnsi="Calibri" w:cs=""/>
                <w:kern w:val="2"/>
                <w:sz w:val="20"/>
                <w:szCs w:val="22"/>
                <w:lang w:val="en-US" w:eastAsia="zh-TW" w:bidi="ar-SA"/>
              </w:rPr>
              <w:t>選稿子</w:t>
            </w: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