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极光会员积分体系产品需求文档</w:t>
      </w:r>
    </w:p>
    <w:p>
      <w:r>
        <w:t>本 PRD 定义会员积分的获取、兑换与清零规则。背景:2025 年试点复购率提升 6.4%,2026 年全面推广。核心验收指标:兑换转化率不低于 8%,季度兑换量逐季环比正增长。</w:t>
      </w:r>
    </w:p>
    <w:p>
      <w:pPr>
        <w:pStyle w:val="Heading2"/>
      </w:pPr>
      <w:r>
        <w:t>积分兑换门槛</w:t>
      </w:r>
    </w:p>
    <w:p>
      <w:r>
        <w:t>积分兑换券与实物,门槛与库存策略如下: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兑换项目</w:t>
            </w:r>
          </w:p>
        </w:tc>
        <w:tc>
          <w:tcPr>
            <w:tcW w:type="dxa" w:w="2880"/>
          </w:tcPr>
          <w:p>
            <w:r>
              <w:t>所需积分</w:t>
            </w:r>
          </w:p>
        </w:tc>
        <w:tc>
          <w:tcPr>
            <w:tcW w:type="dxa" w:w="2880"/>
          </w:tcPr>
          <w:p>
            <w:r>
              <w:t>库存策略</w:t>
            </w:r>
          </w:p>
        </w:tc>
      </w:tr>
      <w:tr>
        <w:tc>
          <w:tcPr>
            <w:tcW w:type="dxa" w:w="2880"/>
          </w:tcPr>
          <w:p>
            <w:r>
              <w:t>10 元优惠券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不限量</w:t>
            </w:r>
          </w:p>
        </w:tc>
      </w:tr>
      <w:tr>
        <w:tc>
          <w:tcPr>
            <w:tcW w:type="dxa" w:w="2880"/>
          </w:tcPr>
          <w:p>
            <w:r>
              <w:t>帆布袋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每月 500 件</w:t>
            </w:r>
          </w:p>
        </w:tc>
      </w:tr>
      <w:tr>
        <w:tc>
          <w:tcPr>
            <w:tcW w:type="dxa" w:w="2880"/>
          </w:tcPr>
          <w:p>
            <w:r>
              <w:t>保温杯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每月 200 件</w:t>
            </w:r>
          </w:p>
        </w:tc>
      </w:tr>
      <w:tr>
        <w:tc>
          <w:tcPr>
            <w:tcW w:type="dxa" w:w="2880"/>
          </w:tcPr>
          <w:p>
            <w:r>
              <w:t>蓝牙音箱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  <w:tc>
          <w:tcPr>
            <w:tcW w:type="dxa" w:w="2880"/>
          </w:tcPr>
          <w:p>
            <w:r>
              <w:t>每月 60 件</w:t>
            </w:r>
          </w:p>
        </w:tc>
      </w:tr>
    </w:tbl>
    <w:p>
      <w:pPr>
        <w:pStyle w:val="Heading2"/>
      </w:pPr>
      <w:r>
        <w:t>季度兑换量目标</w:t>
      </w:r>
    </w:p>
    <w:p>
      <w:r>
        <w:t>产品侧给出门店兑换量的季度目标,见下图,第四季度兑换量须达到 310 万分:</w:t>
      </w:r>
    </w:p>
    <w:p>
      <w:r>
        <w:drawing>
          <wp:inline xmlns:a="http://schemas.openxmlformats.org/drawingml/2006/main" xmlns:pic="http://schemas.openxmlformats.org/drawingml/2006/picture">
            <wp:extent cx="5029200" cy="2690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hart_rede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若连续两季未达标,须触发增长专项复盘。</w:t>
      </w:r>
    </w:p>
    <w:p>
      <w:pPr>
        <w:pStyle w:val="Heading2"/>
      </w:pPr>
      <w:r>
        <w:t>积分清零与提醒</w:t>
      </w:r>
    </w:p>
    <w:p>
      <w:r>
        <w:t>积分有效期截至当年 12 月 31 日,过期自动清零;清零前 30 天、7 天各推送一次提醒。等级积分与消费积分分开计算,等级积分永不过期。</w:t>
      </w:r>
    </w:p>
    <w:p>
      <w:pPr>
        <w:pStyle w:val="Heading2"/>
      </w:pPr>
      <w:r>
        <w:t>兑换流程</w:t>
      </w:r>
    </w:p>
    <w:p>
      <w:r>
        <w:t>用户兑换须按以下步骤闭环:</w:t>
      </w:r>
    </w:p>
    <w:p>
      <w:pPr>
        <w:pStyle w:val="ListNumber"/>
      </w:pPr>
      <w:r>
        <w:t>用户在积分商城选中商品</w:t>
      </w:r>
    </w:p>
    <w:p>
      <w:pPr>
        <w:pStyle w:val="ListNumber"/>
      </w:pPr>
      <w:r>
        <w:t>系统校验积分余额与库存</w:t>
      </w:r>
    </w:p>
    <w:p>
      <w:pPr>
        <w:pStyle w:val="ListNumber"/>
      </w:pPr>
      <w:r>
        <w:t>扣减积分并生成兑换码</w:t>
      </w:r>
    </w:p>
    <w:p>
      <w:pPr>
        <w:pStyle w:val="ListNumber"/>
      </w:pPr>
      <w:r>
        <w:t>实物类走物流发货,券类即时到账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