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极光大促活动作战手册</w:t>
      </w:r>
    </w:p>
    <w:p>
      <w:r>
        <w:t>本手册约束大促期间的库存、客服与舆情三板斧,值为 2026 双 11 执行口径。</w:t>
      </w:r>
    </w:p>
    <w:p>
      <w:pPr>
        <w:pStyle w:val="Heading2"/>
      </w:pPr>
      <w:r>
        <w:t>GMV 目标与节奏</w:t>
      </w:r>
    </w:p>
    <w:p>
      <w:r>
        <w:t>参考 2025 年走势(见下图),11.11 当日 GMV 目标 6200 万元,预售期(10.20-10.31)蓄水占比不低于 30%:</w:t>
      </w:r>
    </w:p>
    <w:p>
      <w:r>
        <w:drawing>
          <wp:inline xmlns:a="http://schemas.openxmlformats.org/drawingml/2006/main" xmlns:pic="http://schemas.openxmlformats.org/drawingml/2006/picture">
            <wp:extent cx="5029200" cy="26900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hart_gm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0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客服 SOP</w:t>
      </w:r>
    </w:p>
    <w:p>
      <w:r>
        <w:t>大促期间客服响应纪律:</w:t>
      </w:r>
    </w:p>
    <w:p>
      <w:pPr>
        <w:pStyle w:val="ListNumber"/>
      </w:pPr>
      <w:r>
        <w:t>首响时间不得超过 60 秒</w:t>
      </w:r>
    </w:p>
    <w:p>
      <w:pPr>
        <w:pStyle w:val="ListNumber"/>
      </w:pPr>
      <w:r>
        <w:t>退款类问题一律 2 小时内给出结论</w:t>
      </w:r>
    </w:p>
    <w:p>
      <w:pPr>
        <w:pStyle w:val="ListNumber"/>
      </w:pPr>
      <w:r>
        <w:t>舆情类问题 15 分钟内上报值班主管</w:t>
      </w:r>
    </w:p>
    <w:p>
      <w:pPr>
        <w:pStyle w:val="Heading2"/>
      </w:pPr>
      <w:r>
        <w:t>库存红线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红线</w:t>
            </w:r>
          </w:p>
        </w:tc>
        <w:tc>
          <w:tcPr>
            <w:tcW w:type="dxa" w:w="2880"/>
          </w:tcPr>
          <w:p>
            <w:r>
              <w:t>动作</w:t>
            </w:r>
          </w:p>
        </w:tc>
      </w:tr>
      <w:tr>
        <w:tc>
          <w:tcPr>
            <w:tcW w:type="dxa" w:w="2880"/>
          </w:tcPr>
          <w:p>
            <w:r>
              <w:t>可售库存</w:t>
            </w:r>
          </w:p>
        </w:tc>
        <w:tc>
          <w:tcPr>
            <w:tcW w:type="dxa" w:w="2880"/>
          </w:tcPr>
          <w:p>
            <w:r>
              <w:t>低于 50 件</w:t>
            </w:r>
          </w:p>
        </w:tc>
        <w:tc>
          <w:tcPr>
            <w:tcW w:type="dxa" w:w="2880"/>
          </w:tcPr>
          <w:p>
            <w:r>
              <w:t>立即下架限时购入口</w:t>
            </w:r>
          </w:p>
        </w:tc>
      </w:tr>
      <w:tr>
        <w:tc>
          <w:tcPr>
            <w:tcW w:type="dxa" w:w="2880"/>
          </w:tcPr>
          <w:p>
            <w:r>
              <w:t>售罄率</w:t>
            </w:r>
          </w:p>
        </w:tc>
        <w:tc>
          <w:tcPr>
            <w:tcW w:type="dxa" w:w="2880"/>
          </w:tcPr>
          <w:p>
            <w:r>
              <w:t>超 90%</w:t>
            </w:r>
          </w:p>
        </w:tc>
        <w:tc>
          <w:tcPr>
            <w:tcW w:type="dxa" w:w="2880"/>
          </w:tcPr>
          <w:p>
            <w:r>
              <w:t>启动补货审批</w:t>
            </w:r>
          </w:p>
        </w:tc>
      </w:tr>
      <w:tr>
        <w:tc>
          <w:tcPr>
            <w:tcW w:type="dxa" w:w="2880"/>
          </w:tcPr>
          <w:p>
            <w:r>
              <w:t>退款率</w:t>
            </w:r>
          </w:p>
        </w:tc>
        <w:tc>
          <w:tcPr>
            <w:tcW w:type="dxa" w:w="2880"/>
          </w:tcPr>
          <w:p>
            <w:r>
              <w:t>超 8%</w:t>
            </w:r>
          </w:p>
        </w:tc>
        <w:tc>
          <w:tcPr>
            <w:tcW w:type="dxa" w:w="2880"/>
          </w:tcPr>
          <w:p>
            <w:r>
              <w:t>暂停该品推广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