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极光退换货政策(2026 修订版)</w:t>
      </w:r>
    </w:p>
    <w:p>
      <w:r>
        <w:t>v2 修订要点:退货时效从 7 天延长到 15 天,新增定制品与贴身衣物的不予退换清单。</w:t>
      </w:r>
    </w:p>
    <w:p>
      <w:pPr>
        <w:pStyle w:val="Heading2"/>
      </w:pPr>
      <w:r>
        <w:t>退货时效</w:t>
      </w:r>
    </w:p>
    <w:p>
      <w:r>
        <w:t>签收后 15 天内可无理由退货,吊牌完好且不影响二次销售为前提。退货入库后 3 个工作日内原路退款。</w:t>
      </w:r>
    </w:p>
    <w:p>
      <w:pPr>
        <w:pStyle w:val="Heading2"/>
      </w:pPr>
      <w:r>
        <w:t>不予退换情形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情形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处理方式</w:t>
            </w:r>
          </w:p>
        </w:tc>
      </w:tr>
      <w:tr>
        <w:tc>
          <w:tcPr>
            <w:tcW w:type="dxa" w:w="2880"/>
          </w:tcPr>
          <w:p>
            <w:r>
              <w:t>贴身衣物/袜子</w:t>
            </w:r>
          </w:p>
        </w:tc>
        <w:tc>
          <w:tcPr>
            <w:tcW w:type="dxa" w:w="2880"/>
          </w:tcPr>
          <w:p>
            <w:r>
              <w:t>卫生考量</w:t>
            </w:r>
          </w:p>
        </w:tc>
        <w:tc>
          <w:tcPr>
            <w:tcW w:type="dxa" w:w="2880"/>
          </w:tcPr>
          <w:p>
            <w:r>
              <w:t>不支持退换</w:t>
            </w:r>
          </w:p>
        </w:tc>
      </w:tr>
      <w:tr>
        <w:tc>
          <w:tcPr>
            <w:tcW w:type="dxa" w:w="2880"/>
          </w:tcPr>
          <w:p>
            <w:r>
              <w:t>定制品</w:t>
            </w:r>
          </w:p>
        </w:tc>
        <w:tc>
          <w:tcPr>
            <w:tcW w:type="dxa" w:w="2880"/>
          </w:tcPr>
          <w:p>
            <w:r>
              <w:t>个性定制</w:t>
            </w:r>
          </w:p>
        </w:tc>
        <w:tc>
          <w:tcPr>
            <w:tcW w:type="dxa" w:w="2880"/>
          </w:tcPr>
          <w:p>
            <w:r>
              <w:t>不支持退换</w:t>
            </w:r>
          </w:p>
        </w:tc>
      </w:tr>
      <w:tr>
        <w:tc>
          <w:tcPr>
            <w:tcW w:type="dxa" w:w="2880"/>
          </w:tcPr>
          <w:p>
            <w:r>
              <w:t>已拆封食品</w:t>
            </w:r>
          </w:p>
        </w:tc>
        <w:tc>
          <w:tcPr>
            <w:tcW w:type="dxa" w:w="2880"/>
          </w:tcPr>
          <w:p>
            <w:r>
              <w:t>食品安全</w:t>
            </w:r>
          </w:p>
        </w:tc>
        <w:tc>
          <w:tcPr>
            <w:tcW w:type="dxa" w:w="2880"/>
          </w:tcPr>
          <w:p>
            <w:r>
              <w:t>仅质量问题可退</w:t>
            </w:r>
          </w:p>
        </w:tc>
      </w:tr>
      <w:tr>
        <w:tc>
          <w:tcPr>
            <w:tcW w:type="dxa" w:w="2880"/>
          </w:tcPr>
          <w:p>
            <w:r>
              <w:t>赠品</w:t>
            </w:r>
          </w:p>
        </w:tc>
        <w:tc>
          <w:tcPr>
            <w:tcW w:type="dxa" w:w="2880"/>
          </w:tcPr>
          <w:p>
            <w:r>
              <w:t>非独立订单</w:t>
            </w:r>
          </w:p>
        </w:tc>
        <w:tc>
          <w:tcPr>
            <w:tcW w:type="dxa" w:w="2880"/>
          </w:tcPr>
          <w:p>
            <w:r>
              <w:t>随主商品退回</w:t>
            </w:r>
          </w:p>
        </w:tc>
      </w:tr>
    </w:tbl>
    <w:p>
      <w:pPr>
        <w:pStyle w:val="Heading2"/>
      </w:pPr>
      <w:r>
        <w:t>运费承担</w:t>
      </w:r>
    </w:p>
    <w:p>
      <w:r>
        <w:t>质量问题退货运费由平台承担;无理由退货运费由用户承担,运费 12 元封顶从退款中扣除。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