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Style w:val="Title"/>
        <w:jc w:val="center"/>
      </w:pPr>
      <w:r>
        <w:t>SESSION 2 – FINAL AUDIT TEST EXECUTION REPORT</w:t>
      </w:r>
    </w:p>
    <w:p>
      <w:pPr>
        <w:jc w:val="center"/>
      </w:pPr>
      <w:r>
        <w:rPr>
          <w:b/>
        </w:rPr>
        <w:t>AWS Academy Learner Lab – E-commerce Cloud Security Audit</w:t>
      </w:r>
    </w:p>
    <w:p>
      <w:pPr>
        <w:jc w:val="center"/>
      </w:pPr>
      <w:r>
        <w:t>Terms of Reference No. 42 | ISO/IEC 27001:2022</w:t>
      </w:r>
    </w:p>
    <w:p>
      <w:pPr>
        <w:jc w:val="center"/>
      </w:pPr>
      <w:r>
        <w:t>Audit team: Wejden Cherif and Maram Raboudi</w:t>
      </w:r>
    </w:p>
    <w:p>
      <w:pPr>
        <w:jc w:val="center"/>
      </w:pPr>
      <w:r>
        <w:t>Instructor: Mohamed Ali Hadhri</w:t>
      </w:r>
    </w:p>
    <w:p>
      <w:pPr>
        <w:jc w:val="center"/>
      </w:pPr>
      <w:r>
        <w:t>Audit period: 09–10 October 2026</w:t>
      </w:r>
    </w:p>
    <w:p>
      <w:pPr>
        <w:jc w:val="center"/>
      </w:pPr>
      <w:r>
        <w:t>Environment: AWS Academy Learner Lab, account 623463264556, us-east-1</w:t>
      </w:r>
    </w:p>
    <w:p>
      <w:r>
        <w:br w:type="page"/>
      </w:r>
    </w:p>
    <w:p>
      <w:pPr>
        <w:pStyle w:val="Heading1"/>
        <w:keepNext/>
      </w:pPr>
      <w:r>
        <w:t>1. Purpose and reporting method</w:t>
      </w:r>
    </w:p>
    <w:p>
      <w:pPr>
        <w:spacing w:after="100" w:line="252" w:lineRule="auto"/>
      </w:pPr>
      <w:r>
        <w:t>This Session 2 report records the completed execution of tests T-01 to T-07 in the AWS Academy Learner Lab. Each test is presented using the Terms of Reference audit-grid structure: ID, Criterion, Audit question, Method, Expected evidence, Result, Classification and Evidence reference. Manual AWS configuration evidence is correlated with Prowler 5.44.0 and ScoutSuite results. Automated findings are triaged rather than counted mechanically: duplicate checks are consolidated, AWS Academy/Vocareum-managed limitations are separated from project-controlled configuration, and only evidence-supported conclusions are retained.</w:t>
      </w:r>
    </w:p>
    <w:p>
      <w:pPr>
        <w:pStyle w:val="Heading1"/>
        <w:keepNext/>
      </w:pPr>
      <w:r>
        <w:t>2. T-01 – Cloud usage policy and responsibilities</w:t>
      </w:r>
    </w:p>
    <w:p>
      <w:pPr>
        <w:pStyle w:val="Heading2"/>
        <w:keepNext/>
      </w:pPr>
      <w:r>
        <w:t>TDR-format audit result table</w:t>
      </w:r>
    </w:p>
    <w:tbl>
      <w:tblPr>
        <w:tblStyle w:val="TableGrid"/>
        <w:tblW w:type="auto" w:w="0"/>
        <w:jc w:val="center"/>
        <w:tblLayout w:type="fixed"/>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691"/>
            <w:vAlign w:val="center"/>
            <w:shd w:fill="1F4E78"/>
          </w:tcPr>
          <w:p>
            <w:pPr>
              <w:spacing w:after="0"/>
            </w:pPr>
            <w:r>
              <w:rPr>
                <w:sz w:val="14"/>
              </w:rPr>
            </w:r>
            <w:r>
              <w:rPr>
                <w:rFonts w:ascii="Aptos" w:hAnsi="Aptos"/>
                <w:b/>
                <w:color w:val="FFFFFF"/>
                <w:sz w:val="15"/>
              </w:rPr>
              <w:t>ID</w:t>
            </w:r>
          </w:p>
        </w:tc>
        <w:tc>
          <w:tcPr>
            <w:tcW w:type="dxa" w:w="893"/>
            <w:vAlign w:val="center"/>
            <w:shd w:fill="1F4E78"/>
          </w:tcPr>
          <w:p>
            <w:pPr>
              <w:spacing w:after="0"/>
            </w:pPr>
            <w:r>
              <w:rPr>
                <w:sz w:val="14"/>
              </w:rPr>
            </w:r>
            <w:r>
              <w:rPr>
                <w:rFonts w:ascii="Aptos" w:hAnsi="Aptos"/>
                <w:b/>
                <w:color w:val="FFFFFF"/>
                <w:sz w:val="15"/>
              </w:rPr>
              <w:t>Criterion</w:t>
            </w:r>
          </w:p>
        </w:tc>
        <w:tc>
          <w:tcPr>
            <w:tcW w:type="dxa" w:w="2376"/>
            <w:vAlign w:val="center"/>
            <w:shd w:fill="1F4E78"/>
          </w:tcPr>
          <w:p>
            <w:pPr>
              <w:spacing w:after="0"/>
            </w:pPr>
            <w:r>
              <w:rPr>
                <w:sz w:val="14"/>
              </w:rPr>
            </w:r>
            <w:r>
              <w:rPr>
                <w:rFonts w:ascii="Aptos" w:hAnsi="Aptos"/>
                <w:b/>
                <w:color w:val="FFFFFF"/>
                <w:sz w:val="15"/>
              </w:rPr>
              <w:t>Audit question</w:t>
            </w:r>
          </w:p>
        </w:tc>
        <w:tc>
          <w:tcPr>
            <w:tcW w:type="dxa" w:w="1699"/>
            <w:vAlign w:val="center"/>
            <w:shd w:fill="1F4E78"/>
          </w:tcPr>
          <w:p>
            <w:pPr>
              <w:spacing w:after="0"/>
            </w:pPr>
            <w:r>
              <w:rPr>
                <w:sz w:val="14"/>
              </w:rPr>
            </w:r>
            <w:r>
              <w:rPr>
                <w:rFonts w:ascii="Aptos" w:hAnsi="Aptos"/>
                <w:b/>
                <w:color w:val="FFFFFF"/>
                <w:sz w:val="15"/>
              </w:rPr>
              <w:t>Method</w:t>
            </w:r>
          </w:p>
        </w:tc>
        <w:tc>
          <w:tcPr>
            <w:tcW w:type="dxa" w:w="1469"/>
            <w:vAlign w:val="center"/>
            <w:shd w:fill="1F4E78"/>
          </w:tcPr>
          <w:p>
            <w:pPr>
              <w:spacing w:after="0"/>
            </w:pPr>
            <w:r>
              <w:rPr>
                <w:sz w:val="14"/>
              </w:rPr>
            </w:r>
            <w:r>
              <w:rPr>
                <w:rFonts w:ascii="Aptos" w:hAnsi="Aptos"/>
                <w:b/>
                <w:color w:val="FFFFFF"/>
                <w:sz w:val="15"/>
              </w:rPr>
              <w:t>Expected evidence</w:t>
            </w:r>
          </w:p>
        </w:tc>
        <w:tc>
          <w:tcPr>
            <w:tcW w:type="dxa" w:w="1512"/>
            <w:vAlign w:val="center"/>
            <w:shd w:fill="1F4E78"/>
          </w:tcPr>
          <w:p>
            <w:pPr>
              <w:spacing w:after="0"/>
            </w:pPr>
            <w:r>
              <w:rPr>
                <w:sz w:val="14"/>
              </w:rPr>
            </w:r>
            <w:r>
              <w:rPr>
                <w:rFonts w:ascii="Aptos" w:hAnsi="Aptos"/>
                <w:b/>
                <w:color w:val="FFFFFF"/>
                <w:sz w:val="15"/>
              </w:rPr>
              <w:t>Result</w:t>
            </w:r>
          </w:p>
        </w:tc>
        <w:tc>
          <w:tcPr>
            <w:tcW w:type="dxa" w:w="1613"/>
            <w:vAlign w:val="center"/>
            <w:shd w:fill="1F4E78"/>
          </w:tcPr>
          <w:p>
            <w:pPr>
              <w:spacing w:after="0"/>
            </w:pPr>
            <w:r>
              <w:rPr>
                <w:sz w:val="14"/>
              </w:rPr>
            </w:r>
            <w:r>
              <w:rPr>
                <w:rFonts w:ascii="Aptos" w:hAnsi="Aptos"/>
                <w:b/>
                <w:color w:val="FFFFFF"/>
                <w:sz w:val="15"/>
              </w:rPr>
              <w:t>Classification</w:t>
            </w:r>
          </w:p>
        </w:tc>
        <w:tc>
          <w:tcPr>
            <w:tcW w:type="dxa" w:w="979"/>
            <w:vAlign w:val="center"/>
            <w:shd w:fill="1F4E78"/>
          </w:tcPr>
          <w:p>
            <w:pPr>
              <w:spacing w:after="0"/>
            </w:pPr>
            <w:r>
              <w:rPr>
                <w:sz w:val="14"/>
              </w:rPr>
            </w:r>
            <w:r>
              <w:rPr>
                <w:rFonts w:ascii="Aptos" w:hAnsi="Aptos"/>
                <w:b/>
                <w:color w:val="FFFFFF"/>
                <w:sz w:val="15"/>
              </w:rPr>
              <w:t>Evidence ref.</w:t>
            </w:r>
          </w:p>
        </w:tc>
      </w:tr>
      <w:tr>
        <w:trPr/>
        <w:tc>
          <w:tcPr>
            <w:tcW w:type="dxa" w:w="691"/>
            <w:vAlign w:val="center"/>
          </w:tcPr>
          <w:p>
            <w:pPr>
              <w:spacing w:after="0"/>
            </w:pPr>
            <w:r>
              <w:rPr>
                <w:sz w:val="14"/>
              </w:rPr>
            </w:r>
            <w:r>
              <w:rPr>
                <w:rFonts w:ascii="Aptos" w:hAnsi="Aptos"/>
                <w:b w:val="0"/>
                <w:sz w:val="15"/>
              </w:rPr>
              <w:t>G-01</w:t>
            </w:r>
          </w:p>
        </w:tc>
        <w:tc>
          <w:tcPr>
            <w:tcW w:type="dxa" w:w="893"/>
            <w:vAlign w:val="center"/>
          </w:tcPr>
          <w:p>
            <w:pPr>
              <w:spacing w:after="0"/>
            </w:pPr>
            <w:r>
              <w:rPr>
                <w:sz w:val="14"/>
              </w:rPr>
            </w:r>
            <w:r>
              <w:rPr>
                <w:rFonts w:ascii="Aptos" w:hAnsi="Aptos"/>
                <w:b w:val="0"/>
                <w:sz w:val="15"/>
              </w:rPr>
              <w:t>A.5.23</w:t>
            </w:r>
          </w:p>
        </w:tc>
        <w:tc>
          <w:tcPr>
            <w:tcW w:type="dxa" w:w="2376"/>
            <w:vAlign w:val="center"/>
          </w:tcPr>
          <w:p>
            <w:pPr>
              <w:spacing w:after="0"/>
            </w:pPr>
            <w:r>
              <w:rPr>
                <w:sz w:val="14"/>
              </w:rPr>
            </w:r>
            <w:r>
              <w:rPr>
                <w:rFonts w:ascii="Aptos" w:hAnsi="Aptos"/>
                <w:b w:val="0"/>
                <w:sz w:val="15"/>
              </w:rPr>
              <w:t>Are responsibilities defined?</w:t>
            </w:r>
          </w:p>
        </w:tc>
        <w:tc>
          <w:tcPr>
            <w:tcW w:type="dxa" w:w="1699"/>
            <w:vAlign w:val="center"/>
          </w:tcPr>
          <w:p>
            <w:pPr>
              <w:spacing w:after="0"/>
            </w:pPr>
            <w:r>
              <w:rPr>
                <w:sz w:val="14"/>
              </w:rPr>
            </w:r>
            <w:r>
              <w:rPr>
                <w:rFonts w:ascii="Aptos" w:hAnsi="Aptos"/>
                <w:b w:val="0"/>
                <w:sz w:val="15"/>
              </w:rPr>
              <w:t>T-01 – Documentary grid</w:t>
            </w:r>
          </w:p>
        </w:tc>
        <w:tc>
          <w:tcPr>
            <w:tcW w:type="dxa" w:w="1469"/>
            <w:vAlign w:val="center"/>
          </w:tcPr>
          <w:p>
            <w:pPr>
              <w:spacing w:after="0"/>
            </w:pPr>
            <w:r>
              <w:rPr>
                <w:sz w:val="14"/>
              </w:rPr>
            </w:r>
            <w:r>
              <w:rPr>
                <w:rFonts w:ascii="Aptos" w:hAnsi="Aptos"/>
                <w:b w:val="0"/>
                <w:sz w:val="15"/>
              </w:rPr>
              <w:t>Policy / approved audit documentation</w:t>
            </w:r>
          </w:p>
        </w:tc>
        <w:tc>
          <w:tcPr>
            <w:tcW w:type="dxa" w:w="1512"/>
            <w:vAlign w:val="center"/>
            <w:shd w:fill="E2F0D9"/>
          </w:tcPr>
          <w:p>
            <w:pPr>
              <w:spacing w:after="0"/>
            </w:pPr>
            <w:r>
              <w:rPr>
                <w:sz w:val="14"/>
              </w:rPr>
            </w:r>
            <w:r>
              <w:rPr>
                <w:rFonts w:ascii="Aptos" w:hAnsi="Aptos"/>
                <w:b w:val="0"/>
                <w:sz w:val="15"/>
              </w:rPr>
              <w:t>PASS</w:t>
            </w:r>
          </w:p>
        </w:tc>
        <w:tc>
          <w:tcPr>
            <w:tcW w:type="dxa" w:w="1613"/>
            <w:vAlign w:val="center"/>
          </w:tcPr>
          <w:p>
            <w:pPr>
              <w:spacing w:after="0"/>
            </w:pPr>
            <w:r>
              <w:rPr>
                <w:sz w:val="14"/>
              </w:rPr>
            </w:r>
            <w:r>
              <w:rPr>
                <w:rFonts w:ascii="Aptos" w:hAnsi="Aptos"/>
                <w:b w:val="0"/>
                <w:sz w:val="15"/>
              </w:rPr>
              <w:t>Compliant</w:t>
            </w:r>
          </w:p>
        </w:tc>
        <w:tc>
          <w:tcPr>
            <w:tcW w:type="dxa" w:w="979"/>
            <w:vAlign w:val="center"/>
          </w:tcPr>
          <w:p>
            <w:pPr>
              <w:spacing w:after="0"/>
            </w:pPr>
            <w:r>
              <w:rPr>
                <w:sz w:val="14"/>
              </w:rPr>
            </w:r>
            <w:r>
              <w:rPr>
                <w:rFonts w:ascii="Aptos" w:hAnsi="Aptos"/>
                <w:b w:val="0"/>
                <w:sz w:val="15"/>
              </w:rPr>
              <w:t>EV-001</w:t>
            </w:r>
          </w:p>
        </w:tc>
      </w:tr>
    </w:tbl>
    <w:p>
      <w:pPr>
        <w:spacing w:after="40"/>
      </w:pPr>
    </w:p>
    <w:p>
      <w:pPr>
        <w:pStyle w:val="Heading2"/>
        <w:keepNext/>
      </w:pPr>
      <w:r>
        <w:t>Detailed verification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4472C4"/>
          </w:tcPr>
          <w:p>
            <w:pPr>
              <w:spacing w:after="0"/>
            </w:pPr>
            <w:r>
              <w:rPr>
                <w:sz w:val="14"/>
              </w:rPr>
            </w:r>
            <w:r>
              <w:rPr>
                <w:rFonts w:ascii="Aptos" w:hAnsi="Aptos"/>
                <w:b/>
                <w:color w:val="FFFFFF"/>
                <w:sz w:val="16"/>
              </w:rPr>
              <w:t>Verification point</w:t>
            </w:r>
          </w:p>
        </w:tc>
        <w:tc>
          <w:tcPr>
            <w:tcW w:type="dxa" w:w="3552"/>
            <w:vAlign w:val="center"/>
            <w:shd w:fill="4472C4"/>
          </w:tcPr>
          <w:p>
            <w:pPr>
              <w:spacing w:after="0"/>
            </w:pPr>
            <w:r>
              <w:rPr>
                <w:sz w:val="14"/>
              </w:rPr>
            </w:r>
            <w:r>
              <w:rPr>
                <w:rFonts w:ascii="Aptos" w:hAnsi="Aptos"/>
                <w:b/>
                <w:color w:val="FFFFFF"/>
                <w:sz w:val="16"/>
              </w:rPr>
              <w:t>Observed evidence / result</w:t>
            </w:r>
          </w:p>
        </w:tc>
        <w:tc>
          <w:tcPr>
            <w:tcW w:type="dxa" w:w="3552"/>
            <w:vAlign w:val="center"/>
            <w:shd w:fill="4472C4"/>
          </w:tcPr>
          <w:p>
            <w:pPr>
              <w:spacing w:after="0"/>
            </w:pPr>
            <w:r>
              <w:rPr>
                <w:sz w:val="14"/>
              </w:rPr>
            </w:r>
            <w:r>
              <w:rPr>
                <w:rFonts w:ascii="Aptos" w:hAnsi="Aptos"/>
                <w:b/>
                <w:color w:val="FFFFFF"/>
                <w:sz w:val="16"/>
              </w:rPr>
              <w:t>Assessment</w:t>
            </w:r>
          </w:p>
        </w:tc>
      </w:tr>
      <w:tr>
        <w:trPr/>
        <w:tc>
          <w:tcPr>
            <w:tcW w:type="dxa" w:w="3552"/>
            <w:vAlign w:val="center"/>
          </w:tcPr>
          <w:p>
            <w:pPr>
              <w:spacing w:after="0"/>
            </w:pPr>
            <w:r>
              <w:rPr>
                <w:sz w:val="14"/>
              </w:rPr>
            </w:r>
            <w:r>
              <w:rPr>
                <w:rFonts w:ascii="Aptos" w:hAnsi="Aptos"/>
                <w:b w:val="0"/>
                <w:sz w:val="16"/>
              </w:rPr>
              <w:t>Audit scope</w:t>
            </w:r>
          </w:p>
        </w:tc>
        <w:tc>
          <w:tcPr>
            <w:tcW w:type="dxa" w:w="3552"/>
            <w:vAlign w:val="center"/>
          </w:tcPr>
          <w:p>
            <w:pPr>
              <w:spacing w:after="0"/>
            </w:pPr>
            <w:r>
              <w:rPr>
                <w:sz w:val="14"/>
              </w:rPr>
            </w:r>
            <w:r>
              <w:rPr>
                <w:rFonts w:ascii="Aptos" w:hAnsi="Aptos"/>
                <w:b w:val="0"/>
                <w:sz w:val="16"/>
              </w:rPr>
              <w:t>AWS Academy Learner Lab e-commerce environment in us-east-1; seven tests and audit scope documented.</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Roles and responsibilities</w:t>
            </w:r>
          </w:p>
        </w:tc>
        <w:tc>
          <w:tcPr>
            <w:tcW w:type="dxa" w:w="3552"/>
            <w:vAlign w:val="center"/>
          </w:tcPr>
          <w:p>
            <w:pPr>
              <w:spacing w:after="0"/>
            </w:pPr>
            <w:r>
              <w:rPr>
                <w:sz w:val="14"/>
              </w:rPr>
            </w:r>
            <w:r>
              <w:rPr>
                <w:rFonts w:ascii="Aptos" w:hAnsi="Aptos"/>
                <w:b w:val="0"/>
                <w:sz w:val="16"/>
              </w:rPr>
              <w:t>Audit team Wejden Cherif and Maram Raboudi; instructor Mohamed Ali Hadhri; AWS Academy/Vocareum operates the managed lab platform.</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Cloud boundary</w:t>
            </w:r>
          </w:p>
        </w:tc>
        <w:tc>
          <w:tcPr>
            <w:tcW w:type="dxa" w:w="3552"/>
            <w:vAlign w:val="center"/>
          </w:tcPr>
          <w:p>
            <w:pPr>
              <w:spacing w:after="0"/>
            </w:pPr>
            <w:r>
              <w:rPr>
                <w:sz w:val="14"/>
              </w:rPr>
            </w:r>
            <w:r>
              <w:rPr>
                <w:rFonts w:ascii="Aptos" w:hAnsi="Aptos"/>
                <w:b w:val="0"/>
                <w:sz w:val="16"/>
              </w:rPr>
              <w:t>One AWS account is verified; application and security areas are treated as logical zones rather than separate verified accounts.</w:t>
            </w:r>
          </w:p>
        </w:tc>
        <w:tc>
          <w:tcPr>
            <w:tcW w:type="dxa" w:w="3552"/>
            <w:vAlign w:val="center"/>
          </w:tcPr>
          <w:p>
            <w:pPr>
              <w:spacing w:after="0"/>
            </w:pPr>
            <w:r>
              <w:rPr>
                <w:sz w:val="14"/>
              </w:rPr>
            </w:r>
            <w:r>
              <w:rPr>
                <w:rFonts w:ascii="Aptos" w:hAnsi="Aptos"/>
                <w:b w:val="0"/>
                <w:sz w:val="16"/>
              </w:rPr>
              <w:t>PASS</w:t>
            </w:r>
          </w:p>
        </w:tc>
      </w:tr>
    </w:tbl>
    <w:p>
      <w:pPr>
        <w:pStyle w:val="Heading2"/>
        <w:keepNext/>
      </w:pPr>
      <w:r>
        <w:t>Audit conclusion</w:t>
      </w:r>
    </w:p>
    <w:p>
      <w:pPr>
        <w:spacing w:after="100" w:line="252" w:lineRule="auto"/>
      </w:pPr>
      <w:r>
        <w:t>The audit scope, cloud-use responsibilities, team roles, AWS Academy/Vocareum boundary and evidence-handling approach are documented. T-01 is therefore assessed as Compliant for the purposes of this academic cloud-security audit.</w:t>
      </w:r>
    </w:p>
    <w:p>
      <w:pPr>
        <w:pStyle w:val="Heading1"/>
        <w:keepNext/>
        <w:pageBreakBefore w:val="0"/>
      </w:pPr>
      <w:r>
        <w:t>3. T-02 – IAM identities, rights and MFA</w:t>
      </w:r>
    </w:p>
    <w:p>
      <w:pPr>
        <w:pStyle w:val="Heading2"/>
        <w:keepNext/>
      </w:pPr>
      <w:r>
        <w:t>TDR-format audit result table</w:t>
      </w:r>
    </w:p>
    <w:tbl>
      <w:tblPr>
        <w:tblStyle w:val="TableGrid"/>
        <w:tblW w:type="auto" w:w="0"/>
        <w:jc w:val="center"/>
        <w:tblLayout w:type="fixed"/>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691"/>
            <w:vAlign w:val="center"/>
            <w:shd w:fill="1F4E78"/>
          </w:tcPr>
          <w:p>
            <w:pPr>
              <w:spacing w:after="0"/>
            </w:pPr>
            <w:r>
              <w:rPr>
                <w:sz w:val="14"/>
              </w:rPr>
            </w:r>
            <w:r>
              <w:rPr>
                <w:rFonts w:ascii="Aptos" w:hAnsi="Aptos"/>
                <w:b/>
                <w:color w:val="FFFFFF"/>
                <w:sz w:val="15"/>
              </w:rPr>
              <w:t>ID</w:t>
            </w:r>
          </w:p>
        </w:tc>
        <w:tc>
          <w:tcPr>
            <w:tcW w:type="dxa" w:w="893"/>
            <w:vAlign w:val="center"/>
            <w:shd w:fill="1F4E78"/>
          </w:tcPr>
          <w:p>
            <w:pPr>
              <w:spacing w:after="0"/>
            </w:pPr>
            <w:r>
              <w:rPr>
                <w:sz w:val="14"/>
              </w:rPr>
            </w:r>
            <w:r>
              <w:rPr>
                <w:rFonts w:ascii="Aptos" w:hAnsi="Aptos"/>
                <w:b/>
                <w:color w:val="FFFFFF"/>
                <w:sz w:val="15"/>
              </w:rPr>
              <w:t>Criterion</w:t>
            </w:r>
          </w:p>
        </w:tc>
        <w:tc>
          <w:tcPr>
            <w:tcW w:type="dxa" w:w="2376"/>
            <w:vAlign w:val="center"/>
            <w:shd w:fill="1F4E78"/>
          </w:tcPr>
          <w:p>
            <w:pPr>
              <w:spacing w:after="0"/>
            </w:pPr>
            <w:r>
              <w:rPr>
                <w:sz w:val="14"/>
              </w:rPr>
            </w:r>
            <w:r>
              <w:rPr>
                <w:rFonts w:ascii="Aptos" w:hAnsi="Aptos"/>
                <w:b/>
                <w:color w:val="FFFFFF"/>
                <w:sz w:val="15"/>
              </w:rPr>
              <w:t>Audit question</w:t>
            </w:r>
          </w:p>
        </w:tc>
        <w:tc>
          <w:tcPr>
            <w:tcW w:type="dxa" w:w="1699"/>
            <w:vAlign w:val="center"/>
            <w:shd w:fill="1F4E78"/>
          </w:tcPr>
          <w:p>
            <w:pPr>
              <w:spacing w:after="0"/>
            </w:pPr>
            <w:r>
              <w:rPr>
                <w:sz w:val="14"/>
              </w:rPr>
            </w:r>
            <w:r>
              <w:rPr>
                <w:rFonts w:ascii="Aptos" w:hAnsi="Aptos"/>
                <w:b/>
                <w:color w:val="FFFFFF"/>
                <w:sz w:val="15"/>
              </w:rPr>
              <w:t>Method</w:t>
            </w:r>
          </w:p>
        </w:tc>
        <w:tc>
          <w:tcPr>
            <w:tcW w:type="dxa" w:w="1469"/>
            <w:vAlign w:val="center"/>
            <w:shd w:fill="1F4E78"/>
          </w:tcPr>
          <w:p>
            <w:pPr>
              <w:spacing w:after="0"/>
            </w:pPr>
            <w:r>
              <w:rPr>
                <w:sz w:val="14"/>
              </w:rPr>
            </w:r>
            <w:r>
              <w:rPr>
                <w:rFonts w:ascii="Aptos" w:hAnsi="Aptos"/>
                <w:b/>
                <w:color w:val="FFFFFF"/>
                <w:sz w:val="15"/>
              </w:rPr>
              <w:t>Expected evidence</w:t>
            </w:r>
          </w:p>
        </w:tc>
        <w:tc>
          <w:tcPr>
            <w:tcW w:type="dxa" w:w="1512"/>
            <w:vAlign w:val="center"/>
            <w:shd w:fill="1F4E78"/>
          </w:tcPr>
          <w:p>
            <w:pPr>
              <w:spacing w:after="0"/>
            </w:pPr>
            <w:r>
              <w:rPr>
                <w:sz w:val="14"/>
              </w:rPr>
            </w:r>
            <w:r>
              <w:rPr>
                <w:rFonts w:ascii="Aptos" w:hAnsi="Aptos"/>
                <w:b/>
                <w:color w:val="FFFFFF"/>
                <w:sz w:val="15"/>
              </w:rPr>
              <w:t>Result</w:t>
            </w:r>
          </w:p>
        </w:tc>
        <w:tc>
          <w:tcPr>
            <w:tcW w:type="dxa" w:w="1613"/>
            <w:vAlign w:val="center"/>
            <w:shd w:fill="1F4E78"/>
          </w:tcPr>
          <w:p>
            <w:pPr>
              <w:spacing w:after="0"/>
            </w:pPr>
            <w:r>
              <w:rPr>
                <w:sz w:val="14"/>
              </w:rPr>
            </w:r>
            <w:r>
              <w:rPr>
                <w:rFonts w:ascii="Aptos" w:hAnsi="Aptos"/>
                <w:b/>
                <w:color w:val="FFFFFF"/>
                <w:sz w:val="15"/>
              </w:rPr>
              <w:t>Classification</w:t>
            </w:r>
          </w:p>
        </w:tc>
        <w:tc>
          <w:tcPr>
            <w:tcW w:type="dxa" w:w="979"/>
            <w:vAlign w:val="center"/>
            <w:shd w:fill="1F4E78"/>
          </w:tcPr>
          <w:p>
            <w:pPr>
              <w:spacing w:after="0"/>
            </w:pPr>
            <w:r>
              <w:rPr>
                <w:sz w:val="14"/>
              </w:rPr>
            </w:r>
            <w:r>
              <w:rPr>
                <w:rFonts w:ascii="Aptos" w:hAnsi="Aptos"/>
                <w:b/>
                <w:color w:val="FFFFFF"/>
                <w:sz w:val="15"/>
              </w:rPr>
              <w:t>Evidence ref.</w:t>
            </w:r>
          </w:p>
        </w:tc>
      </w:tr>
      <w:tr>
        <w:trPr/>
        <w:tc>
          <w:tcPr>
            <w:tcW w:type="dxa" w:w="691"/>
            <w:vAlign w:val="center"/>
          </w:tcPr>
          <w:p>
            <w:pPr>
              <w:spacing w:after="0"/>
            </w:pPr>
            <w:r>
              <w:rPr>
                <w:sz w:val="14"/>
              </w:rPr>
            </w:r>
            <w:r>
              <w:rPr>
                <w:rFonts w:ascii="Aptos" w:hAnsi="Aptos"/>
                <w:b w:val="0"/>
                <w:sz w:val="15"/>
              </w:rPr>
              <w:t>G-02</w:t>
            </w:r>
          </w:p>
        </w:tc>
        <w:tc>
          <w:tcPr>
            <w:tcW w:type="dxa" w:w="893"/>
            <w:vAlign w:val="center"/>
          </w:tcPr>
          <w:p>
            <w:pPr>
              <w:spacing w:after="0"/>
            </w:pPr>
            <w:r>
              <w:rPr>
                <w:sz w:val="14"/>
              </w:rPr>
            </w:r>
            <w:r>
              <w:rPr>
                <w:rFonts w:ascii="Aptos" w:hAnsi="Aptos"/>
                <w:b w:val="0"/>
                <w:sz w:val="15"/>
              </w:rPr>
              <w:t>A.5.15</w:t>
            </w:r>
          </w:p>
        </w:tc>
        <w:tc>
          <w:tcPr>
            <w:tcW w:type="dxa" w:w="2376"/>
            <w:vAlign w:val="center"/>
          </w:tcPr>
          <w:p>
            <w:pPr>
              <w:spacing w:after="0"/>
            </w:pPr>
            <w:r>
              <w:rPr>
                <w:sz w:val="14"/>
              </w:rPr>
            </w:r>
            <w:r>
              <w:rPr>
                <w:rFonts w:ascii="Aptos" w:hAnsi="Aptos"/>
                <w:b w:val="0"/>
                <w:sz w:val="15"/>
              </w:rPr>
              <w:t>Are rights limited and strong authentication enabled?</w:t>
            </w:r>
          </w:p>
        </w:tc>
        <w:tc>
          <w:tcPr>
            <w:tcW w:type="dxa" w:w="1699"/>
            <w:vAlign w:val="center"/>
          </w:tcPr>
          <w:p>
            <w:r>
              <w:rPr>
                <w:sz w:val="14"/>
              </w:rPr>
            </w:r>
            <w:r>
              <w:rPr>
                <w:b w:val="0"/>
                <w:sz w:val="14"/>
              </w:rPr>
              <w:t>T-02 – Manual IAM/Cognito review + Prowler + ScoutSuite</w:t>
            </w:r>
          </w:p>
        </w:tc>
        <w:tc>
          <w:tcPr>
            <w:tcW w:type="dxa" w:w="1469"/>
            <w:vAlign w:val="center"/>
          </w:tcPr>
          <w:p>
            <w:r>
              <w:rPr>
                <w:sz w:val="14"/>
              </w:rPr>
            </w:r>
            <w:r>
              <w:rPr>
                <w:b w:val="0"/>
                <w:sz w:val="14"/>
              </w:rPr>
              <w:t>Cognito/IAM configuration, role evidence and scanner reports</w:t>
            </w:r>
          </w:p>
        </w:tc>
        <w:tc>
          <w:tcPr>
            <w:tcW w:type="dxa" w:w="1512"/>
            <w:vAlign w:val="center"/>
            <w:shd w:fill="E2F0D9"/>
          </w:tcPr>
          <w:p>
            <w:r>
              <w:rPr>
                <w:sz w:val="14"/>
              </w:rPr>
            </w:r>
            <w:r>
              <w:rPr>
                <w:b w:val="0"/>
                <w:sz w:val="14"/>
              </w:rPr>
              <w:t>PARTIAL</w:t>
            </w:r>
          </w:p>
        </w:tc>
        <w:tc>
          <w:tcPr>
            <w:tcW w:type="dxa" w:w="1613"/>
            <w:vAlign w:val="center"/>
            <w:shd w:fill="FCE5CD"/>
          </w:tcPr>
          <w:p>
            <w:r>
              <w:rPr>
                <w:sz w:val="14"/>
              </w:rPr>
            </w:r>
            <w:r>
              <w:rPr>
                <w:b w:val="0"/>
                <w:sz w:val="14"/>
              </w:rPr>
              <w:t>Minor nonconformity</w:t>
            </w:r>
          </w:p>
        </w:tc>
        <w:tc>
          <w:tcPr>
            <w:tcW w:type="dxa" w:w="979"/>
            <w:vAlign w:val="center"/>
          </w:tcPr>
          <w:p>
            <w:pPr>
              <w:spacing w:after="0"/>
            </w:pPr>
            <w:r>
              <w:rPr>
                <w:sz w:val="14"/>
              </w:rPr>
            </w:r>
            <w:r>
              <w:rPr>
                <w:rFonts w:ascii="Aptos" w:hAnsi="Aptos"/>
                <w:b w:val="0"/>
                <w:sz w:val="15"/>
              </w:rPr>
              <w:t>EV-002</w:t>
            </w:r>
          </w:p>
        </w:tc>
      </w:tr>
    </w:tbl>
    <w:p>
      <w:pPr>
        <w:spacing w:after="40"/>
      </w:pPr>
    </w:p>
    <w:p>
      <w:pPr>
        <w:pStyle w:val="Heading2"/>
        <w:keepNext/>
      </w:pPr>
      <w:r>
        <w:t>Detailed verification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4472C4"/>
          </w:tcPr>
          <w:p>
            <w:pPr>
              <w:spacing w:after="0"/>
            </w:pPr>
            <w:r>
              <w:rPr>
                <w:sz w:val="14"/>
              </w:rPr>
            </w:r>
            <w:r>
              <w:rPr>
                <w:rFonts w:ascii="Aptos" w:hAnsi="Aptos"/>
                <w:b/>
                <w:color w:val="FFFFFF"/>
                <w:sz w:val="16"/>
              </w:rPr>
              <w:t>Verification point</w:t>
            </w:r>
          </w:p>
        </w:tc>
        <w:tc>
          <w:tcPr>
            <w:tcW w:type="dxa" w:w="3552"/>
            <w:vAlign w:val="center"/>
            <w:shd w:fill="4472C4"/>
          </w:tcPr>
          <w:p>
            <w:pPr>
              <w:spacing w:after="0"/>
            </w:pPr>
            <w:r>
              <w:rPr>
                <w:sz w:val="14"/>
              </w:rPr>
            </w:r>
            <w:r>
              <w:rPr>
                <w:rFonts w:ascii="Aptos" w:hAnsi="Aptos"/>
                <w:b/>
                <w:color w:val="FFFFFF"/>
                <w:sz w:val="16"/>
              </w:rPr>
              <w:t>Observed evidence / result</w:t>
            </w:r>
          </w:p>
        </w:tc>
        <w:tc>
          <w:tcPr>
            <w:tcW w:type="dxa" w:w="3552"/>
            <w:vAlign w:val="center"/>
            <w:shd w:fill="4472C4"/>
          </w:tcPr>
          <w:p>
            <w:pPr>
              <w:spacing w:after="0"/>
            </w:pPr>
            <w:r>
              <w:rPr>
                <w:sz w:val="14"/>
              </w:rPr>
            </w:r>
            <w:r>
              <w:rPr>
                <w:rFonts w:ascii="Aptos" w:hAnsi="Aptos"/>
                <w:b/>
                <w:color w:val="FFFFFF"/>
                <w:sz w:val="16"/>
              </w:rPr>
              <w:t>Assessment</w:t>
            </w:r>
          </w:p>
        </w:tc>
      </w:tr>
      <w:tr>
        <w:trPr/>
        <w:tc>
          <w:tcPr>
            <w:tcW w:type="dxa" w:w="3552"/>
            <w:vAlign w:val="center"/>
          </w:tcPr>
          <w:p>
            <w:pPr>
              <w:spacing w:after="0"/>
            </w:pPr>
            <w:r>
              <w:rPr>
                <w:sz w:val="14"/>
              </w:rPr>
            </w:r>
            <w:r>
              <w:rPr>
                <w:rFonts w:ascii="Aptos" w:hAnsi="Aptos"/>
                <w:b w:val="0"/>
                <w:sz w:val="16"/>
              </w:rPr>
              <w:t>Cognito sign-in</w:t>
            </w:r>
          </w:p>
        </w:tc>
        <w:tc>
          <w:tcPr>
            <w:tcW w:type="dxa" w:w="3552"/>
            <w:vAlign w:val="center"/>
          </w:tcPr>
          <w:p>
            <w:pPr>
              <w:spacing w:after="0"/>
            </w:pPr>
            <w:r>
              <w:rPr>
                <w:sz w:val="14"/>
              </w:rPr>
            </w:r>
            <w:r>
              <w:rPr>
                <w:rFonts w:ascii="Aptos" w:hAnsi="Aptos"/>
                <w:b w:val="0"/>
                <w:sz w:val="16"/>
              </w:rPr>
              <w:t>User Pool “User pool - izmaco” uses email sign-in with password authentication.</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Cognito MFA</w:t>
            </w:r>
          </w:p>
        </w:tc>
        <w:tc>
          <w:tcPr>
            <w:tcW w:type="dxa" w:w="3552"/>
            <w:vAlign w:val="center"/>
          </w:tcPr>
          <w:p>
            <w:pPr>
              <w:spacing w:after="0"/>
            </w:pPr>
            <w:r>
              <w:rPr>
                <w:sz w:val="14"/>
              </w:rPr>
            </w:r>
            <w:r>
              <w:rPr>
                <w:rFonts w:ascii="Aptos" w:hAnsi="Aptos"/>
                <w:b w:val="0"/>
                <w:sz w:val="16"/>
              </w:rPr>
              <w:t>MFA enforcement is set to “No MFA”; passwordless status is inactive.</w:t>
            </w:r>
          </w:p>
        </w:tc>
        <w:tc>
          <w:tcPr>
            <w:tcW w:type="dxa" w:w="3552"/>
            <w:vAlign w:val="center"/>
          </w:tcPr>
          <w:p>
            <w:pPr>
              <w:spacing w:after="0"/>
            </w:pPr>
            <w:r>
              <w:rPr>
                <w:sz w:val="14"/>
              </w:rPr>
            </w:r>
            <w:r>
              <w:rPr>
                <w:rFonts w:ascii="Aptos" w:hAnsi="Aptos"/>
                <w:b w:val="0"/>
                <w:sz w:val="16"/>
              </w:rPr>
              <w:t>OBSERVATION</w:t>
            </w:r>
          </w:p>
        </w:tc>
      </w:tr>
      <w:tr>
        <w:trPr/>
        <w:tc>
          <w:tcPr>
            <w:tcW w:type="dxa" w:w="3552"/>
            <w:vAlign w:val="center"/>
          </w:tcPr>
          <w:p>
            <w:pPr>
              <w:spacing w:after="0"/>
            </w:pPr>
            <w:r>
              <w:rPr>
                <w:sz w:val="14"/>
              </w:rPr>
            </w:r>
            <w:r>
              <w:rPr>
                <w:rFonts w:ascii="Aptos" w:hAnsi="Aptos"/>
                <w:b w:val="0"/>
                <w:sz w:val="16"/>
              </w:rPr>
              <w:t>Application authorization</w:t>
            </w:r>
          </w:p>
        </w:tc>
        <w:tc>
          <w:tcPr>
            <w:tcW w:type="dxa" w:w="3552"/>
            <w:vAlign w:val="center"/>
          </w:tcPr>
          <w:p>
            <w:pPr>
              <w:spacing w:after="0"/>
            </w:pPr>
            <w:r>
              <w:rPr>
                <w:sz w:val="14"/>
              </w:rPr>
            </w:r>
            <w:r>
              <w:rPr>
                <w:rFonts w:ascii="Aptos" w:hAnsi="Aptos"/>
                <w:b w:val="0"/>
                <w:sz w:val="16"/>
              </w:rPr>
              <w:t>An admin Cognito group is used for backend RBAC according to the deployed design; detailed membership remains supporting evidence rather than a fully enumerated IAM review.</w:t>
            </w:r>
          </w:p>
        </w:tc>
        <w:tc>
          <w:tcPr>
            <w:tcW w:type="dxa" w:w="3552"/>
            <w:vAlign w:val="center"/>
          </w:tcPr>
          <w:p>
            <w:pPr>
              <w:spacing w:after="0"/>
            </w:pPr>
            <w:r>
              <w:rPr>
                <w:sz w:val="14"/>
              </w:rPr>
            </w:r>
            <w:r>
              <w:rPr>
                <w:rFonts w:ascii="Aptos" w:hAnsi="Aptos"/>
                <w:b w:val="0"/>
                <w:sz w:val="16"/>
              </w:rPr>
              <w:t>REVIEWED</w:t>
            </w:r>
          </w:p>
        </w:tc>
      </w:tr>
      <w:tr>
        <w:trPr/>
        <w:tc>
          <w:tcPr>
            <w:tcW w:type="dxa" w:w="3552"/>
            <w:vAlign w:val="center"/>
          </w:tcPr>
          <w:p>
            <w:pPr>
              <w:spacing w:after="0"/>
            </w:pPr>
            <w:r>
              <w:rPr>
                <w:sz w:val="14"/>
              </w:rPr>
            </w:r>
            <w:r>
              <w:rPr>
                <w:rFonts w:ascii="Aptos" w:hAnsi="Aptos"/>
                <w:b w:val="0"/>
                <w:sz w:val="16"/>
              </w:rPr>
              <w:t>Academy console identity</w:t>
            </w:r>
          </w:p>
        </w:tc>
        <w:tc>
          <w:tcPr>
            <w:tcW w:type="dxa" w:w="3552"/>
            <w:vAlign w:val="center"/>
          </w:tcPr>
          <w:p>
            <w:r>
              <w:rPr>
                <w:sz w:val="14"/>
              </w:rPr>
            </w:r>
            <w:r>
              <w:rPr>
                <w:b w:val="0"/>
                <w:sz w:val="14"/>
              </w:rPr>
              <w:t>AWS access is performed through a temporary STS assumed role managed by AWS Academy/Vocareum. Account-level IAM password-policy and role findings are therefore interpreted separately from Cognito application authentication.</w:t>
            </w:r>
          </w:p>
        </w:tc>
        <w:tc>
          <w:tcPr>
            <w:tcW w:type="dxa" w:w="3552"/>
            <w:vAlign w:val="center"/>
          </w:tcPr>
          <w:p>
            <w:r>
              <w:rPr>
                <w:sz w:val="14"/>
              </w:rPr>
            </w:r>
            <w:r>
              <w:rPr>
                <w:b w:val="0"/>
                <w:sz w:val="14"/>
              </w:rPr>
              <w:t>LAB CONTEXT</w:t>
            </w:r>
          </w:p>
        </w:tc>
      </w:tr>
      <w:tr>
        <w:trPr/>
        <w:tc>
          <w:tcPr>
            <w:tcW w:type="dxa" w:w="3552"/>
            <w:vAlign w:val="center"/>
          </w:tcPr>
          <w:p>
            <w:r>
              <w:rPr>
                <w:sz w:val="14"/>
              </w:rPr>
            </w:r>
            <w:r>
              <w:rPr>
                <w:b w:val="0"/>
                <w:sz w:val="15"/>
              </w:rPr>
              <w:t>Prowler IAM corroboration</w:t>
            </w:r>
          </w:p>
        </w:tc>
        <w:tc>
          <w:tcPr>
            <w:tcW w:type="dxa" w:w="3552"/>
            <w:vAlign w:val="center"/>
          </w:tcPr>
          <w:p>
            <w:r>
              <w:rPr>
                <w:sz w:val="14"/>
              </w:rPr>
            </w:r>
            <w:r>
              <w:rPr>
                <w:b w:val="0"/>
                <w:sz w:val="15"/>
              </w:rPr>
              <w:t>Prowler reported AdministratorAccess on the Vocareum-managed role and additional account-level IAM findings. These are retained as scanner evidence but not attributed to the e-commerce team where the resource is lab/platform managed.</w:t>
            </w:r>
          </w:p>
        </w:tc>
        <w:tc>
          <w:tcPr>
            <w:tcW w:type="dxa" w:w="3552"/>
            <w:vAlign w:val="center"/>
          </w:tcPr>
          <w:p>
            <w:r>
              <w:rPr>
                <w:sz w:val="14"/>
              </w:rPr>
            </w:r>
            <w:r>
              <w:rPr>
                <w:b w:val="0"/>
                <w:sz w:val="15"/>
              </w:rPr>
              <w:t>LAB / SCANNER OBSERVATION</w:t>
            </w:r>
          </w:p>
        </w:tc>
      </w:tr>
      <w:tr>
        <w:trPr/>
        <w:tc>
          <w:tcPr>
            <w:tcW w:type="dxa" w:w="3552"/>
            <w:vAlign w:val="center"/>
          </w:tcPr>
          <w:p>
            <w:r>
              <w:rPr>
                <w:sz w:val="14"/>
              </w:rPr>
            </w:r>
            <w:r>
              <w:rPr>
                <w:b w:val="0"/>
                <w:sz w:val="15"/>
              </w:rPr>
              <w:t>ScoutSuite IAM corroboration</w:t>
            </w:r>
          </w:p>
        </w:tc>
        <w:tc>
          <w:tcPr>
            <w:tcW w:type="dxa" w:w="3552"/>
            <w:vAlign w:val="center"/>
          </w:tcPr>
          <w:p>
            <w:r>
              <w:rPr>
                <w:sz w:val="14"/>
              </w:rPr>
            </w:r>
            <w:r>
              <w:rPr>
                <w:b w:val="0"/>
                <w:sz w:val="15"/>
              </w:rPr>
              <w:t>ScoutSuite flagged weak account password-policy settings and a role with inline policies. Because the audited console access uses the Academy assumed-role model and IAM user creation is denied, these are treated as account/lab observations unless directly linked to project-controlled identities.</w:t>
            </w:r>
          </w:p>
        </w:tc>
        <w:tc>
          <w:tcPr>
            <w:tcW w:type="dxa" w:w="3552"/>
            <w:vAlign w:val="center"/>
          </w:tcPr>
          <w:p>
            <w:r>
              <w:rPr>
                <w:sz w:val="14"/>
              </w:rPr>
            </w:r>
            <w:r>
              <w:rPr>
                <w:b w:val="0"/>
                <w:sz w:val="15"/>
              </w:rPr>
              <w:t>LAB / SCANNER OBSERVATION</w:t>
            </w:r>
          </w:p>
        </w:tc>
      </w:tr>
    </w:tbl>
    <w:p>
      <w:pPr>
        <w:pStyle w:val="Heading2"/>
        <w:keepNext/>
      </w:pPr>
      <w:r>
        <w:t>Findings / observations</w:t>
      </w:r>
    </w:p>
    <w:tbl>
      <w:tblPr>
        <w:tblStyle w:val="TableGrid"/>
        <w:tblW w:type="auto" w:w="0"/>
        <w:jc w:val="center"/>
        <w:tblLook w:firstColumn="1" w:firstRow="1" w:lastColumn="0" w:lastRow="0" w:noHBand="0" w:noVBand="1" w:val="04A0"/>
      </w:tblPr>
      <w:tblGrid>
        <w:gridCol w:w="2664"/>
        <w:gridCol w:w="2664"/>
        <w:gridCol w:w="2664"/>
        <w:gridCol w:w="2664"/>
      </w:tblGrid>
      <w:tr>
        <w:trPr/>
        <w:tc>
          <w:tcPr>
            <w:tcW w:type="dxa" w:w="2664"/>
            <w:vAlign w:val="center"/>
            <w:shd w:fill="7F6000"/>
          </w:tcPr>
          <w:p>
            <w:pPr>
              <w:spacing w:after="0"/>
            </w:pPr>
            <w:r>
              <w:rPr>
                <w:sz w:val="14"/>
              </w:rPr>
            </w:r>
            <w:r>
              <w:rPr>
                <w:rFonts w:ascii="Aptos" w:hAnsi="Aptos"/>
                <w:b/>
                <w:color w:val="FFFFFF"/>
                <w:sz w:val="16"/>
              </w:rPr>
              <w:t>Ref.</w:t>
            </w:r>
          </w:p>
        </w:tc>
        <w:tc>
          <w:tcPr>
            <w:tcW w:type="dxa" w:w="2664"/>
            <w:vAlign w:val="center"/>
            <w:shd w:fill="7F6000"/>
          </w:tcPr>
          <w:p>
            <w:pPr>
              <w:spacing w:after="0"/>
            </w:pPr>
            <w:r>
              <w:rPr>
                <w:sz w:val="14"/>
              </w:rPr>
            </w:r>
            <w:r>
              <w:rPr>
                <w:rFonts w:ascii="Aptos" w:hAnsi="Aptos"/>
                <w:b/>
                <w:color w:val="FFFFFF"/>
                <w:sz w:val="16"/>
              </w:rPr>
              <w:t>Finding / observation</w:t>
            </w:r>
          </w:p>
        </w:tc>
        <w:tc>
          <w:tcPr>
            <w:tcW w:type="dxa" w:w="2664"/>
            <w:vAlign w:val="center"/>
            <w:shd w:fill="7F6000"/>
          </w:tcPr>
          <w:p>
            <w:pPr>
              <w:spacing w:after="0"/>
            </w:pPr>
            <w:r>
              <w:rPr>
                <w:sz w:val="14"/>
              </w:rPr>
            </w:r>
            <w:r>
              <w:rPr>
                <w:rFonts w:ascii="Aptos" w:hAnsi="Aptos"/>
                <w:b/>
                <w:color w:val="FFFFFF"/>
                <w:sz w:val="16"/>
              </w:rPr>
              <w:t>Rating</w:t>
            </w:r>
          </w:p>
        </w:tc>
        <w:tc>
          <w:tcPr>
            <w:tcW w:type="dxa" w:w="2664"/>
            <w:vAlign w:val="center"/>
            <w:shd w:fill="7F6000"/>
          </w:tcPr>
          <w:p>
            <w:pPr>
              <w:spacing w:after="0"/>
            </w:pPr>
            <w:r>
              <w:rPr>
                <w:sz w:val="14"/>
              </w:rPr>
            </w:r>
            <w:r>
              <w:rPr>
                <w:rFonts w:ascii="Aptos" w:hAnsi="Aptos"/>
                <w:b/>
                <w:color w:val="FFFFFF"/>
                <w:sz w:val="16"/>
              </w:rPr>
              <w:t>Recommended treatment</w:t>
            </w:r>
          </w:p>
        </w:tc>
      </w:tr>
      <w:tr>
        <w:trPr/>
        <w:tc>
          <w:tcPr>
            <w:tcW w:type="dxa" w:w="2664"/>
            <w:vAlign w:val="center"/>
          </w:tcPr>
          <w:p>
            <w:pPr>
              <w:spacing w:after="0"/>
            </w:pPr>
            <w:r>
              <w:rPr>
                <w:sz w:val="14"/>
              </w:rPr>
            </w:r>
            <w:r>
              <w:rPr>
                <w:rFonts w:ascii="Aptos" w:hAnsi="Aptos"/>
                <w:b w:val="0"/>
                <w:sz w:val="16"/>
              </w:rPr>
              <w:t>F-03</w:t>
            </w:r>
          </w:p>
        </w:tc>
        <w:tc>
          <w:tcPr>
            <w:tcW w:type="dxa" w:w="2664"/>
            <w:vAlign w:val="center"/>
          </w:tcPr>
          <w:p>
            <w:pPr>
              <w:spacing w:after="0"/>
            </w:pPr>
            <w:r>
              <w:rPr>
                <w:sz w:val="14"/>
              </w:rPr>
            </w:r>
            <w:r>
              <w:rPr>
                <w:rFonts w:ascii="Aptos" w:hAnsi="Aptos"/>
                <w:b w:val="0"/>
                <w:sz w:val="16"/>
              </w:rPr>
              <w:t>Cognito MFA is not enforced for the reviewed application user pool.</w:t>
            </w:r>
          </w:p>
        </w:tc>
        <w:tc>
          <w:tcPr>
            <w:tcW w:type="dxa" w:w="2664"/>
            <w:vAlign w:val="center"/>
          </w:tcPr>
          <w:p>
            <w:pPr>
              <w:spacing w:after="0"/>
            </w:pPr>
            <w:r>
              <w:rPr>
                <w:sz w:val="14"/>
              </w:rPr>
            </w:r>
            <w:r>
              <w:rPr>
                <w:rFonts w:ascii="Aptos" w:hAnsi="Aptos"/>
                <w:b w:val="0"/>
                <w:sz w:val="16"/>
              </w:rPr>
              <w:t>Medium</w:t>
            </w:r>
          </w:p>
        </w:tc>
        <w:tc>
          <w:tcPr>
            <w:tcW w:type="dxa" w:w="2664"/>
            <w:vAlign w:val="center"/>
          </w:tcPr>
          <w:p>
            <w:r>
              <w:rPr>
                <w:sz w:val="14"/>
              </w:rPr>
            </w:r>
            <w:r>
              <w:rPr>
                <w:b w:val="0"/>
                <w:sz w:val="14"/>
              </w:rPr>
              <w:t>Enable MFA for the Cognito user pool, prioritising administrator and privileged application users.</w:t>
            </w:r>
          </w:p>
        </w:tc>
      </w:tr>
      <w:tr>
        <w:trPr/>
        <w:tc>
          <w:tcPr>
            <w:tcW w:type="dxa" w:w="2664"/>
            <w:vAlign w:val="center"/>
          </w:tcPr>
          <w:p>
            <w:pPr>
              <w:spacing w:after="0"/>
            </w:pPr>
            <w:r>
              <w:rPr>
                <w:sz w:val="14"/>
              </w:rPr>
            </w:r>
            <w:r>
              <w:rPr>
                <w:rFonts w:ascii="Aptos" w:hAnsi="Aptos"/>
                <w:b w:val="0"/>
                <w:sz w:val="16"/>
              </w:rPr>
              <w:t>OBS-IAM-SCOPE</w:t>
            </w:r>
          </w:p>
        </w:tc>
        <w:tc>
          <w:tcPr>
            <w:tcW w:type="dxa" w:w="2664"/>
            <w:vAlign w:val="center"/>
          </w:tcPr>
          <w:p>
            <w:r>
              <w:rPr>
                <w:sz w:val="14"/>
              </w:rPr>
            </w:r>
            <w:r>
              <w:rPr>
                <w:b w:val="0"/>
                <w:sz w:val="14"/>
              </w:rPr>
              <w:t>AWS Academy upstream MFA and account-level IAM policy settings are controlled or obscured by the Learner Lab access model; they are documented as scope/environment limitations rather than assumed absent.</w:t>
            </w:r>
          </w:p>
        </w:tc>
        <w:tc>
          <w:tcPr>
            <w:tcW w:type="dxa" w:w="2664"/>
            <w:vAlign w:val="center"/>
          </w:tcPr>
          <w:p>
            <w:r>
              <w:rPr>
                <w:sz w:val="14"/>
              </w:rPr>
            </w:r>
            <w:r>
              <w:rPr>
                <w:b w:val="0"/>
                <w:sz w:val="14"/>
              </w:rPr>
              <w:t>Scope / lab limitation</w:t>
            </w:r>
          </w:p>
        </w:tc>
        <w:tc>
          <w:tcPr>
            <w:tcW w:type="dxa" w:w="2664"/>
            <w:vAlign w:val="center"/>
          </w:tcPr>
          <w:p>
            <w:r>
              <w:rPr>
                <w:sz w:val="14"/>
              </w:rPr>
            </w:r>
            <w:r>
              <w:rPr>
                <w:b w:val="0"/>
                <w:sz w:val="14"/>
              </w:rPr>
              <w:t>Retain EV-007 permission evidence and avoid attributing platform-managed IAM settings to the application team.</w:t>
            </w:r>
          </w:p>
        </w:tc>
      </w:tr>
    </w:tbl>
    <w:p>
      <w:pPr>
        <w:pStyle w:val="Heading2"/>
        <w:keepNext/>
      </w:pPr>
      <w:r>
        <w:t>Audit conclusion</w:t>
      </w:r>
    </w:p>
    <w:p>
      <w:pPr>
        <w:spacing w:after="100" w:line="252" w:lineRule="auto"/>
      </w:pPr>
      <w:r>
        <w:t>Application RBAC is present through Cognito groups, but MFA is not enforced in the reviewed Cognito User Pool. The strong-authentication portion of the criterion is therefore only partially met and is classified as a Minor nonconformity. Account-level IAM findings affecting Vocareum/Learner Lab identities are recorded under T-07 rather than misclassified as project-created access-control defects.</w:t>
      </w:r>
    </w:p>
    <w:p>
      <w:pPr>
        <w:pStyle w:val="Heading1"/>
        <w:keepNext/>
        <w:pageBreakBefore w:val="0"/>
      </w:pPr>
      <w:r>
        <w:t>4. T-03 – Storage security: non-public and encrypted</w:t>
      </w:r>
    </w:p>
    <w:p>
      <w:pPr>
        <w:pStyle w:val="Heading2"/>
        <w:keepNext/>
      </w:pPr>
      <w:r>
        <w:t>TDR-format audit result table</w:t>
      </w:r>
    </w:p>
    <w:tbl>
      <w:tblPr>
        <w:tblStyle w:val="TableGrid"/>
        <w:tblW w:type="auto" w:w="0"/>
        <w:jc w:val="center"/>
        <w:tblLayout w:type="fixed"/>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691"/>
            <w:vAlign w:val="center"/>
            <w:shd w:fill="1F4E78"/>
          </w:tcPr>
          <w:p>
            <w:pPr>
              <w:spacing w:after="0"/>
            </w:pPr>
            <w:r>
              <w:rPr>
                <w:sz w:val="14"/>
              </w:rPr>
            </w:r>
            <w:r>
              <w:rPr>
                <w:rFonts w:ascii="Aptos" w:hAnsi="Aptos"/>
                <w:b/>
                <w:color w:val="FFFFFF"/>
                <w:sz w:val="15"/>
              </w:rPr>
              <w:t>ID</w:t>
            </w:r>
          </w:p>
        </w:tc>
        <w:tc>
          <w:tcPr>
            <w:tcW w:type="dxa" w:w="893"/>
            <w:vAlign w:val="center"/>
            <w:shd w:fill="1F4E78"/>
          </w:tcPr>
          <w:p>
            <w:pPr>
              <w:spacing w:after="0"/>
            </w:pPr>
            <w:r>
              <w:rPr>
                <w:sz w:val="14"/>
              </w:rPr>
            </w:r>
            <w:r>
              <w:rPr>
                <w:rFonts w:ascii="Aptos" w:hAnsi="Aptos"/>
                <w:b/>
                <w:color w:val="FFFFFF"/>
                <w:sz w:val="15"/>
              </w:rPr>
              <w:t>Criterion</w:t>
            </w:r>
          </w:p>
        </w:tc>
        <w:tc>
          <w:tcPr>
            <w:tcW w:type="dxa" w:w="2376"/>
            <w:vAlign w:val="center"/>
            <w:shd w:fill="1F4E78"/>
          </w:tcPr>
          <w:p>
            <w:pPr>
              <w:spacing w:after="0"/>
            </w:pPr>
            <w:r>
              <w:rPr>
                <w:sz w:val="14"/>
              </w:rPr>
            </w:r>
            <w:r>
              <w:rPr>
                <w:rFonts w:ascii="Aptos" w:hAnsi="Aptos"/>
                <w:b/>
                <w:color w:val="FFFFFF"/>
                <w:sz w:val="15"/>
              </w:rPr>
              <w:t>Audit question</w:t>
            </w:r>
          </w:p>
        </w:tc>
        <w:tc>
          <w:tcPr>
            <w:tcW w:type="dxa" w:w="1699"/>
            <w:vAlign w:val="center"/>
            <w:shd w:fill="1F4E78"/>
          </w:tcPr>
          <w:p>
            <w:pPr>
              <w:spacing w:after="0"/>
            </w:pPr>
            <w:r>
              <w:rPr>
                <w:sz w:val="14"/>
              </w:rPr>
            </w:r>
            <w:r>
              <w:rPr>
                <w:rFonts w:ascii="Aptos" w:hAnsi="Aptos"/>
                <w:b/>
                <w:color w:val="FFFFFF"/>
                <w:sz w:val="15"/>
              </w:rPr>
              <w:t>Method</w:t>
            </w:r>
          </w:p>
        </w:tc>
        <w:tc>
          <w:tcPr>
            <w:tcW w:type="dxa" w:w="1469"/>
            <w:vAlign w:val="center"/>
            <w:shd w:fill="1F4E78"/>
          </w:tcPr>
          <w:p>
            <w:pPr>
              <w:spacing w:after="0"/>
            </w:pPr>
            <w:r>
              <w:rPr>
                <w:sz w:val="14"/>
              </w:rPr>
            </w:r>
            <w:r>
              <w:rPr>
                <w:rFonts w:ascii="Aptos" w:hAnsi="Aptos"/>
                <w:b/>
                <w:color w:val="FFFFFF"/>
                <w:sz w:val="15"/>
              </w:rPr>
              <w:t>Expected evidence</w:t>
            </w:r>
          </w:p>
        </w:tc>
        <w:tc>
          <w:tcPr>
            <w:tcW w:type="dxa" w:w="1512"/>
            <w:vAlign w:val="center"/>
            <w:shd w:fill="1F4E78"/>
          </w:tcPr>
          <w:p>
            <w:pPr>
              <w:spacing w:after="0"/>
            </w:pPr>
            <w:r>
              <w:rPr>
                <w:sz w:val="14"/>
              </w:rPr>
            </w:r>
            <w:r>
              <w:rPr>
                <w:rFonts w:ascii="Aptos" w:hAnsi="Aptos"/>
                <w:b/>
                <w:color w:val="FFFFFF"/>
                <w:sz w:val="15"/>
              </w:rPr>
              <w:t>Result</w:t>
            </w:r>
          </w:p>
        </w:tc>
        <w:tc>
          <w:tcPr>
            <w:tcW w:type="dxa" w:w="1613"/>
            <w:vAlign w:val="center"/>
            <w:shd w:fill="1F4E78"/>
          </w:tcPr>
          <w:p>
            <w:pPr>
              <w:spacing w:after="0"/>
            </w:pPr>
            <w:r>
              <w:rPr>
                <w:sz w:val="14"/>
              </w:rPr>
            </w:r>
            <w:r>
              <w:rPr>
                <w:rFonts w:ascii="Aptos" w:hAnsi="Aptos"/>
                <w:b/>
                <w:color w:val="FFFFFF"/>
                <w:sz w:val="15"/>
              </w:rPr>
              <w:t>Classification</w:t>
            </w:r>
          </w:p>
        </w:tc>
        <w:tc>
          <w:tcPr>
            <w:tcW w:type="dxa" w:w="979"/>
            <w:vAlign w:val="center"/>
            <w:shd w:fill="1F4E78"/>
          </w:tcPr>
          <w:p>
            <w:pPr>
              <w:spacing w:after="0"/>
            </w:pPr>
            <w:r>
              <w:rPr>
                <w:sz w:val="14"/>
              </w:rPr>
            </w:r>
            <w:r>
              <w:rPr>
                <w:rFonts w:ascii="Aptos" w:hAnsi="Aptos"/>
                <w:b/>
                <w:color w:val="FFFFFF"/>
                <w:sz w:val="15"/>
              </w:rPr>
              <w:t>Evidence ref.</w:t>
            </w:r>
          </w:p>
        </w:tc>
      </w:tr>
      <w:tr>
        <w:trPr/>
        <w:tc>
          <w:tcPr>
            <w:tcW w:type="dxa" w:w="691"/>
            <w:vAlign w:val="center"/>
          </w:tcPr>
          <w:p>
            <w:pPr>
              <w:spacing w:after="0"/>
            </w:pPr>
            <w:r>
              <w:rPr>
                <w:sz w:val="14"/>
              </w:rPr>
            </w:r>
            <w:r>
              <w:rPr>
                <w:rFonts w:ascii="Aptos" w:hAnsi="Aptos"/>
                <w:b w:val="0"/>
                <w:sz w:val="15"/>
              </w:rPr>
              <w:t>G-03</w:t>
            </w:r>
          </w:p>
        </w:tc>
        <w:tc>
          <w:tcPr>
            <w:tcW w:type="dxa" w:w="893"/>
            <w:vAlign w:val="center"/>
          </w:tcPr>
          <w:p>
            <w:pPr>
              <w:spacing w:after="0"/>
            </w:pPr>
            <w:r>
              <w:rPr>
                <w:sz w:val="14"/>
              </w:rPr>
            </w:r>
            <w:r>
              <w:rPr>
                <w:rFonts w:ascii="Aptos" w:hAnsi="Aptos"/>
                <w:b w:val="0"/>
                <w:sz w:val="15"/>
              </w:rPr>
              <w:t>A.8.9</w:t>
            </w:r>
          </w:p>
        </w:tc>
        <w:tc>
          <w:tcPr>
            <w:tcW w:type="dxa" w:w="2376"/>
            <w:vAlign w:val="center"/>
          </w:tcPr>
          <w:p>
            <w:pPr>
              <w:spacing w:after="0"/>
            </w:pPr>
            <w:r>
              <w:rPr>
                <w:sz w:val="14"/>
              </w:rPr>
            </w:r>
            <w:r>
              <w:rPr>
                <w:rFonts w:ascii="Aptos" w:hAnsi="Aptos"/>
                <w:b w:val="0"/>
                <w:sz w:val="15"/>
              </w:rPr>
              <w:t>Is storage non-public and encrypted?</w:t>
            </w:r>
          </w:p>
        </w:tc>
        <w:tc>
          <w:tcPr>
            <w:tcW w:type="dxa" w:w="1699"/>
            <w:vAlign w:val="center"/>
          </w:tcPr>
          <w:p>
            <w:r>
              <w:rPr>
                <w:sz w:val="14"/>
              </w:rPr>
            </w:r>
            <w:r>
              <w:rPr>
                <w:b w:val="0"/>
                <w:sz w:val="14"/>
              </w:rPr>
              <w:t>T-03 – Manual storage review + Prowler + ScoutSuite</w:t>
            </w:r>
          </w:p>
        </w:tc>
        <w:tc>
          <w:tcPr>
            <w:tcW w:type="dxa" w:w="1469"/>
            <w:vAlign w:val="center"/>
          </w:tcPr>
          <w:p>
            <w:r>
              <w:rPr>
                <w:sz w:val="14"/>
              </w:rPr>
            </w:r>
            <w:r>
              <w:rPr>
                <w:b w:val="0"/>
                <w:sz w:val="14"/>
              </w:rPr>
              <w:t>RDS/S3/Secrets Manager/EBS configuration and scanner evidence</w:t>
            </w:r>
          </w:p>
        </w:tc>
        <w:tc>
          <w:tcPr>
            <w:tcW w:type="dxa" w:w="1512"/>
            <w:vAlign w:val="center"/>
            <w:shd w:fill="E2F0D9"/>
          </w:tcPr>
          <w:p>
            <w:r>
              <w:rPr>
                <w:sz w:val="14"/>
              </w:rPr>
            </w:r>
            <w:r>
              <w:rPr>
                <w:b w:val="0"/>
                <w:sz w:val="14"/>
              </w:rPr>
              <w:t>PARTIAL</w:t>
            </w:r>
          </w:p>
        </w:tc>
        <w:tc>
          <w:tcPr>
            <w:tcW w:type="dxa" w:w="1613"/>
            <w:vAlign w:val="center"/>
          </w:tcPr>
          <w:p>
            <w:r>
              <w:rPr>
                <w:sz w:val="14"/>
              </w:rPr>
            </w:r>
            <w:r>
              <w:rPr>
                <w:b w:val="0"/>
                <w:sz w:val="14"/>
              </w:rPr>
              <w:t>Major nonconformity</w:t>
            </w:r>
          </w:p>
        </w:tc>
        <w:tc>
          <w:tcPr>
            <w:tcW w:type="dxa" w:w="979"/>
            <w:vAlign w:val="center"/>
          </w:tcPr>
          <w:p>
            <w:pPr>
              <w:spacing w:after="0"/>
            </w:pPr>
            <w:r>
              <w:rPr>
                <w:sz w:val="14"/>
              </w:rPr>
            </w:r>
            <w:r>
              <w:rPr>
                <w:rFonts w:ascii="Aptos" w:hAnsi="Aptos"/>
                <w:b w:val="0"/>
                <w:sz w:val="15"/>
              </w:rPr>
              <w:t>EV-003</w:t>
            </w:r>
          </w:p>
        </w:tc>
      </w:tr>
    </w:tbl>
    <w:p>
      <w:pPr>
        <w:spacing w:after="40"/>
      </w:pPr>
    </w:p>
    <w:p>
      <w:pPr>
        <w:pStyle w:val="Heading2"/>
        <w:keepNext/>
      </w:pPr>
      <w:r>
        <w:t>Detailed verification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4472C4"/>
          </w:tcPr>
          <w:p>
            <w:pPr>
              <w:spacing w:after="0"/>
            </w:pPr>
            <w:r>
              <w:rPr>
                <w:sz w:val="14"/>
              </w:rPr>
            </w:r>
            <w:r>
              <w:rPr>
                <w:rFonts w:ascii="Aptos" w:hAnsi="Aptos"/>
                <w:b/>
                <w:color w:val="FFFFFF"/>
                <w:sz w:val="16"/>
              </w:rPr>
              <w:t>Verification point</w:t>
            </w:r>
          </w:p>
        </w:tc>
        <w:tc>
          <w:tcPr>
            <w:tcW w:type="dxa" w:w="3552"/>
            <w:vAlign w:val="center"/>
            <w:shd w:fill="4472C4"/>
          </w:tcPr>
          <w:p>
            <w:pPr>
              <w:spacing w:after="0"/>
            </w:pPr>
            <w:r>
              <w:rPr>
                <w:sz w:val="14"/>
              </w:rPr>
            </w:r>
            <w:r>
              <w:rPr>
                <w:rFonts w:ascii="Aptos" w:hAnsi="Aptos"/>
                <w:b/>
                <w:color w:val="FFFFFF"/>
                <w:sz w:val="16"/>
              </w:rPr>
              <w:t>Observed evidence / result</w:t>
            </w:r>
          </w:p>
        </w:tc>
        <w:tc>
          <w:tcPr>
            <w:tcW w:type="dxa" w:w="3552"/>
            <w:vAlign w:val="center"/>
            <w:shd w:fill="4472C4"/>
          </w:tcPr>
          <w:p>
            <w:pPr>
              <w:spacing w:after="0"/>
            </w:pPr>
            <w:r>
              <w:rPr>
                <w:sz w:val="14"/>
              </w:rPr>
            </w:r>
            <w:r>
              <w:rPr>
                <w:rFonts w:ascii="Aptos" w:hAnsi="Aptos"/>
                <w:b/>
                <w:color w:val="FFFFFF"/>
                <w:sz w:val="16"/>
              </w:rPr>
              <w:t>Assessment</w:t>
            </w:r>
          </w:p>
        </w:tc>
      </w:tr>
      <w:tr>
        <w:trPr/>
        <w:tc>
          <w:tcPr>
            <w:tcW w:type="dxa" w:w="3552"/>
            <w:vAlign w:val="center"/>
          </w:tcPr>
          <w:p>
            <w:pPr>
              <w:spacing w:after="0"/>
            </w:pPr>
            <w:r>
              <w:rPr>
                <w:sz w:val="14"/>
              </w:rPr>
            </w:r>
            <w:r>
              <w:rPr>
                <w:rFonts w:ascii="Aptos" w:hAnsi="Aptos"/>
                <w:b w:val="0"/>
                <w:sz w:val="16"/>
              </w:rPr>
              <w:t>RDS encryption</w:t>
            </w:r>
          </w:p>
        </w:tc>
        <w:tc>
          <w:tcPr>
            <w:tcW w:type="dxa" w:w="3552"/>
            <w:vAlign w:val="center"/>
          </w:tcPr>
          <w:p>
            <w:pPr>
              <w:spacing w:after="0"/>
            </w:pPr>
            <w:r>
              <w:rPr>
                <w:sz w:val="14"/>
              </w:rPr>
            </w:r>
            <w:r>
              <w:rPr>
                <w:rFonts w:ascii="Aptos" w:hAnsi="Aptos"/>
                <w:b w:val="0"/>
                <w:sz w:val="16"/>
              </w:rPr>
              <w:t>database-1 PostgreSQL storage encryption is enabled using AWS KMS key aws/rds.</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RDS private placement</w:t>
            </w:r>
          </w:p>
        </w:tc>
        <w:tc>
          <w:tcPr>
            <w:tcW w:type="dxa" w:w="3552"/>
            <w:vAlign w:val="center"/>
          </w:tcPr>
          <w:p>
            <w:pPr>
              <w:spacing w:after="0"/>
            </w:pPr>
            <w:r>
              <w:rPr>
                <w:sz w:val="14"/>
              </w:rPr>
            </w:r>
            <w:r>
              <w:rPr>
                <w:rFonts w:ascii="Aptos" w:hAnsi="Aptos"/>
                <w:b w:val="0"/>
                <w:sz w:val="16"/>
              </w:rPr>
              <w:t>RDS is placed in private database subnets; VPC resource-map evidence shows the RDS private route table with local routing.</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Database credentials</w:t>
            </w:r>
          </w:p>
        </w:tc>
        <w:tc>
          <w:tcPr>
            <w:tcW w:type="dxa" w:w="3552"/>
            <w:vAlign w:val="center"/>
          </w:tcPr>
          <w:p>
            <w:pPr>
              <w:spacing w:after="0"/>
            </w:pPr>
            <w:r>
              <w:rPr>
                <w:sz w:val="14"/>
              </w:rPr>
            </w:r>
            <w:r>
              <w:rPr>
                <w:rFonts w:ascii="Aptos" w:hAnsi="Aptos"/>
                <w:b w:val="0"/>
                <w:sz w:val="16"/>
              </w:rPr>
              <w:t>Master credentials are stored in AWS Secrets Manager.</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CloudTrail S3 public access</w:t>
            </w:r>
          </w:p>
        </w:tc>
        <w:tc>
          <w:tcPr>
            <w:tcW w:type="dxa" w:w="3552"/>
            <w:vAlign w:val="center"/>
          </w:tcPr>
          <w:p>
            <w:pPr>
              <w:spacing w:after="0"/>
            </w:pPr>
            <w:r>
              <w:rPr>
                <w:sz w:val="14"/>
              </w:rPr>
            </w:r>
            <w:r>
              <w:rPr>
                <w:rFonts w:ascii="Aptos" w:hAnsi="Aptos"/>
                <w:b w:val="0"/>
                <w:sz w:val="16"/>
              </w:rPr>
              <w:t>Bucket aws-cloudtrail-logs-623463264556-30cad2de has Block all public access enabled.</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CloudTrail S3 encryption</w:t>
            </w:r>
          </w:p>
        </w:tc>
        <w:tc>
          <w:tcPr>
            <w:tcW w:type="dxa" w:w="3552"/>
            <w:vAlign w:val="center"/>
          </w:tcPr>
          <w:p>
            <w:pPr>
              <w:spacing w:after="0"/>
            </w:pPr>
            <w:r>
              <w:rPr>
                <w:sz w:val="14"/>
              </w:rPr>
            </w:r>
            <w:r>
              <w:rPr>
                <w:rFonts w:ascii="Aptos" w:hAnsi="Aptos"/>
                <w:b w:val="0"/>
                <w:sz w:val="16"/>
              </w:rPr>
              <w:t>Default bucket encryption uses SSE-S3.</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r>
              <w:rPr>
                <w:sz w:val="14"/>
              </w:rPr>
            </w:r>
            <w:r>
              <w:rPr>
                <w:b w:val="0"/>
                <w:sz w:val="15"/>
              </w:rPr>
              <w:t>EC2 EBS encryption</w:t>
            </w:r>
          </w:p>
        </w:tc>
        <w:tc>
          <w:tcPr>
            <w:tcW w:type="dxa" w:w="3552"/>
            <w:vAlign w:val="center"/>
          </w:tcPr>
          <w:p>
            <w:r>
              <w:rPr>
                <w:sz w:val="14"/>
              </w:rPr>
            </w:r>
            <w:r>
              <w:rPr>
                <w:b w:val="0"/>
                <w:sz w:val="15"/>
              </w:rPr>
              <w:t>Prowler and ScoutSuite both flag the EC2 EBS volume as unencrypted. ScoutSuite also flags EBS encryption by default as disabled.</w:t>
            </w:r>
          </w:p>
        </w:tc>
        <w:tc>
          <w:tcPr>
            <w:tcW w:type="dxa" w:w="3552"/>
            <w:vAlign w:val="center"/>
          </w:tcPr>
          <w:p>
            <w:r>
              <w:rPr>
                <w:sz w:val="14"/>
              </w:rPr>
            </w:r>
            <w:r>
              <w:rPr>
                <w:b w:val="0"/>
                <w:sz w:val="15"/>
              </w:rPr>
              <w:t>FAIL – HIGH</w:t>
            </w:r>
          </w:p>
        </w:tc>
      </w:tr>
      <w:tr>
        <w:trPr/>
        <w:tc>
          <w:tcPr>
            <w:tcW w:type="dxa" w:w="3552"/>
            <w:vAlign w:val="center"/>
          </w:tcPr>
          <w:p>
            <w:r>
              <w:rPr>
                <w:sz w:val="14"/>
              </w:rPr>
            </w:r>
            <w:r>
              <w:rPr>
                <w:b w:val="0"/>
                <w:sz w:val="15"/>
              </w:rPr>
              <w:t>RDS scanner corroboration</w:t>
            </w:r>
          </w:p>
        </w:tc>
        <w:tc>
          <w:tcPr>
            <w:tcW w:type="dxa" w:w="3552"/>
            <w:vAlign w:val="center"/>
          </w:tcPr>
          <w:p>
            <w:r>
              <w:rPr>
                <w:sz w:val="14"/>
              </w:rPr>
            </w:r>
            <w:r>
              <w:rPr>
                <w:b w:val="0"/>
                <w:sz w:val="15"/>
              </w:rPr>
              <w:t>ScoutSuite does not flag database-1 as publicly accessible or unencrypted, corroborating the manual RDS encryption/private-placement evidence.</w:t>
            </w:r>
          </w:p>
        </w:tc>
        <w:tc>
          <w:tcPr>
            <w:tcW w:type="dxa" w:w="3552"/>
            <w:vAlign w:val="center"/>
          </w:tcPr>
          <w:p>
            <w:r>
              <w:rPr>
                <w:sz w:val="14"/>
              </w:rPr>
            </w:r>
            <w:r>
              <w:rPr>
                <w:b w:val="0"/>
                <w:sz w:val="15"/>
              </w:rPr>
              <w:t>PASS</w:t>
            </w:r>
          </w:p>
        </w:tc>
      </w:tr>
      <w:tr>
        <w:trPr/>
        <w:tc>
          <w:tcPr>
            <w:tcW w:type="dxa" w:w="3552"/>
            <w:vAlign w:val="center"/>
          </w:tcPr>
          <w:p>
            <w:r>
              <w:rPr>
                <w:sz w:val="14"/>
              </w:rPr>
            </w:r>
            <w:r>
              <w:rPr>
                <w:b w:val="0"/>
                <w:sz w:val="15"/>
              </w:rPr>
              <w:t>RDS resilience</w:t>
            </w:r>
          </w:p>
        </w:tc>
        <w:tc>
          <w:tcPr>
            <w:tcW w:type="dxa" w:w="3552"/>
            <w:vAlign w:val="center"/>
          </w:tcPr>
          <w:p>
            <w:r>
              <w:rPr>
                <w:sz w:val="14"/>
              </w:rPr>
            </w:r>
            <w:r>
              <w:rPr>
                <w:b w:val="0"/>
                <w:sz w:val="15"/>
              </w:rPr>
              <w:t>ScoutSuite flags Single-AZ deployment and a short backup retention period. Prowler also reports that database-1 is not protected by an AWS Backup plan.</w:t>
            </w:r>
          </w:p>
        </w:tc>
        <w:tc>
          <w:tcPr>
            <w:tcW w:type="dxa" w:w="3552"/>
            <w:vAlign w:val="center"/>
          </w:tcPr>
          <w:p>
            <w:r>
              <w:rPr>
                <w:sz w:val="14"/>
              </w:rPr>
            </w:r>
            <w:r>
              <w:rPr>
                <w:b w:val="0"/>
                <w:sz w:val="15"/>
              </w:rPr>
              <w:t>OBSERVATION</w:t>
            </w:r>
          </w:p>
        </w:tc>
      </w:tr>
      <w:tr>
        <w:trPr/>
        <w:tc>
          <w:tcPr>
            <w:tcW w:type="dxa" w:w="3552"/>
            <w:vAlign w:val="center"/>
          </w:tcPr>
          <w:p>
            <w:r>
              <w:rPr>
                <w:sz w:val="14"/>
              </w:rPr>
            </w:r>
            <w:r>
              <w:rPr>
                <w:b w:val="0"/>
                <w:sz w:val="15"/>
              </w:rPr>
              <w:t>S3 account-wide guardrail</w:t>
            </w:r>
          </w:p>
        </w:tc>
        <w:tc>
          <w:tcPr>
            <w:tcW w:type="dxa" w:w="3552"/>
            <w:vAlign w:val="center"/>
          </w:tcPr>
          <w:p>
            <w:r>
              <w:rPr>
                <w:sz w:val="14"/>
              </w:rPr>
            </w:r>
            <w:r>
              <w:rPr>
                <w:b w:val="0"/>
                <w:sz w:val="15"/>
              </w:rPr>
              <w:t>Prowler reports that account-level S3 Block Public Access is not configured. This does not contradict the verified CloudTrail bucket-level Block Public Access setting.</w:t>
            </w:r>
          </w:p>
        </w:tc>
        <w:tc>
          <w:tcPr>
            <w:tcW w:type="dxa" w:w="3552"/>
            <w:vAlign w:val="center"/>
          </w:tcPr>
          <w:p>
            <w:r>
              <w:rPr>
                <w:sz w:val="14"/>
              </w:rPr>
            </w:r>
            <w:r>
              <w:rPr>
                <w:b w:val="0"/>
                <w:sz w:val="15"/>
              </w:rPr>
              <w:t>HARDENING OBSERVATION</w:t>
            </w:r>
          </w:p>
        </w:tc>
      </w:tr>
    </w:tbl>
    <w:p>
      <w:pPr>
        <w:pStyle w:val="Heading2"/>
        <w:keepNext/>
      </w:pPr>
      <w:r>
        <w:t>Audit conclusion</w:t>
      </w:r>
    </w:p>
    <w:p>
      <w:pPr>
        <w:spacing w:after="100" w:line="252" w:lineRule="auto"/>
      </w:pPr>
      <w:r>
        <w:t>RDS and the CloudTrail S3 bucket satisfy the tested privacy/encryption controls, but the EC2 EBS storage does not: both Prowler and ScoutSuite identify an unencrypted EBS volume and ScoutSuite reports EBS encryption-by-default disabled. Because the audit question applies to storage in the scoped AWS environment, T-03 is Partial and the unencrypted EBS condition is treated as a major configuration nonconformity. RDS Single-AZ/backup-retention and account-level S3 guardrail items are retained as resilience/hardening observations.</w:t>
      </w:r>
    </w:p>
    <w:p>
      <w:pPr>
        <w:pStyle w:val="Heading1"/>
        <w:keepNext/>
        <w:pageBreakBefore w:val="0"/>
      </w:pPr>
      <w:r>
        <w:t>5. T-04 – Network security and restrictive security groups</w:t>
      </w:r>
    </w:p>
    <w:p>
      <w:pPr>
        <w:pStyle w:val="Heading2"/>
        <w:keepNext/>
      </w:pPr>
      <w:r>
        <w:t>TDR-format audit result table</w:t>
      </w:r>
    </w:p>
    <w:tbl>
      <w:tblPr>
        <w:tblStyle w:val="TableGrid"/>
        <w:tblW w:type="auto" w:w="0"/>
        <w:jc w:val="center"/>
        <w:tblLayout w:type="fixed"/>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691"/>
            <w:vAlign w:val="center"/>
            <w:shd w:fill="1F4E78"/>
          </w:tcPr>
          <w:p>
            <w:pPr>
              <w:spacing w:after="0"/>
            </w:pPr>
            <w:r>
              <w:rPr>
                <w:sz w:val="14"/>
              </w:rPr>
            </w:r>
            <w:r>
              <w:rPr>
                <w:rFonts w:ascii="Aptos" w:hAnsi="Aptos"/>
                <w:b/>
                <w:color w:val="FFFFFF"/>
                <w:sz w:val="15"/>
              </w:rPr>
              <w:t>ID</w:t>
            </w:r>
          </w:p>
        </w:tc>
        <w:tc>
          <w:tcPr>
            <w:tcW w:type="dxa" w:w="893"/>
            <w:vAlign w:val="center"/>
            <w:shd w:fill="1F4E78"/>
          </w:tcPr>
          <w:p>
            <w:pPr>
              <w:spacing w:after="0"/>
            </w:pPr>
            <w:r>
              <w:rPr>
                <w:sz w:val="14"/>
              </w:rPr>
            </w:r>
            <w:r>
              <w:rPr>
                <w:rFonts w:ascii="Aptos" w:hAnsi="Aptos"/>
                <w:b/>
                <w:color w:val="FFFFFF"/>
                <w:sz w:val="15"/>
              </w:rPr>
              <w:t>Criterion</w:t>
            </w:r>
          </w:p>
        </w:tc>
        <w:tc>
          <w:tcPr>
            <w:tcW w:type="dxa" w:w="2376"/>
            <w:vAlign w:val="center"/>
            <w:shd w:fill="1F4E78"/>
          </w:tcPr>
          <w:p>
            <w:pPr>
              <w:spacing w:after="0"/>
            </w:pPr>
            <w:r>
              <w:rPr>
                <w:sz w:val="14"/>
              </w:rPr>
            </w:r>
            <w:r>
              <w:rPr>
                <w:rFonts w:ascii="Aptos" w:hAnsi="Aptos"/>
                <w:b/>
                <w:color w:val="FFFFFF"/>
                <w:sz w:val="15"/>
              </w:rPr>
              <w:t>Audit question</w:t>
            </w:r>
          </w:p>
        </w:tc>
        <w:tc>
          <w:tcPr>
            <w:tcW w:type="dxa" w:w="1699"/>
            <w:vAlign w:val="center"/>
            <w:shd w:fill="1F4E78"/>
          </w:tcPr>
          <w:p>
            <w:pPr>
              <w:spacing w:after="0"/>
            </w:pPr>
            <w:r>
              <w:rPr>
                <w:sz w:val="14"/>
              </w:rPr>
            </w:r>
            <w:r>
              <w:rPr>
                <w:rFonts w:ascii="Aptos" w:hAnsi="Aptos"/>
                <w:b/>
                <w:color w:val="FFFFFF"/>
                <w:sz w:val="15"/>
              </w:rPr>
              <w:t>Method</w:t>
            </w:r>
          </w:p>
        </w:tc>
        <w:tc>
          <w:tcPr>
            <w:tcW w:type="dxa" w:w="1469"/>
            <w:vAlign w:val="center"/>
            <w:shd w:fill="1F4E78"/>
          </w:tcPr>
          <w:p>
            <w:pPr>
              <w:spacing w:after="0"/>
            </w:pPr>
            <w:r>
              <w:rPr>
                <w:sz w:val="14"/>
              </w:rPr>
            </w:r>
            <w:r>
              <w:rPr>
                <w:rFonts w:ascii="Aptos" w:hAnsi="Aptos"/>
                <w:b/>
                <w:color w:val="FFFFFF"/>
                <w:sz w:val="15"/>
              </w:rPr>
              <w:t>Expected evidence</w:t>
            </w:r>
          </w:p>
        </w:tc>
        <w:tc>
          <w:tcPr>
            <w:tcW w:type="dxa" w:w="1512"/>
            <w:vAlign w:val="center"/>
            <w:shd w:fill="1F4E78"/>
          </w:tcPr>
          <w:p>
            <w:pPr>
              <w:spacing w:after="0"/>
            </w:pPr>
            <w:r>
              <w:rPr>
                <w:sz w:val="14"/>
              </w:rPr>
            </w:r>
            <w:r>
              <w:rPr>
                <w:rFonts w:ascii="Aptos" w:hAnsi="Aptos"/>
                <w:b/>
                <w:color w:val="FFFFFF"/>
                <w:sz w:val="15"/>
              </w:rPr>
              <w:t>Result</w:t>
            </w:r>
          </w:p>
        </w:tc>
        <w:tc>
          <w:tcPr>
            <w:tcW w:type="dxa" w:w="1613"/>
            <w:vAlign w:val="center"/>
            <w:shd w:fill="1F4E78"/>
          </w:tcPr>
          <w:p>
            <w:pPr>
              <w:spacing w:after="0"/>
            </w:pPr>
            <w:r>
              <w:rPr>
                <w:sz w:val="14"/>
              </w:rPr>
            </w:r>
            <w:r>
              <w:rPr>
                <w:rFonts w:ascii="Aptos" w:hAnsi="Aptos"/>
                <w:b/>
                <w:color w:val="FFFFFF"/>
                <w:sz w:val="15"/>
              </w:rPr>
              <w:t>Classification</w:t>
            </w:r>
          </w:p>
        </w:tc>
        <w:tc>
          <w:tcPr>
            <w:tcW w:type="dxa" w:w="979"/>
            <w:vAlign w:val="center"/>
            <w:shd w:fill="1F4E78"/>
          </w:tcPr>
          <w:p>
            <w:pPr>
              <w:spacing w:after="0"/>
            </w:pPr>
            <w:r>
              <w:rPr>
                <w:sz w:val="14"/>
              </w:rPr>
            </w:r>
            <w:r>
              <w:rPr>
                <w:rFonts w:ascii="Aptos" w:hAnsi="Aptos"/>
                <w:b/>
                <w:color w:val="FFFFFF"/>
                <w:sz w:val="15"/>
              </w:rPr>
              <w:t>Evidence ref.</w:t>
            </w:r>
          </w:p>
        </w:tc>
      </w:tr>
      <w:tr>
        <w:trPr/>
        <w:tc>
          <w:tcPr>
            <w:tcW w:type="dxa" w:w="691"/>
            <w:vAlign w:val="center"/>
          </w:tcPr>
          <w:p>
            <w:pPr>
              <w:spacing w:after="0"/>
            </w:pPr>
            <w:r>
              <w:rPr>
                <w:sz w:val="14"/>
              </w:rPr>
            </w:r>
            <w:r>
              <w:rPr>
                <w:rFonts w:ascii="Aptos" w:hAnsi="Aptos"/>
                <w:b w:val="0"/>
                <w:sz w:val="15"/>
              </w:rPr>
              <w:t>G-04</w:t>
            </w:r>
          </w:p>
        </w:tc>
        <w:tc>
          <w:tcPr>
            <w:tcW w:type="dxa" w:w="893"/>
            <w:vAlign w:val="center"/>
          </w:tcPr>
          <w:p>
            <w:pPr>
              <w:spacing w:after="0"/>
            </w:pPr>
            <w:r>
              <w:rPr>
                <w:sz w:val="14"/>
              </w:rPr>
            </w:r>
            <w:r>
              <w:rPr>
                <w:rFonts w:ascii="Aptos" w:hAnsi="Aptos"/>
                <w:b w:val="0"/>
                <w:sz w:val="15"/>
              </w:rPr>
              <w:t>A.8.9</w:t>
            </w:r>
          </w:p>
        </w:tc>
        <w:tc>
          <w:tcPr>
            <w:tcW w:type="dxa" w:w="2376"/>
            <w:vAlign w:val="center"/>
          </w:tcPr>
          <w:p>
            <w:pPr>
              <w:spacing w:after="0"/>
            </w:pPr>
            <w:r>
              <w:rPr>
                <w:sz w:val="14"/>
              </w:rPr>
            </w:r>
            <w:r>
              <w:rPr>
                <w:rFonts w:ascii="Aptos" w:hAnsi="Aptos"/>
                <w:b w:val="0"/>
                <w:sz w:val="15"/>
              </w:rPr>
              <w:t>Are network rules restrictive?</w:t>
            </w:r>
          </w:p>
        </w:tc>
        <w:tc>
          <w:tcPr>
            <w:tcW w:type="dxa" w:w="1699"/>
            <w:vAlign w:val="center"/>
          </w:tcPr>
          <w:p>
            <w:r>
              <w:rPr>
                <w:sz w:val="14"/>
              </w:rPr>
            </w:r>
            <w:r>
              <w:rPr>
                <w:b w:val="0"/>
                <w:sz w:val="14"/>
              </w:rPr>
              <w:t>T-04 – Manual SG/VPC review + Prowler + ScoutSuite</w:t>
            </w:r>
          </w:p>
        </w:tc>
        <w:tc>
          <w:tcPr>
            <w:tcW w:type="dxa" w:w="1469"/>
            <w:vAlign w:val="center"/>
          </w:tcPr>
          <w:p>
            <w:r>
              <w:rPr>
                <w:sz w:val="14"/>
              </w:rPr>
            </w:r>
            <w:r>
              <w:rPr>
                <w:b w:val="0"/>
                <w:sz w:val="14"/>
              </w:rPr>
              <w:t>Security-group, VPC/NACL and scanner evidence</w:t>
            </w:r>
          </w:p>
        </w:tc>
        <w:tc>
          <w:tcPr>
            <w:tcW w:type="dxa" w:w="1512"/>
            <w:vAlign w:val="center"/>
            <w:shd w:fill="FFF2CC"/>
          </w:tcPr>
          <w:p>
            <w:r>
              <w:rPr>
                <w:sz w:val="14"/>
              </w:rPr>
            </w:r>
            <w:r>
              <w:rPr>
                <w:b w:val="0"/>
                <w:sz w:val="14"/>
              </w:rPr>
              <w:t>PARTIAL</w:t>
            </w:r>
          </w:p>
        </w:tc>
        <w:tc>
          <w:tcPr>
            <w:tcW w:type="dxa" w:w="1613"/>
            <w:vAlign w:val="center"/>
            <w:shd w:fill="F4CCCC"/>
          </w:tcPr>
          <w:p>
            <w:r>
              <w:rPr>
                <w:sz w:val="14"/>
              </w:rPr>
            </w:r>
            <w:r>
              <w:rPr>
                <w:b w:val="0"/>
                <w:sz w:val="14"/>
              </w:rPr>
              <w:t>Major nonconformity</w:t>
            </w:r>
          </w:p>
        </w:tc>
        <w:tc>
          <w:tcPr>
            <w:tcW w:type="dxa" w:w="979"/>
            <w:vAlign w:val="center"/>
          </w:tcPr>
          <w:p>
            <w:pPr>
              <w:spacing w:after="0"/>
            </w:pPr>
            <w:r>
              <w:rPr>
                <w:sz w:val="14"/>
              </w:rPr>
            </w:r>
            <w:r>
              <w:rPr>
                <w:rFonts w:ascii="Aptos" w:hAnsi="Aptos"/>
                <w:b w:val="0"/>
                <w:sz w:val="15"/>
              </w:rPr>
              <w:t>EV-004</w:t>
            </w:r>
          </w:p>
        </w:tc>
      </w:tr>
    </w:tbl>
    <w:p>
      <w:pPr>
        <w:spacing w:after="40"/>
      </w:pPr>
    </w:p>
    <w:p>
      <w:pPr>
        <w:pStyle w:val="Heading2"/>
        <w:keepNext/>
      </w:pPr>
      <w:r>
        <w:t>Detailed verification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4472C4"/>
          </w:tcPr>
          <w:p>
            <w:pPr>
              <w:spacing w:after="0"/>
            </w:pPr>
            <w:r>
              <w:rPr>
                <w:sz w:val="14"/>
              </w:rPr>
            </w:r>
            <w:r>
              <w:rPr>
                <w:rFonts w:ascii="Aptos" w:hAnsi="Aptos"/>
                <w:b/>
                <w:color w:val="FFFFFF"/>
                <w:sz w:val="16"/>
              </w:rPr>
              <w:t>Verification point</w:t>
            </w:r>
          </w:p>
        </w:tc>
        <w:tc>
          <w:tcPr>
            <w:tcW w:type="dxa" w:w="3552"/>
            <w:vAlign w:val="center"/>
            <w:shd w:fill="4472C4"/>
          </w:tcPr>
          <w:p>
            <w:pPr>
              <w:spacing w:after="0"/>
            </w:pPr>
            <w:r>
              <w:rPr>
                <w:sz w:val="14"/>
              </w:rPr>
            </w:r>
            <w:r>
              <w:rPr>
                <w:rFonts w:ascii="Aptos" w:hAnsi="Aptos"/>
                <w:b/>
                <w:color w:val="FFFFFF"/>
                <w:sz w:val="16"/>
              </w:rPr>
              <w:t>Observed evidence / result</w:t>
            </w:r>
          </w:p>
        </w:tc>
        <w:tc>
          <w:tcPr>
            <w:tcW w:type="dxa" w:w="3552"/>
            <w:vAlign w:val="center"/>
            <w:shd w:fill="4472C4"/>
          </w:tcPr>
          <w:p>
            <w:pPr>
              <w:spacing w:after="0"/>
            </w:pPr>
            <w:r>
              <w:rPr>
                <w:sz w:val="14"/>
              </w:rPr>
            </w:r>
            <w:r>
              <w:rPr>
                <w:rFonts w:ascii="Aptos" w:hAnsi="Aptos"/>
                <w:b/>
                <w:color w:val="FFFFFF"/>
                <w:sz w:val="16"/>
              </w:rPr>
              <w:t>Assessment</w:t>
            </w:r>
          </w:p>
        </w:tc>
      </w:tr>
      <w:tr>
        <w:trPr/>
        <w:tc>
          <w:tcPr>
            <w:tcW w:type="dxa" w:w="3552"/>
            <w:vAlign w:val="center"/>
          </w:tcPr>
          <w:p>
            <w:pPr>
              <w:spacing w:after="0"/>
            </w:pPr>
            <w:r>
              <w:rPr>
                <w:sz w:val="14"/>
              </w:rPr>
            </w:r>
            <w:r>
              <w:rPr>
                <w:rFonts w:ascii="Aptos" w:hAnsi="Aptos"/>
                <w:b w:val="0"/>
                <w:sz w:val="16"/>
              </w:rPr>
              <w:t>ALB ingress</w:t>
            </w:r>
          </w:p>
        </w:tc>
        <w:tc>
          <w:tcPr>
            <w:tcW w:type="dxa" w:w="3552"/>
            <w:vAlign w:val="center"/>
          </w:tcPr>
          <w:p>
            <w:pPr>
              <w:spacing w:after="0"/>
            </w:pPr>
            <w:r>
              <w:rPr>
                <w:sz w:val="14"/>
              </w:rPr>
            </w:r>
            <w:r>
              <w:rPr>
                <w:rFonts w:ascii="Aptos" w:hAnsi="Aptos"/>
                <w:b w:val="0"/>
                <w:sz w:val="16"/>
              </w:rPr>
              <w:t>Alb-sg allows TCP/80 and TCP/443 from 0.0.0.0/0. This is consistent with an internet-facing ALB, but an HTTPS listener was not independently verified.</w:t>
            </w:r>
          </w:p>
        </w:tc>
        <w:tc>
          <w:tcPr>
            <w:tcW w:type="dxa" w:w="3552"/>
            <w:vAlign w:val="center"/>
          </w:tcPr>
          <w:p>
            <w:pPr>
              <w:spacing w:after="0"/>
            </w:pPr>
            <w:r>
              <w:rPr>
                <w:sz w:val="14"/>
              </w:rPr>
            </w:r>
            <w:r>
              <w:rPr>
                <w:rFonts w:ascii="Aptos" w:hAnsi="Aptos"/>
                <w:b w:val="0"/>
                <w:sz w:val="16"/>
              </w:rPr>
              <w:t>ACCEPTABLE / VERIFY</w:t>
            </w:r>
          </w:p>
        </w:tc>
      </w:tr>
      <w:tr>
        <w:trPr/>
        <w:tc>
          <w:tcPr>
            <w:tcW w:type="dxa" w:w="3552"/>
            <w:vAlign w:val="center"/>
          </w:tcPr>
          <w:p>
            <w:pPr>
              <w:spacing w:after="0"/>
            </w:pPr>
            <w:r>
              <w:rPr>
                <w:sz w:val="14"/>
              </w:rPr>
            </w:r>
            <w:r>
              <w:rPr>
                <w:rFonts w:ascii="Aptos" w:hAnsi="Aptos"/>
                <w:b w:val="0"/>
                <w:sz w:val="16"/>
              </w:rPr>
              <w:t>EC2 app ports</w:t>
            </w:r>
          </w:p>
        </w:tc>
        <w:tc>
          <w:tcPr>
            <w:tcW w:type="dxa" w:w="3552"/>
            <w:vAlign w:val="center"/>
          </w:tcPr>
          <w:p>
            <w:pPr>
              <w:spacing w:after="0"/>
            </w:pPr>
            <w:r>
              <w:rPr>
                <w:sz w:val="14"/>
              </w:rPr>
            </w:r>
            <w:r>
              <w:rPr>
                <w:rFonts w:ascii="Aptos" w:hAnsi="Aptos"/>
                <w:b w:val="0"/>
                <w:sz w:val="16"/>
              </w:rPr>
              <w:t>TCP/5000 and TCP/5500 accept traffic only from the ALB security group.</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EC2 SSH</w:t>
            </w:r>
          </w:p>
        </w:tc>
        <w:tc>
          <w:tcPr>
            <w:tcW w:type="dxa" w:w="3552"/>
            <w:vAlign w:val="center"/>
          </w:tcPr>
          <w:p>
            <w:pPr>
              <w:spacing w:after="0"/>
            </w:pPr>
            <w:r>
              <w:rPr>
                <w:sz w:val="14"/>
              </w:rPr>
            </w:r>
            <w:r>
              <w:rPr>
                <w:rFonts w:ascii="Aptos" w:hAnsi="Aptos"/>
                <w:b w:val="0"/>
                <w:sz w:val="16"/>
              </w:rPr>
              <w:t>TCP/22 is open from 0.0.0.0/0.</w:t>
            </w:r>
          </w:p>
        </w:tc>
        <w:tc>
          <w:tcPr>
            <w:tcW w:type="dxa" w:w="3552"/>
            <w:vAlign w:val="center"/>
          </w:tcPr>
          <w:p>
            <w:pPr>
              <w:spacing w:after="0"/>
            </w:pPr>
            <w:r>
              <w:rPr>
                <w:sz w:val="14"/>
              </w:rPr>
            </w:r>
            <w:r>
              <w:rPr>
                <w:rFonts w:ascii="Aptos" w:hAnsi="Aptos"/>
                <w:b w:val="0"/>
                <w:sz w:val="16"/>
              </w:rPr>
              <w:t>FAIL</w:t>
            </w:r>
          </w:p>
        </w:tc>
      </w:tr>
      <w:tr>
        <w:trPr/>
        <w:tc>
          <w:tcPr>
            <w:tcW w:type="dxa" w:w="3552"/>
            <w:vAlign w:val="center"/>
          </w:tcPr>
          <w:p>
            <w:pPr>
              <w:spacing w:after="0"/>
            </w:pPr>
            <w:r>
              <w:rPr>
                <w:sz w:val="14"/>
              </w:rPr>
            </w:r>
            <w:r>
              <w:rPr>
                <w:rFonts w:ascii="Aptos" w:hAnsi="Aptos"/>
                <w:b w:val="0"/>
                <w:sz w:val="16"/>
              </w:rPr>
              <w:t>RDS PostgreSQL path</w:t>
            </w:r>
          </w:p>
        </w:tc>
        <w:tc>
          <w:tcPr>
            <w:tcW w:type="dxa" w:w="3552"/>
            <w:vAlign w:val="center"/>
          </w:tcPr>
          <w:p>
            <w:pPr>
              <w:spacing w:after="0"/>
            </w:pPr>
            <w:r>
              <w:rPr>
                <w:sz w:val="14"/>
              </w:rPr>
            </w:r>
            <w:r>
              <w:rPr>
                <w:rFonts w:ascii="Aptos" w:hAnsi="Aptos"/>
                <w:b w:val="0"/>
                <w:sz w:val="16"/>
              </w:rPr>
              <w:t>rds-ec2-1 permits TCP/5432 from the EC2-to-RDS security-group relationship.</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Additional RDS rule</w:t>
            </w:r>
          </w:p>
        </w:tc>
        <w:tc>
          <w:tcPr>
            <w:tcW w:type="dxa" w:w="3552"/>
            <w:vAlign w:val="center"/>
          </w:tcPr>
          <w:p>
            <w:pPr>
              <w:spacing w:after="0"/>
            </w:pPr>
            <w:r>
              <w:rPr>
                <w:sz w:val="14"/>
              </w:rPr>
            </w:r>
            <w:r>
              <w:rPr>
                <w:rFonts w:ascii="Aptos" w:hAnsi="Aptos"/>
                <w:b w:val="0"/>
                <w:sz w:val="16"/>
              </w:rPr>
              <w:t>RDS sg contains TCP/5543 from EC2 sg although the verified PostgreSQL path uses 5432.</w:t>
            </w:r>
          </w:p>
        </w:tc>
        <w:tc>
          <w:tcPr>
            <w:tcW w:type="dxa" w:w="3552"/>
            <w:vAlign w:val="center"/>
          </w:tcPr>
          <w:p>
            <w:pPr>
              <w:spacing w:after="0"/>
            </w:pPr>
            <w:r>
              <w:rPr>
                <w:sz w:val="14"/>
              </w:rPr>
            </w:r>
            <w:r>
              <w:rPr>
                <w:rFonts w:ascii="Aptos" w:hAnsi="Aptos"/>
                <w:b w:val="0"/>
                <w:sz w:val="16"/>
              </w:rPr>
              <w:t>OBSERVATION</w:t>
            </w:r>
          </w:p>
        </w:tc>
      </w:tr>
      <w:tr>
        <w:trPr/>
        <w:tc>
          <w:tcPr>
            <w:tcW w:type="dxa" w:w="3552"/>
            <w:vAlign w:val="center"/>
          </w:tcPr>
          <w:p>
            <w:r>
              <w:rPr>
                <w:sz w:val="14"/>
              </w:rPr>
            </w:r>
            <w:r>
              <w:rPr>
                <w:b w:val="0"/>
                <w:sz w:val="15"/>
              </w:rPr>
              <w:t>Prowler corroboration</w:t>
            </w:r>
          </w:p>
        </w:tc>
        <w:tc>
          <w:tcPr>
            <w:tcW w:type="dxa" w:w="3552"/>
            <w:vAlign w:val="center"/>
          </w:tcPr>
          <w:p>
            <w:r>
              <w:rPr>
                <w:sz w:val="14"/>
              </w:rPr>
            </w:r>
            <w:r>
              <w:rPr>
                <w:b w:val="0"/>
                <w:sz w:val="15"/>
              </w:rPr>
              <w:t>Prowler rates EC2 SSH exposure to the Internet as Critical and also flags the same security group for Internet-accessible SSH.</w:t>
            </w:r>
          </w:p>
        </w:tc>
        <w:tc>
          <w:tcPr>
            <w:tcW w:type="dxa" w:w="3552"/>
            <w:vAlign w:val="center"/>
          </w:tcPr>
          <w:p>
            <w:r>
              <w:rPr>
                <w:sz w:val="14"/>
              </w:rPr>
            </w:r>
            <w:r>
              <w:rPr>
                <w:b w:val="0"/>
                <w:sz w:val="15"/>
              </w:rPr>
              <w:t>CONFIRMED</w:t>
            </w:r>
          </w:p>
        </w:tc>
      </w:tr>
      <w:tr>
        <w:trPr/>
        <w:tc>
          <w:tcPr>
            <w:tcW w:type="dxa" w:w="3552"/>
            <w:vAlign w:val="center"/>
          </w:tcPr>
          <w:p>
            <w:r>
              <w:rPr>
                <w:sz w:val="14"/>
              </w:rPr>
            </w:r>
            <w:r>
              <w:rPr>
                <w:b w:val="0"/>
                <w:sz w:val="15"/>
              </w:rPr>
              <w:t>ScoutSuite corroboration</w:t>
            </w:r>
          </w:p>
        </w:tc>
        <w:tc>
          <w:tcPr>
            <w:tcW w:type="dxa" w:w="3552"/>
            <w:vAlign w:val="center"/>
          </w:tcPr>
          <w:p>
            <w:r>
              <w:rPr>
                <w:sz w:val="14"/>
              </w:rPr>
            </w:r>
            <w:r>
              <w:rPr>
                <w:b w:val="0"/>
                <w:sz w:val="15"/>
              </w:rPr>
              <w:t>ScoutSuite independently flags “Security Group Opens SSH Port to All” as a Danger finding.</w:t>
            </w:r>
          </w:p>
        </w:tc>
        <w:tc>
          <w:tcPr>
            <w:tcW w:type="dxa" w:w="3552"/>
            <w:vAlign w:val="center"/>
          </w:tcPr>
          <w:p>
            <w:r>
              <w:rPr>
                <w:sz w:val="14"/>
              </w:rPr>
            </w:r>
            <w:r>
              <w:rPr>
                <w:b w:val="0"/>
                <w:sz w:val="15"/>
              </w:rPr>
              <w:t>CONFIRMED</w:t>
            </w:r>
          </w:p>
        </w:tc>
      </w:tr>
      <w:tr>
        <w:trPr/>
        <w:tc>
          <w:tcPr>
            <w:tcW w:type="dxa" w:w="3552"/>
            <w:vAlign w:val="center"/>
          </w:tcPr>
          <w:p>
            <w:r>
              <w:rPr>
                <w:sz w:val="14"/>
              </w:rPr>
            </w:r>
            <w:r>
              <w:rPr>
                <w:b w:val="0"/>
                <w:sz w:val="15"/>
              </w:rPr>
              <w:t>NACL / flow-log hardening</w:t>
            </w:r>
          </w:p>
        </w:tc>
        <w:tc>
          <w:tcPr>
            <w:tcW w:type="dxa" w:w="3552"/>
            <w:vAlign w:val="center"/>
          </w:tcPr>
          <w:p>
            <w:r>
              <w:rPr>
                <w:sz w:val="14"/>
              </w:rPr>
            </w:r>
            <w:r>
              <w:rPr>
                <w:b w:val="0"/>
                <w:sz w:val="15"/>
              </w:rPr>
              <w:t>ScoutSuite warns that default NACLs allow all ingress/egress and that at least one subnet lacks a flow log. Security groups remain the primary stateful control for the verified application path.</w:t>
            </w:r>
          </w:p>
        </w:tc>
        <w:tc>
          <w:tcPr>
            <w:tcW w:type="dxa" w:w="3552"/>
            <w:vAlign w:val="center"/>
          </w:tcPr>
          <w:p>
            <w:r>
              <w:rPr>
                <w:sz w:val="14"/>
              </w:rPr>
            </w:r>
            <w:r>
              <w:rPr>
                <w:b w:val="0"/>
                <w:sz w:val="15"/>
              </w:rPr>
              <w:t>OBSERVATION</w:t>
            </w:r>
          </w:p>
        </w:tc>
      </w:tr>
    </w:tbl>
    <w:p>
      <w:pPr>
        <w:pStyle w:val="Heading2"/>
        <w:keepNext/>
      </w:pPr>
      <w:r>
        <w:t>Findings / observations</w:t>
      </w:r>
    </w:p>
    <w:tbl>
      <w:tblPr>
        <w:tblStyle w:val="TableGrid"/>
        <w:tblW w:type="auto" w:w="0"/>
        <w:jc w:val="center"/>
        <w:tblLook w:firstColumn="1" w:firstRow="1" w:lastColumn="0" w:lastRow="0" w:noHBand="0" w:noVBand="1" w:val="04A0"/>
      </w:tblPr>
      <w:tblGrid>
        <w:gridCol w:w="2664"/>
        <w:gridCol w:w="2664"/>
        <w:gridCol w:w="2664"/>
        <w:gridCol w:w="2664"/>
      </w:tblGrid>
      <w:tr>
        <w:trPr/>
        <w:tc>
          <w:tcPr>
            <w:tcW w:type="dxa" w:w="2664"/>
            <w:vAlign w:val="center"/>
            <w:shd w:fill="7F6000"/>
          </w:tcPr>
          <w:p>
            <w:pPr>
              <w:spacing w:after="0"/>
            </w:pPr>
            <w:r>
              <w:rPr>
                <w:sz w:val="14"/>
              </w:rPr>
            </w:r>
            <w:r>
              <w:rPr>
                <w:rFonts w:ascii="Aptos" w:hAnsi="Aptos"/>
                <w:b/>
                <w:color w:val="FFFFFF"/>
                <w:sz w:val="16"/>
              </w:rPr>
              <w:t>Ref.</w:t>
            </w:r>
          </w:p>
        </w:tc>
        <w:tc>
          <w:tcPr>
            <w:tcW w:type="dxa" w:w="2664"/>
            <w:vAlign w:val="center"/>
            <w:shd w:fill="7F6000"/>
          </w:tcPr>
          <w:p>
            <w:pPr>
              <w:spacing w:after="0"/>
            </w:pPr>
            <w:r>
              <w:rPr>
                <w:sz w:val="14"/>
              </w:rPr>
            </w:r>
            <w:r>
              <w:rPr>
                <w:rFonts w:ascii="Aptos" w:hAnsi="Aptos"/>
                <w:b/>
                <w:color w:val="FFFFFF"/>
                <w:sz w:val="16"/>
              </w:rPr>
              <w:t>Finding / observation</w:t>
            </w:r>
          </w:p>
        </w:tc>
        <w:tc>
          <w:tcPr>
            <w:tcW w:type="dxa" w:w="2664"/>
            <w:vAlign w:val="center"/>
            <w:shd w:fill="7F6000"/>
          </w:tcPr>
          <w:p>
            <w:pPr>
              <w:spacing w:after="0"/>
            </w:pPr>
            <w:r>
              <w:rPr>
                <w:sz w:val="14"/>
              </w:rPr>
            </w:r>
            <w:r>
              <w:rPr>
                <w:rFonts w:ascii="Aptos" w:hAnsi="Aptos"/>
                <w:b/>
                <w:color w:val="FFFFFF"/>
                <w:sz w:val="16"/>
              </w:rPr>
              <w:t>Rating</w:t>
            </w:r>
          </w:p>
        </w:tc>
        <w:tc>
          <w:tcPr>
            <w:tcW w:type="dxa" w:w="2664"/>
            <w:vAlign w:val="center"/>
            <w:shd w:fill="7F6000"/>
          </w:tcPr>
          <w:p>
            <w:pPr>
              <w:spacing w:after="0"/>
            </w:pPr>
            <w:r>
              <w:rPr>
                <w:sz w:val="14"/>
              </w:rPr>
            </w:r>
            <w:r>
              <w:rPr>
                <w:rFonts w:ascii="Aptos" w:hAnsi="Aptos"/>
                <w:b/>
                <w:color w:val="FFFFFF"/>
                <w:sz w:val="16"/>
              </w:rPr>
              <w:t>Recommended treatment</w:t>
            </w:r>
          </w:p>
        </w:tc>
      </w:tr>
      <w:tr>
        <w:trPr/>
        <w:tc>
          <w:tcPr>
            <w:tcW w:type="dxa" w:w="2664"/>
            <w:vAlign w:val="center"/>
          </w:tcPr>
          <w:p>
            <w:pPr>
              <w:spacing w:after="0"/>
            </w:pPr>
            <w:r>
              <w:rPr>
                <w:sz w:val="14"/>
              </w:rPr>
            </w:r>
            <w:r>
              <w:rPr>
                <w:rFonts w:ascii="Aptos" w:hAnsi="Aptos"/>
                <w:b w:val="0"/>
                <w:sz w:val="16"/>
              </w:rPr>
              <w:t>F-01</w:t>
            </w:r>
          </w:p>
        </w:tc>
        <w:tc>
          <w:tcPr>
            <w:tcW w:type="dxa" w:w="2664"/>
            <w:vAlign w:val="center"/>
          </w:tcPr>
          <w:p>
            <w:pPr>
              <w:spacing w:after="0"/>
            </w:pPr>
            <w:r>
              <w:rPr>
                <w:sz w:val="14"/>
              </w:rPr>
            </w:r>
            <w:r>
              <w:rPr>
                <w:rFonts w:ascii="Aptos" w:hAnsi="Aptos"/>
                <w:b w:val="0"/>
                <w:sz w:val="16"/>
              </w:rPr>
              <w:t>EC2 SSH TCP/22 is open to 0.0.0.0/0.</w:t>
            </w:r>
          </w:p>
        </w:tc>
        <w:tc>
          <w:tcPr>
            <w:tcW w:type="dxa" w:w="2664"/>
            <w:vAlign w:val="center"/>
          </w:tcPr>
          <w:p>
            <w:r>
              <w:rPr>
                <w:sz w:val="14"/>
              </w:rPr>
            </w:r>
            <w:r>
              <w:rPr>
                <w:b w:val="0"/>
                <w:sz w:val="14"/>
              </w:rPr>
              <w:t>Major nonconformity / High</w:t>
            </w:r>
          </w:p>
        </w:tc>
        <w:tc>
          <w:tcPr>
            <w:tcW w:type="dxa" w:w="2664"/>
            <w:vAlign w:val="center"/>
          </w:tcPr>
          <w:p>
            <w:pPr>
              <w:spacing w:after="0"/>
            </w:pPr>
            <w:r>
              <w:rPr>
                <w:sz w:val="14"/>
              </w:rPr>
            </w:r>
            <w:r>
              <w:rPr>
                <w:rFonts w:ascii="Aptos" w:hAnsi="Aptos"/>
                <w:b w:val="0"/>
                <w:sz w:val="16"/>
              </w:rPr>
              <w:t>Restrict SSH to a trusted administration source or use a managed administration path such as SSM where available.</w:t>
            </w:r>
          </w:p>
        </w:tc>
      </w:tr>
      <w:tr>
        <w:trPr/>
        <w:tc>
          <w:tcPr>
            <w:tcW w:type="dxa" w:w="2664"/>
            <w:vAlign w:val="center"/>
          </w:tcPr>
          <w:p>
            <w:pPr>
              <w:spacing w:after="0"/>
            </w:pPr>
            <w:r>
              <w:rPr>
                <w:sz w:val="14"/>
              </w:rPr>
            </w:r>
            <w:r>
              <w:rPr>
                <w:rFonts w:ascii="Aptos" w:hAnsi="Aptos"/>
                <w:b w:val="0"/>
                <w:sz w:val="16"/>
              </w:rPr>
              <w:t>F-09</w:t>
            </w:r>
          </w:p>
        </w:tc>
        <w:tc>
          <w:tcPr>
            <w:tcW w:type="dxa" w:w="2664"/>
            <w:vAlign w:val="center"/>
          </w:tcPr>
          <w:p>
            <w:pPr>
              <w:spacing w:after="0"/>
            </w:pPr>
            <w:r>
              <w:rPr>
                <w:sz w:val="14"/>
              </w:rPr>
            </w:r>
            <w:r>
              <w:rPr>
                <w:rFonts w:ascii="Aptos" w:hAnsi="Aptos"/>
                <w:b w:val="0"/>
                <w:sz w:val="16"/>
              </w:rPr>
              <w:t>Potential stale/unnecessary RDS TCP/5543 rule.</w:t>
            </w:r>
          </w:p>
        </w:tc>
        <w:tc>
          <w:tcPr>
            <w:tcW w:type="dxa" w:w="2664"/>
            <w:vAlign w:val="center"/>
          </w:tcPr>
          <w:p>
            <w:pPr>
              <w:spacing w:after="0"/>
            </w:pPr>
            <w:r>
              <w:rPr>
                <w:sz w:val="14"/>
              </w:rPr>
            </w:r>
            <w:r>
              <w:rPr>
                <w:rFonts w:ascii="Aptos" w:hAnsi="Aptos"/>
                <w:b w:val="0"/>
                <w:sz w:val="16"/>
              </w:rPr>
              <w:t>Low</w:t>
            </w:r>
          </w:p>
        </w:tc>
        <w:tc>
          <w:tcPr>
            <w:tcW w:type="dxa" w:w="2664"/>
            <w:vAlign w:val="center"/>
          </w:tcPr>
          <w:p>
            <w:pPr>
              <w:spacing w:after="0"/>
            </w:pPr>
            <w:r>
              <w:rPr>
                <w:sz w:val="14"/>
              </w:rPr>
            </w:r>
            <w:r>
              <w:rPr>
                <w:rFonts w:ascii="Aptos" w:hAnsi="Aptos"/>
                <w:b w:val="0"/>
                <w:sz w:val="16"/>
              </w:rPr>
              <w:t>Verify whether TCP/5543 is used and remove the rule if unnecessary.</w:t>
            </w:r>
          </w:p>
        </w:tc>
      </w:tr>
    </w:tbl>
    <w:p>
      <w:pPr>
        <w:pStyle w:val="Heading2"/>
        <w:keepNext/>
      </w:pPr>
      <w:r>
        <w:t>Audit conclusion</w:t>
      </w:r>
    </w:p>
    <w:p>
      <w:pPr>
        <w:spacing w:after="100" w:line="252" w:lineRule="auto"/>
      </w:pPr>
      <w:r>
        <w:t>The application and database traffic paths are largely constrained by security-group references, but the EC2 administrative SSH service is exposed to 0.0.0.0/0. This was verified manually and independently corroborated by both Prowler and ScoutSuite. T-04 is therefore Partial and classified as a Major nonconformity. Permissive default NACL and missing flow-log items are retained as secondary hardening observations rather than separate duplicates of the SSH root cause.</w:t>
      </w:r>
    </w:p>
    <w:p>
      <w:pPr>
        <w:pStyle w:val="Heading1"/>
        <w:keepNext/>
        <w:pageBreakBefore w:val="0"/>
      </w:pPr>
      <w:r>
        <w:t>6. T-05 – Logging, monitoring and alerting</w:t>
      </w:r>
    </w:p>
    <w:p>
      <w:pPr>
        <w:pStyle w:val="Heading2"/>
        <w:keepNext/>
      </w:pPr>
      <w:r>
        <w:t>TDR-format audit result table</w:t>
      </w:r>
    </w:p>
    <w:tbl>
      <w:tblPr>
        <w:tblStyle w:val="TableGrid"/>
        <w:tblW w:type="auto" w:w="0"/>
        <w:jc w:val="center"/>
        <w:tblLayout w:type="fixed"/>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691"/>
            <w:vAlign w:val="center"/>
            <w:shd w:fill="1F4E78"/>
          </w:tcPr>
          <w:p>
            <w:pPr>
              <w:spacing w:after="0"/>
            </w:pPr>
            <w:r>
              <w:rPr>
                <w:sz w:val="14"/>
              </w:rPr>
            </w:r>
            <w:r>
              <w:rPr>
                <w:rFonts w:ascii="Aptos" w:hAnsi="Aptos"/>
                <w:b/>
                <w:color w:val="FFFFFF"/>
                <w:sz w:val="15"/>
              </w:rPr>
              <w:t>ID</w:t>
            </w:r>
          </w:p>
        </w:tc>
        <w:tc>
          <w:tcPr>
            <w:tcW w:type="dxa" w:w="893"/>
            <w:vAlign w:val="center"/>
            <w:shd w:fill="1F4E78"/>
          </w:tcPr>
          <w:p>
            <w:pPr>
              <w:spacing w:after="0"/>
            </w:pPr>
            <w:r>
              <w:rPr>
                <w:sz w:val="14"/>
              </w:rPr>
            </w:r>
            <w:r>
              <w:rPr>
                <w:rFonts w:ascii="Aptos" w:hAnsi="Aptos"/>
                <w:b/>
                <w:color w:val="FFFFFF"/>
                <w:sz w:val="15"/>
              </w:rPr>
              <w:t>Criterion</w:t>
            </w:r>
          </w:p>
        </w:tc>
        <w:tc>
          <w:tcPr>
            <w:tcW w:type="dxa" w:w="2376"/>
            <w:vAlign w:val="center"/>
            <w:shd w:fill="1F4E78"/>
          </w:tcPr>
          <w:p>
            <w:pPr>
              <w:spacing w:after="0"/>
            </w:pPr>
            <w:r>
              <w:rPr>
                <w:sz w:val="14"/>
              </w:rPr>
            </w:r>
            <w:r>
              <w:rPr>
                <w:rFonts w:ascii="Aptos" w:hAnsi="Aptos"/>
                <w:b/>
                <w:color w:val="FFFFFF"/>
                <w:sz w:val="15"/>
              </w:rPr>
              <w:t>Audit question</w:t>
            </w:r>
          </w:p>
        </w:tc>
        <w:tc>
          <w:tcPr>
            <w:tcW w:type="dxa" w:w="1699"/>
            <w:vAlign w:val="center"/>
            <w:shd w:fill="1F4E78"/>
          </w:tcPr>
          <w:p>
            <w:pPr>
              <w:spacing w:after="0"/>
            </w:pPr>
            <w:r>
              <w:rPr>
                <w:sz w:val="14"/>
              </w:rPr>
            </w:r>
            <w:r>
              <w:rPr>
                <w:rFonts w:ascii="Aptos" w:hAnsi="Aptos"/>
                <w:b/>
                <w:color w:val="FFFFFF"/>
                <w:sz w:val="15"/>
              </w:rPr>
              <w:t>Method</w:t>
            </w:r>
          </w:p>
        </w:tc>
        <w:tc>
          <w:tcPr>
            <w:tcW w:type="dxa" w:w="1469"/>
            <w:vAlign w:val="center"/>
            <w:shd w:fill="1F4E78"/>
          </w:tcPr>
          <w:p>
            <w:pPr>
              <w:spacing w:after="0"/>
            </w:pPr>
            <w:r>
              <w:rPr>
                <w:sz w:val="14"/>
              </w:rPr>
            </w:r>
            <w:r>
              <w:rPr>
                <w:rFonts w:ascii="Aptos" w:hAnsi="Aptos"/>
                <w:b/>
                <w:color w:val="FFFFFF"/>
                <w:sz w:val="15"/>
              </w:rPr>
              <w:t>Expected evidence</w:t>
            </w:r>
          </w:p>
        </w:tc>
        <w:tc>
          <w:tcPr>
            <w:tcW w:type="dxa" w:w="1512"/>
            <w:vAlign w:val="center"/>
            <w:shd w:fill="1F4E78"/>
          </w:tcPr>
          <w:p>
            <w:pPr>
              <w:spacing w:after="0"/>
            </w:pPr>
            <w:r>
              <w:rPr>
                <w:sz w:val="14"/>
              </w:rPr>
            </w:r>
            <w:r>
              <w:rPr>
                <w:rFonts w:ascii="Aptos" w:hAnsi="Aptos"/>
                <w:b/>
                <w:color w:val="FFFFFF"/>
                <w:sz w:val="15"/>
              </w:rPr>
              <w:t>Result</w:t>
            </w:r>
          </w:p>
        </w:tc>
        <w:tc>
          <w:tcPr>
            <w:tcW w:type="dxa" w:w="1613"/>
            <w:vAlign w:val="center"/>
            <w:shd w:fill="1F4E78"/>
          </w:tcPr>
          <w:p>
            <w:pPr>
              <w:spacing w:after="0"/>
            </w:pPr>
            <w:r>
              <w:rPr>
                <w:sz w:val="14"/>
              </w:rPr>
            </w:r>
            <w:r>
              <w:rPr>
                <w:rFonts w:ascii="Aptos" w:hAnsi="Aptos"/>
                <w:b/>
                <w:color w:val="FFFFFF"/>
                <w:sz w:val="15"/>
              </w:rPr>
              <w:t>Classification</w:t>
            </w:r>
          </w:p>
        </w:tc>
        <w:tc>
          <w:tcPr>
            <w:tcW w:type="dxa" w:w="979"/>
            <w:vAlign w:val="center"/>
            <w:shd w:fill="1F4E78"/>
          </w:tcPr>
          <w:p>
            <w:pPr>
              <w:spacing w:after="0"/>
            </w:pPr>
            <w:r>
              <w:rPr>
                <w:sz w:val="14"/>
              </w:rPr>
            </w:r>
            <w:r>
              <w:rPr>
                <w:rFonts w:ascii="Aptos" w:hAnsi="Aptos"/>
                <w:b/>
                <w:color w:val="FFFFFF"/>
                <w:sz w:val="15"/>
              </w:rPr>
              <w:t>Evidence ref.</w:t>
            </w:r>
          </w:p>
        </w:tc>
      </w:tr>
      <w:tr>
        <w:trPr/>
        <w:tc>
          <w:tcPr>
            <w:tcW w:type="dxa" w:w="691"/>
            <w:vAlign w:val="center"/>
          </w:tcPr>
          <w:p>
            <w:pPr>
              <w:spacing w:after="0"/>
            </w:pPr>
            <w:r>
              <w:rPr>
                <w:sz w:val="14"/>
              </w:rPr>
            </w:r>
            <w:r>
              <w:rPr>
                <w:rFonts w:ascii="Aptos" w:hAnsi="Aptos"/>
                <w:b w:val="0"/>
                <w:sz w:val="15"/>
              </w:rPr>
              <w:t>G-05</w:t>
            </w:r>
          </w:p>
        </w:tc>
        <w:tc>
          <w:tcPr>
            <w:tcW w:type="dxa" w:w="893"/>
            <w:vAlign w:val="center"/>
          </w:tcPr>
          <w:p>
            <w:pPr>
              <w:spacing w:after="0"/>
            </w:pPr>
            <w:r>
              <w:rPr>
                <w:sz w:val="14"/>
              </w:rPr>
            </w:r>
            <w:r>
              <w:rPr>
                <w:rFonts w:ascii="Aptos" w:hAnsi="Aptos"/>
                <w:b w:val="0"/>
                <w:sz w:val="15"/>
              </w:rPr>
              <w:t>A.8.9</w:t>
            </w:r>
          </w:p>
        </w:tc>
        <w:tc>
          <w:tcPr>
            <w:tcW w:type="dxa" w:w="2376"/>
            <w:vAlign w:val="center"/>
          </w:tcPr>
          <w:p>
            <w:pPr>
              <w:spacing w:after="0"/>
            </w:pPr>
            <w:r>
              <w:rPr>
                <w:sz w:val="14"/>
              </w:rPr>
            </w:r>
            <w:r>
              <w:rPr>
                <w:rFonts w:ascii="Aptos" w:hAnsi="Aptos"/>
                <w:b w:val="0"/>
                <w:sz w:val="15"/>
              </w:rPr>
              <w:t>Is logging enabled?</w:t>
            </w:r>
          </w:p>
        </w:tc>
        <w:tc>
          <w:tcPr>
            <w:tcW w:type="dxa" w:w="1699"/>
            <w:vAlign w:val="center"/>
          </w:tcPr>
          <w:p>
            <w:r>
              <w:rPr>
                <w:sz w:val="14"/>
              </w:rPr>
            </w:r>
            <w:r>
              <w:rPr>
                <w:b w:val="0"/>
                <w:sz w:val="14"/>
              </w:rPr>
              <w:t>T-05 – Manual CloudTrail/CloudWatch/SNS review + Prowler + ScoutSuite</w:t>
            </w:r>
          </w:p>
        </w:tc>
        <w:tc>
          <w:tcPr>
            <w:tcW w:type="dxa" w:w="1469"/>
            <w:vAlign w:val="center"/>
          </w:tcPr>
          <w:p>
            <w:r>
              <w:rPr>
                <w:sz w:val="14"/>
              </w:rPr>
            </w:r>
            <w:r>
              <w:rPr>
                <w:b w:val="0"/>
                <w:sz w:val="14"/>
              </w:rPr>
              <w:t>Trail, log delivery, metrics, alarm/SNS and scanner evidence</w:t>
            </w:r>
          </w:p>
        </w:tc>
        <w:tc>
          <w:tcPr>
            <w:tcW w:type="dxa" w:w="1512"/>
            <w:vAlign w:val="center"/>
            <w:shd w:fill="E2F0D9"/>
          </w:tcPr>
          <w:p>
            <w:r>
              <w:rPr>
                <w:sz w:val="14"/>
              </w:rPr>
            </w:r>
            <w:r>
              <w:rPr>
                <w:b w:val="0"/>
                <w:sz w:val="14"/>
              </w:rPr>
              <w:t>PASS WITH OBSERVATIONS</w:t>
            </w:r>
          </w:p>
        </w:tc>
        <w:tc>
          <w:tcPr>
            <w:tcW w:type="dxa" w:w="1613"/>
            <w:vAlign w:val="center"/>
            <w:shd w:fill="FFF2CC"/>
          </w:tcPr>
          <w:p>
            <w:r>
              <w:rPr>
                <w:sz w:val="14"/>
              </w:rPr>
            </w:r>
            <w:r>
              <w:rPr>
                <w:b w:val="0"/>
                <w:sz w:val="14"/>
              </w:rPr>
              <w:t>Compliant with observations</w:t>
            </w:r>
          </w:p>
        </w:tc>
        <w:tc>
          <w:tcPr>
            <w:tcW w:type="dxa" w:w="979"/>
            <w:vAlign w:val="center"/>
          </w:tcPr>
          <w:p>
            <w:pPr>
              <w:spacing w:after="0"/>
            </w:pPr>
            <w:r>
              <w:rPr>
                <w:sz w:val="14"/>
              </w:rPr>
            </w:r>
            <w:r>
              <w:rPr>
                <w:rFonts w:ascii="Aptos" w:hAnsi="Aptos"/>
                <w:b w:val="0"/>
                <w:sz w:val="15"/>
              </w:rPr>
              <w:t>EV-005</w:t>
            </w:r>
          </w:p>
        </w:tc>
      </w:tr>
    </w:tbl>
    <w:p>
      <w:pPr>
        <w:spacing w:after="40"/>
      </w:pPr>
    </w:p>
    <w:p>
      <w:pPr>
        <w:pStyle w:val="Heading2"/>
        <w:keepNext/>
      </w:pPr>
      <w:r>
        <w:t>Detailed verification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4472C4"/>
          </w:tcPr>
          <w:p>
            <w:pPr>
              <w:spacing w:after="0"/>
            </w:pPr>
            <w:r>
              <w:rPr>
                <w:sz w:val="14"/>
              </w:rPr>
            </w:r>
            <w:r>
              <w:rPr>
                <w:rFonts w:ascii="Aptos" w:hAnsi="Aptos"/>
                <w:b/>
                <w:color w:val="FFFFFF"/>
                <w:sz w:val="16"/>
              </w:rPr>
              <w:t>Verification point</w:t>
            </w:r>
          </w:p>
        </w:tc>
        <w:tc>
          <w:tcPr>
            <w:tcW w:type="dxa" w:w="3552"/>
            <w:vAlign w:val="center"/>
            <w:shd w:fill="4472C4"/>
          </w:tcPr>
          <w:p>
            <w:pPr>
              <w:spacing w:after="0"/>
            </w:pPr>
            <w:r>
              <w:rPr>
                <w:sz w:val="14"/>
              </w:rPr>
            </w:r>
            <w:r>
              <w:rPr>
                <w:rFonts w:ascii="Aptos" w:hAnsi="Aptos"/>
                <w:b/>
                <w:color w:val="FFFFFF"/>
                <w:sz w:val="16"/>
              </w:rPr>
              <w:t>Observed evidence / result</w:t>
            </w:r>
          </w:p>
        </w:tc>
        <w:tc>
          <w:tcPr>
            <w:tcW w:type="dxa" w:w="3552"/>
            <w:vAlign w:val="center"/>
            <w:shd w:fill="4472C4"/>
          </w:tcPr>
          <w:p>
            <w:pPr>
              <w:spacing w:after="0"/>
            </w:pPr>
            <w:r>
              <w:rPr>
                <w:sz w:val="14"/>
              </w:rPr>
            </w:r>
            <w:r>
              <w:rPr>
                <w:rFonts w:ascii="Aptos" w:hAnsi="Aptos"/>
                <w:b/>
                <w:color w:val="FFFFFF"/>
                <w:sz w:val="16"/>
              </w:rPr>
              <w:t>Assessment</w:t>
            </w:r>
          </w:p>
        </w:tc>
      </w:tr>
      <w:tr>
        <w:trPr/>
        <w:tc>
          <w:tcPr>
            <w:tcW w:type="dxa" w:w="3552"/>
            <w:vAlign w:val="center"/>
          </w:tcPr>
          <w:p>
            <w:pPr>
              <w:spacing w:after="0"/>
            </w:pPr>
            <w:r>
              <w:rPr>
                <w:sz w:val="14"/>
              </w:rPr>
            </w:r>
            <w:r>
              <w:rPr>
                <w:rFonts w:ascii="Aptos" w:hAnsi="Aptos"/>
                <w:b w:val="0"/>
                <w:sz w:val="16"/>
              </w:rPr>
              <w:t>CloudTrail</w:t>
            </w:r>
          </w:p>
        </w:tc>
        <w:tc>
          <w:tcPr>
            <w:tcW w:type="dxa" w:w="3552"/>
            <w:vAlign w:val="center"/>
          </w:tcPr>
          <w:p>
            <w:pPr>
              <w:spacing w:after="0"/>
            </w:pPr>
            <w:r>
              <w:rPr>
                <w:sz w:val="14"/>
              </w:rPr>
            </w:r>
            <w:r>
              <w:rPr>
                <w:rFonts w:ascii="Aptos" w:hAnsi="Aptos"/>
                <w:b w:val="0"/>
                <w:sz w:val="16"/>
              </w:rPr>
              <w:t>ecommerce-security-audit-trail is actively logging and configured as a multi-region trail.</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S3 delivery</w:t>
            </w:r>
          </w:p>
        </w:tc>
        <w:tc>
          <w:tcPr>
            <w:tcW w:type="dxa" w:w="3552"/>
            <w:vAlign w:val="center"/>
          </w:tcPr>
          <w:p>
            <w:pPr>
              <w:spacing w:after="0"/>
            </w:pPr>
            <w:r>
              <w:rPr>
                <w:sz w:val="14"/>
              </w:rPr>
            </w:r>
            <w:r>
              <w:rPr>
                <w:rFonts w:ascii="Aptos" w:hAnsi="Aptos"/>
                <w:b w:val="0"/>
                <w:sz w:val="16"/>
              </w:rPr>
              <w:t>CloudTrail .json.gz objects are present in the configured S3 path; last-delivery evidence was visible on 09 Oct 2026.</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CloudWatch logs</w:t>
            </w:r>
          </w:p>
        </w:tc>
        <w:tc>
          <w:tcPr>
            <w:tcW w:type="dxa" w:w="3552"/>
            <w:vAlign w:val="center"/>
          </w:tcPr>
          <w:p>
            <w:pPr>
              <w:spacing w:after="0"/>
            </w:pPr>
            <w:r>
              <w:rPr>
                <w:sz w:val="14"/>
              </w:rPr>
            </w:r>
            <w:r>
              <w:rPr>
                <w:rFonts w:ascii="Aptos" w:hAnsi="Aptos"/>
                <w:b w:val="0"/>
                <w:sz w:val="16"/>
              </w:rPr>
              <w:t>Eight reviewed log groups include RDS PostgreSQL, EC2-related, CloudTrail, Lambda and ELB-related groups.</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Operational metrics</w:t>
            </w:r>
          </w:p>
        </w:tc>
        <w:tc>
          <w:tcPr>
            <w:tcW w:type="dxa" w:w="3552"/>
            <w:vAlign w:val="center"/>
          </w:tcPr>
          <w:p>
            <w:pPr>
              <w:spacing w:after="0"/>
            </w:pPr>
            <w:r>
              <w:rPr>
                <w:sz w:val="14"/>
              </w:rPr>
            </w:r>
            <w:r>
              <w:rPr>
                <w:rFonts w:ascii="Aptos" w:hAnsi="Aptos"/>
                <w:b w:val="0"/>
                <w:sz w:val="16"/>
              </w:rPr>
              <w:t>EC2 CPU/network metrics and ALB request/response metrics were observed.</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CloudWatch alarm</w:t>
            </w:r>
          </w:p>
        </w:tc>
        <w:tc>
          <w:tcPr>
            <w:tcW w:type="dxa" w:w="3552"/>
            <w:vAlign w:val="center"/>
          </w:tcPr>
          <w:p>
            <w:pPr>
              <w:spacing w:after="0"/>
            </w:pPr>
            <w:r>
              <w:rPr>
                <w:sz w:val="14"/>
              </w:rPr>
            </w:r>
            <w:r>
              <w:rPr>
                <w:rFonts w:ascii="Aptos" w:hAnsi="Aptos"/>
                <w:b w:val="0"/>
                <w:sz w:val="16"/>
              </w:rPr>
              <w:t>Alarm “EC2 failed” monitors AWS/EC2 StatusCheckFailed with a five-minute period; actions are enabled.</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SNS action</w:t>
            </w:r>
          </w:p>
        </w:tc>
        <w:tc>
          <w:tcPr>
            <w:tcW w:type="dxa" w:w="3552"/>
            <w:vAlign w:val="center"/>
          </w:tcPr>
          <w:p>
            <w:pPr>
              <w:spacing w:after="0"/>
            </w:pPr>
            <w:r>
              <w:rPr>
                <w:sz w:val="14"/>
              </w:rPr>
            </w:r>
            <w:r>
              <w:rPr>
                <w:rFonts w:ascii="Aptos" w:hAnsi="Aptos"/>
                <w:b w:val="0"/>
                <w:sz w:val="16"/>
              </w:rPr>
              <w:t>When the alarm transitions to ALARM it publishes to ecommerce-security-alerts; the SNS subscription was confirmed.</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CloudTrail integrity</w:t>
            </w:r>
          </w:p>
        </w:tc>
        <w:tc>
          <w:tcPr>
            <w:tcW w:type="dxa" w:w="3552"/>
            <w:vAlign w:val="center"/>
          </w:tcPr>
          <w:p>
            <w:pPr>
              <w:spacing w:after="0"/>
            </w:pPr>
            <w:r>
              <w:rPr>
                <w:sz w:val="14"/>
              </w:rPr>
            </w:r>
            <w:r>
              <w:rPr>
                <w:rFonts w:ascii="Aptos" w:hAnsi="Aptos"/>
                <w:b w:val="0"/>
                <w:sz w:val="16"/>
              </w:rPr>
              <w:t>Log file validation is disabled.</w:t>
            </w:r>
          </w:p>
        </w:tc>
        <w:tc>
          <w:tcPr>
            <w:tcW w:type="dxa" w:w="3552"/>
            <w:vAlign w:val="center"/>
          </w:tcPr>
          <w:p>
            <w:pPr>
              <w:spacing w:after="0"/>
            </w:pPr>
            <w:r>
              <w:rPr>
                <w:sz w:val="14"/>
              </w:rPr>
            </w:r>
            <w:r>
              <w:rPr>
                <w:rFonts w:ascii="Aptos" w:hAnsi="Aptos"/>
                <w:b w:val="0"/>
                <w:sz w:val="16"/>
              </w:rPr>
              <w:t>OBSERVATION</w:t>
            </w:r>
          </w:p>
        </w:tc>
      </w:tr>
      <w:tr>
        <w:trPr/>
        <w:tc>
          <w:tcPr>
            <w:tcW w:type="dxa" w:w="3552"/>
            <w:vAlign w:val="center"/>
          </w:tcPr>
          <w:p>
            <w:pPr>
              <w:spacing w:after="0"/>
            </w:pPr>
            <w:r>
              <w:rPr>
                <w:sz w:val="14"/>
              </w:rPr>
            </w:r>
            <w:r>
              <w:rPr>
                <w:rFonts w:ascii="Aptos" w:hAnsi="Aptos"/>
                <w:b w:val="0"/>
                <w:sz w:val="16"/>
              </w:rPr>
              <w:t>Log retention</w:t>
            </w:r>
          </w:p>
        </w:tc>
        <w:tc>
          <w:tcPr>
            <w:tcW w:type="dxa" w:w="3552"/>
            <w:vAlign w:val="center"/>
          </w:tcPr>
          <w:p>
            <w:pPr>
              <w:spacing w:after="0"/>
            </w:pPr>
            <w:r>
              <w:rPr>
                <w:sz w:val="14"/>
              </w:rPr>
            </w:r>
            <w:r>
              <w:rPr>
                <w:rFonts w:ascii="Aptos" w:hAnsi="Aptos"/>
                <w:b w:val="0"/>
                <w:sz w:val="16"/>
              </w:rPr>
              <w:t>Reviewed CloudWatch log groups show “Never expire”; no explicit documented retention period was observed.</w:t>
            </w:r>
          </w:p>
        </w:tc>
        <w:tc>
          <w:tcPr>
            <w:tcW w:type="dxa" w:w="3552"/>
            <w:vAlign w:val="center"/>
          </w:tcPr>
          <w:p>
            <w:pPr>
              <w:spacing w:after="0"/>
            </w:pPr>
            <w:r>
              <w:rPr>
                <w:sz w:val="14"/>
              </w:rPr>
            </w:r>
            <w:r>
              <w:rPr>
                <w:rFonts w:ascii="Aptos" w:hAnsi="Aptos"/>
                <w:b w:val="0"/>
                <w:sz w:val="16"/>
              </w:rPr>
              <w:t>OBSERVATION</w:t>
            </w:r>
          </w:p>
        </w:tc>
      </w:tr>
      <w:tr>
        <w:trPr/>
        <w:tc>
          <w:tcPr>
            <w:tcW w:type="dxa" w:w="3552"/>
            <w:vAlign w:val="center"/>
          </w:tcPr>
          <w:p>
            <w:r>
              <w:rPr>
                <w:sz w:val="14"/>
              </w:rPr>
            </w:r>
            <w:r>
              <w:rPr>
                <w:b w:val="0"/>
                <w:sz w:val="15"/>
              </w:rPr>
              <w:t>ScoutSuite CloudTrail</w:t>
            </w:r>
          </w:p>
        </w:tc>
        <w:tc>
          <w:tcPr>
            <w:tcW w:type="dxa" w:w="3552"/>
            <w:vAlign w:val="center"/>
          </w:tcPr>
          <w:p>
            <w:r>
              <w:rPr>
                <w:sz w:val="14"/>
              </w:rPr>
            </w:r>
            <w:r>
              <w:rPr>
                <w:b w:val="0"/>
                <w:sz w:val="15"/>
              </w:rPr>
              <w:t>ScoutSuite flags disabled log-file validation, lack of KMS CMK encryption, incomplete data-logging coverage and no CloudWatch integration.</w:t>
            </w:r>
          </w:p>
        </w:tc>
        <w:tc>
          <w:tcPr>
            <w:tcW w:type="dxa" w:w="3552"/>
            <w:vAlign w:val="center"/>
          </w:tcPr>
          <w:p>
            <w:r>
              <w:rPr>
                <w:sz w:val="14"/>
              </w:rPr>
            </w:r>
            <w:r>
              <w:rPr>
                <w:b w:val="0"/>
                <w:sz w:val="15"/>
              </w:rPr>
              <w:t>OBSERVATIONS</w:t>
            </w:r>
          </w:p>
        </w:tc>
      </w:tr>
      <w:tr>
        <w:trPr/>
        <w:tc>
          <w:tcPr>
            <w:tcW w:type="dxa" w:w="3552"/>
            <w:vAlign w:val="center"/>
          </w:tcPr>
          <w:p>
            <w:r>
              <w:rPr>
                <w:sz w:val="14"/>
              </w:rPr>
            </w:r>
            <w:r>
              <w:rPr>
                <w:b w:val="0"/>
                <w:sz w:val="15"/>
              </w:rPr>
              <w:t>CloudTrail encryption interpretation</w:t>
            </w:r>
          </w:p>
        </w:tc>
        <w:tc>
          <w:tcPr>
            <w:tcW w:type="dxa" w:w="3552"/>
            <w:vAlign w:val="center"/>
          </w:tcPr>
          <w:p>
            <w:r>
              <w:rPr>
                <w:sz w:val="14"/>
              </w:rPr>
            </w:r>
            <w:r>
              <w:rPr>
                <w:b w:val="0"/>
                <w:sz w:val="15"/>
              </w:rPr>
              <w:t>The CloudTrail S3 bucket is encrypted with SSE-S3. The ScoutSuite KMS finding therefore represents stronger customer-managed-key hardening, not an unencrypted bucket.</w:t>
            </w:r>
          </w:p>
        </w:tc>
        <w:tc>
          <w:tcPr>
            <w:tcW w:type="dxa" w:w="3552"/>
            <w:vAlign w:val="center"/>
          </w:tcPr>
          <w:p>
            <w:r>
              <w:rPr>
                <w:sz w:val="14"/>
              </w:rPr>
            </w:r>
            <w:r>
              <w:rPr>
                <w:b w:val="0"/>
                <w:sz w:val="15"/>
              </w:rPr>
              <w:t>HARDENING</w:t>
            </w:r>
          </w:p>
        </w:tc>
      </w:tr>
      <w:tr>
        <w:trPr/>
        <w:tc>
          <w:tcPr>
            <w:tcW w:type="dxa" w:w="3552"/>
            <w:vAlign w:val="center"/>
          </w:tcPr>
          <w:p>
            <w:r>
              <w:rPr>
                <w:sz w:val="14"/>
              </w:rPr>
            </w:r>
            <w:r>
              <w:rPr>
                <w:b w:val="0"/>
                <w:sz w:val="15"/>
              </w:rPr>
              <w:t>CloudTrail → CloudWatch integration</w:t>
            </w:r>
          </w:p>
        </w:tc>
        <w:tc>
          <w:tcPr>
            <w:tcW w:type="dxa" w:w="3552"/>
            <w:vAlign w:val="center"/>
          </w:tcPr>
          <w:p>
            <w:r>
              <w:rPr>
                <w:sz w:val="14"/>
              </w:rPr>
            </w:r>
            <w:r>
              <w:rPr>
                <w:b w:val="0"/>
                <w:sz w:val="15"/>
              </w:rPr>
              <w:t>Direct CloudTrail-to-CloudWatch Logs integration could not be completed because the Vocareum assumed role was denied iam:AttachRolePolicy. This is retained under EV-007 as a Learner Lab limitation.</w:t>
            </w:r>
          </w:p>
        </w:tc>
        <w:tc>
          <w:tcPr>
            <w:tcW w:type="dxa" w:w="3552"/>
            <w:vAlign w:val="center"/>
          </w:tcPr>
          <w:p>
            <w:r>
              <w:rPr>
                <w:sz w:val="14"/>
              </w:rPr>
            </w:r>
            <w:r>
              <w:rPr>
                <w:b w:val="0"/>
                <w:sz w:val="15"/>
              </w:rPr>
              <w:t>LAB LIMITATION</w:t>
            </w:r>
          </w:p>
        </w:tc>
      </w:tr>
      <w:tr>
        <w:trPr/>
        <w:tc>
          <w:tcPr>
            <w:tcW w:type="dxa" w:w="3552"/>
            <w:vAlign w:val="center"/>
          </w:tcPr>
          <w:p>
            <w:r>
              <w:rPr>
                <w:sz w:val="14"/>
              </w:rPr>
            </w:r>
            <w:r>
              <w:rPr>
                <w:b w:val="0"/>
                <w:sz w:val="15"/>
              </w:rPr>
              <w:t>ScoutSuite CloudWatch</w:t>
            </w:r>
          </w:p>
        </w:tc>
        <w:tc>
          <w:tcPr>
            <w:tcW w:type="dxa" w:w="3552"/>
            <w:vAlign w:val="center"/>
          </w:tcPr>
          <w:p>
            <w:r>
              <w:rPr>
                <w:sz w:val="14"/>
              </w:rPr>
            </w:r>
            <w:r>
              <w:rPr>
                <w:b w:val="0"/>
                <w:sz w:val="15"/>
              </w:rPr>
              <w:t>The ScoutSuite “Alarm without Action” rule is not flagged, consistent with the verified EC2 StatusCheckFailed alarm → SNS ecommerce-security-alerts → confirmed subscriber chain.</w:t>
            </w:r>
          </w:p>
        </w:tc>
        <w:tc>
          <w:tcPr>
            <w:tcW w:type="dxa" w:w="3552"/>
            <w:vAlign w:val="center"/>
          </w:tcPr>
          <w:p>
            <w:r>
              <w:rPr>
                <w:sz w:val="14"/>
              </w:rPr>
            </w:r>
            <w:r>
              <w:rPr>
                <w:b w:val="0"/>
                <w:sz w:val="15"/>
              </w:rPr>
              <w:t>PASS</w:t>
            </w:r>
          </w:p>
        </w:tc>
      </w:tr>
    </w:tbl>
    <w:p>
      <w:pPr>
        <w:pStyle w:val="Heading2"/>
        <w:keepNext/>
      </w:pPr>
      <w:r>
        <w:t>Findings / observations</w:t>
      </w:r>
    </w:p>
    <w:tbl>
      <w:tblPr>
        <w:tblStyle w:val="TableGrid"/>
        <w:tblW w:type="auto" w:w="0"/>
        <w:jc w:val="center"/>
        <w:tblLook w:firstColumn="1" w:firstRow="1" w:lastColumn="0" w:lastRow="0" w:noHBand="0" w:noVBand="1" w:val="04A0"/>
      </w:tblPr>
      <w:tblGrid>
        <w:gridCol w:w="2664"/>
        <w:gridCol w:w="2664"/>
        <w:gridCol w:w="2664"/>
        <w:gridCol w:w="2664"/>
      </w:tblGrid>
      <w:tr>
        <w:trPr/>
        <w:tc>
          <w:tcPr>
            <w:tcW w:type="dxa" w:w="2664"/>
            <w:vAlign w:val="center"/>
            <w:shd w:fill="7F6000"/>
          </w:tcPr>
          <w:p>
            <w:pPr>
              <w:spacing w:after="0"/>
            </w:pPr>
            <w:r>
              <w:rPr>
                <w:sz w:val="14"/>
              </w:rPr>
            </w:r>
            <w:r>
              <w:rPr>
                <w:rFonts w:ascii="Aptos" w:hAnsi="Aptos"/>
                <w:b/>
                <w:color w:val="FFFFFF"/>
                <w:sz w:val="16"/>
              </w:rPr>
              <w:t>Ref.</w:t>
            </w:r>
          </w:p>
        </w:tc>
        <w:tc>
          <w:tcPr>
            <w:tcW w:type="dxa" w:w="2664"/>
            <w:vAlign w:val="center"/>
            <w:shd w:fill="7F6000"/>
          </w:tcPr>
          <w:p>
            <w:pPr>
              <w:spacing w:after="0"/>
            </w:pPr>
            <w:r>
              <w:rPr>
                <w:sz w:val="14"/>
              </w:rPr>
            </w:r>
            <w:r>
              <w:rPr>
                <w:rFonts w:ascii="Aptos" w:hAnsi="Aptos"/>
                <w:b/>
                <w:color w:val="FFFFFF"/>
                <w:sz w:val="16"/>
              </w:rPr>
              <w:t>Finding / observation</w:t>
            </w:r>
          </w:p>
        </w:tc>
        <w:tc>
          <w:tcPr>
            <w:tcW w:type="dxa" w:w="2664"/>
            <w:vAlign w:val="center"/>
            <w:shd w:fill="7F6000"/>
          </w:tcPr>
          <w:p>
            <w:pPr>
              <w:spacing w:after="0"/>
            </w:pPr>
            <w:r>
              <w:rPr>
                <w:sz w:val="14"/>
              </w:rPr>
            </w:r>
            <w:r>
              <w:rPr>
                <w:rFonts w:ascii="Aptos" w:hAnsi="Aptos"/>
                <w:b/>
                <w:color w:val="FFFFFF"/>
                <w:sz w:val="16"/>
              </w:rPr>
              <w:t>Rating</w:t>
            </w:r>
          </w:p>
        </w:tc>
        <w:tc>
          <w:tcPr>
            <w:tcW w:type="dxa" w:w="2664"/>
            <w:vAlign w:val="center"/>
            <w:shd w:fill="7F6000"/>
          </w:tcPr>
          <w:p>
            <w:pPr>
              <w:spacing w:after="0"/>
            </w:pPr>
            <w:r>
              <w:rPr>
                <w:sz w:val="14"/>
              </w:rPr>
            </w:r>
            <w:r>
              <w:rPr>
                <w:rFonts w:ascii="Aptos" w:hAnsi="Aptos"/>
                <w:b/>
                <w:color w:val="FFFFFF"/>
                <w:sz w:val="16"/>
              </w:rPr>
              <w:t>Recommended treatment</w:t>
            </w:r>
          </w:p>
        </w:tc>
      </w:tr>
      <w:tr>
        <w:trPr/>
        <w:tc>
          <w:tcPr>
            <w:tcW w:type="dxa" w:w="2664"/>
            <w:vAlign w:val="center"/>
          </w:tcPr>
          <w:p>
            <w:pPr>
              <w:spacing w:after="0"/>
            </w:pPr>
            <w:r>
              <w:rPr>
                <w:sz w:val="14"/>
              </w:rPr>
            </w:r>
            <w:r>
              <w:rPr>
                <w:rFonts w:ascii="Aptos" w:hAnsi="Aptos"/>
                <w:b w:val="0"/>
                <w:sz w:val="16"/>
              </w:rPr>
              <w:t>F-04</w:t>
            </w:r>
          </w:p>
        </w:tc>
        <w:tc>
          <w:tcPr>
            <w:tcW w:type="dxa" w:w="2664"/>
            <w:vAlign w:val="center"/>
          </w:tcPr>
          <w:p>
            <w:pPr>
              <w:spacing w:after="0"/>
            </w:pPr>
            <w:r>
              <w:rPr>
                <w:sz w:val="14"/>
              </w:rPr>
            </w:r>
            <w:r>
              <w:rPr>
                <w:rFonts w:ascii="Aptos" w:hAnsi="Aptos"/>
                <w:b w:val="0"/>
                <w:sz w:val="16"/>
              </w:rPr>
              <w:t>CloudTrail log file validation is disabled.</w:t>
            </w:r>
          </w:p>
        </w:tc>
        <w:tc>
          <w:tcPr>
            <w:tcW w:type="dxa" w:w="2664"/>
            <w:vAlign w:val="center"/>
          </w:tcPr>
          <w:p>
            <w:pPr>
              <w:spacing w:after="0"/>
            </w:pPr>
            <w:r>
              <w:rPr>
                <w:sz w:val="14"/>
              </w:rPr>
            </w:r>
            <w:r>
              <w:rPr>
                <w:rFonts w:ascii="Aptos" w:hAnsi="Aptos"/>
                <w:b w:val="0"/>
                <w:sz w:val="16"/>
              </w:rPr>
              <w:t>Low</w:t>
            </w:r>
          </w:p>
        </w:tc>
        <w:tc>
          <w:tcPr>
            <w:tcW w:type="dxa" w:w="2664"/>
            <w:vAlign w:val="center"/>
          </w:tcPr>
          <w:p>
            <w:pPr>
              <w:spacing w:after="0"/>
            </w:pPr>
            <w:r>
              <w:rPr>
                <w:sz w:val="14"/>
              </w:rPr>
            </w:r>
            <w:r>
              <w:rPr>
                <w:rFonts w:ascii="Aptos" w:hAnsi="Aptos"/>
                <w:b w:val="0"/>
                <w:sz w:val="16"/>
              </w:rPr>
              <w:t>Enable log file validation to strengthen integrity verification of delivered CloudTrail logs.</w:t>
            </w:r>
          </w:p>
        </w:tc>
      </w:tr>
      <w:tr>
        <w:trPr/>
        <w:tc>
          <w:tcPr>
            <w:tcW w:type="dxa" w:w="2664"/>
            <w:vAlign w:val="center"/>
          </w:tcPr>
          <w:p>
            <w:pPr>
              <w:spacing w:after="0"/>
            </w:pPr>
            <w:r>
              <w:rPr>
                <w:sz w:val="14"/>
              </w:rPr>
            </w:r>
            <w:r>
              <w:rPr>
                <w:rFonts w:ascii="Aptos" w:hAnsi="Aptos"/>
                <w:b w:val="0"/>
                <w:sz w:val="16"/>
              </w:rPr>
              <w:t>F-05</w:t>
            </w:r>
          </w:p>
        </w:tc>
        <w:tc>
          <w:tcPr>
            <w:tcW w:type="dxa" w:w="2664"/>
            <w:vAlign w:val="center"/>
          </w:tcPr>
          <w:p>
            <w:pPr>
              <w:spacing w:after="0"/>
            </w:pPr>
            <w:r>
              <w:rPr>
                <w:sz w:val="14"/>
              </w:rPr>
            </w:r>
            <w:r>
              <w:rPr>
                <w:rFonts w:ascii="Aptos" w:hAnsi="Aptos"/>
                <w:b w:val="0"/>
                <w:sz w:val="16"/>
              </w:rPr>
              <w:t>Reviewed CloudWatch log groups use “Never expire” without an explicit documented retention period.</w:t>
            </w:r>
          </w:p>
        </w:tc>
        <w:tc>
          <w:tcPr>
            <w:tcW w:type="dxa" w:w="2664"/>
            <w:vAlign w:val="center"/>
          </w:tcPr>
          <w:p>
            <w:pPr>
              <w:spacing w:after="0"/>
            </w:pPr>
            <w:r>
              <w:rPr>
                <w:sz w:val="14"/>
              </w:rPr>
            </w:r>
            <w:r>
              <w:rPr>
                <w:rFonts w:ascii="Aptos" w:hAnsi="Aptos"/>
                <w:b w:val="0"/>
                <w:sz w:val="16"/>
              </w:rPr>
              <w:t>Low / Improvement</w:t>
            </w:r>
          </w:p>
        </w:tc>
        <w:tc>
          <w:tcPr>
            <w:tcW w:type="dxa" w:w="2664"/>
            <w:vAlign w:val="center"/>
          </w:tcPr>
          <w:p>
            <w:pPr>
              <w:spacing w:after="0"/>
            </w:pPr>
            <w:r>
              <w:rPr>
                <w:sz w:val="14"/>
              </w:rPr>
            </w:r>
            <w:r>
              <w:rPr>
                <w:rFonts w:ascii="Aptos" w:hAnsi="Aptos"/>
                <w:b w:val="0"/>
                <w:sz w:val="16"/>
              </w:rPr>
              <w:t>Define and document retention based on investigation, compliance and cost requirements.</w:t>
            </w:r>
          </w:p>
        </w:tc>
      </w:tr>
      <w:tr>
        <w:trPr/>
        <w:tc>
          <w:tcPr>
            <w:tcW w:type="dxa" w:w="2664"/>
            <w:vAlign w:val="center"/>
          </w:tcPr>
          <w:p>
            <w:r>
              <w:rPr>
                <w:sz w:val="14"/>
              </w:rPr>
            </w:r>
            <w:r>
              <w:rPr>
                <w:b w:val="0"/>
                <w:sz w:val="15"/>
              </w:rPr>
              <w:t>OBS-CT-KMS</w:t>
            </w:r>
          </w:p>
        </w:tc>
        <w:tc>
          <w:tcPr>
            <w:tcW w:type="dxa" w:w="2664"/>
            <w:vAlign w:val="center"/>
          </w:tcPr>
          <w:p>
            <w:r>
              <w:rPr>
                <w:sz w:val="14"/>
              </w:rPr>
            </w:r>
            <w:r>
              <w:rPr>
                <w:b w:val="0"/>
                <w:sz w:val="15"/>
              </w:rPr>
              <w:t>CloudTrail is not encrypted with a customer-managed KMS key; the delivered S3 logs are nevertheless encrypted using SSE-S3.</w:t>
            </w:r>
          </w:p>
        </w:tc>
        <w:tc>
          <w:tcPr>
            <w:tcW w:type="dxa" w:w="2664"/>
            <w:vAlign w:val="center"/>
          </w:tcPr>
          <w:p>
            <w:r>
              <w:rPr>
                <w:sz w:val="14"/>
              </w:rPr>
            </w:r>
            <w:r>
              <w:rPr>
                <w:b w:val="0"/>
                <w:sz w:val="15"/>
              </w:rPr>
              <w:t>Low / Hardening</w:t>
            </w:r>
          </w:p>
        </w:tc>
        <w:tc>
          <w:tcPr>
            <w:tcW w:type="dxa" w:w="2664"/>
            <w:vAlign w:val="center"/>
          </w:tcPr>
          <w:p>
            <w:r>
              <w:rPr>
                <w:sz w:val="14"/>
              </w:rPr>
            </w:r>
            <w:r>
              <w:rPr>
                <w:b w:val="0"/>
                <w:sz w:val="15"/>
              </w:rPr>
              <w:t>Consider SSE-KMS/CMK protection if permitted and justified by the target environment.</w:t>
            </w:r>
          </w:p>
        </w:tc>
      </w:tr>
      <w:tr>
        <w:trPr/>
        <w:tc>
          <w:tcPr>
            <w:tcW w:type="dxa" w:w="2664"/>
            <w:vAlign w:val="center"/>
          </w:tcPr>
          <w:p>
            <w:r>
              <w:rPr>
                <w:sz w:val="14"/>
              </w:rPr>
            </w:r>
            <w:r>
              <w:rPr>
                <w:b w:val="0"/>
                <w:sz w:val="15"/>
              </w:rPr>
              <w:t>L-04</w:t>
            </w:r>
          </w:p>
        </w:tc>
        <w:tc>
          <w:tcPr>
            <w:tcW w:type="dxa" w:w="2664"/>
            <w:vAlign w:val="center"/>
          </w:tcPr>
          <w:p>
            <w:r>
              <w:rPr>
                <w:sz w:val="14"/>
              </w:rPr>
            </w:r>
            <w:r>
              <w:rPr>
                <w:b w:val="0"/>
                <w:sz w:val="15"/>
              </w:rPr>
              <w:t>CloudTrail could not be integrated with the selected CloudWatch Logs group because the Learner Lab role was denied iam:AttachRolePolicy.</w:t>
            </w:r>
          </w:p>
        </w:tc>
        <w:tc>
          <w:tcPr>
            <w:tcW w:type="dxa" w:w="2664"/>
            <w:vAlign w:val="center"/>
          </w:tcPr>
          <w:p>
            <w:r>
              <w:rPr>
                <w:sz w:val="14"/>
              </w:rPr>
            </w:r>
            <w:r>
              <w:rPr>
                <w:b w:val="0"/>
                <w:sz w:val="15"/>
              </w:rPr>
              <w:t>Lab limitation</w:t>
            </w:r>
          </w:p>
        </w:tc>
        <w:tc>
          <w:tcPr>
            <w:tcW w:type="dxa" w:w="2664"/>
            <w:vAlign w:val="center"/>
          </w:tcPr>
          <w:p>
            <w:r>
              <w:rPr>
                <w:sz w:val="14"/>
              </w:rPr>
            </w:r>
            <w:r>
              <w:rPr>
                <w:b w:val="0"/>
                <w:sz w:val="15"/>
              </w:rPr>
              <w:t>Retain the AccessDenied screenshot in EV-007; do not classify the permission restriction as a project misconfiguration.</w:t>
            </w:r>
          </w:p>
        </w:tc>
      </w:tr>
    </w:tbl>
    <w:p>
      <w:pPr>
        <w:pStyle w:val="Heading2"/>
        <w:keepNext/>
      </w:pPr>
      <w:r>
        <w:t>Audit conclusion</w:t>
      </w:r>
    </w:p>
    <w:p>
      <w:pPr>
        <w:spacing w:after="100" w:line="252" w:lineRule="auto"/>
      </w:pPr>
      <w:r>
        <w:t>CloudTrail delivery, CloudWatch monitoring and the alarm-to-SNS notification path are operational and evidenced. T-05 therefore passes the core “logging enabled” criterion. ScoutSuite corroborates the disabled log-file-validation observation and identifies additional hardening items. The missing direct CloudTrail-to-CloudWatch Logs integration is documented as a Learner Lab permission limitation because iam:AttachRolePolicy was explicitly denied.</w:t>
      </w:r>
    </w:p>
    <w:p>
      <w:pPr>
        <w:pStyle w:val="Heading1"/>
        <w:keepNext/>
        <w:pageBreakBefore w:val="0"/>
      </w:pPr>
      <w:r>
        <w:t>7. T-06 – Automated security assessment</w:t>
      </w:r>
    </w:p>
    <w:p>
      <w:pPr>
        <w:pStyle w:val="Heading2"/>
        <w:keepNext/>
      </w:pPr>
      <w:r>
        <w:t>TDR-format audit result table</w:t>
      </w:r>
    </w:p>
    <w:tbl>
      <w:tblPr>
        <w:tblStyle w:val="TableGrid"/>
        <w:tblW w:type="auto" w:w="0"/>
        <w:jc w:val="center"/>
        <w:tblLayout w:type="fixed"/>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691"/>
            <w:vAlign w:val="center"/>
            <w:shd w:fill="1F4E78"/>
          </w:tcPr>
          <w:p>
            <w:pPr>
              <w:spacing w:after="0"/>
            </w:pPr>
            <w:r>
              <w:rPr>
                <w:sz w:val="14"/>
              </w:rPr>
            </w:r>
            <w:r>
              <w:rPr>
                <w:rFonts w:ascii="Aptos" w:hAnsi="Aptos"/>
                <w:b/>
                <w:color w:val="FFFFFF"/>
                <w:sz w:val="15"/>
              </w:rPr>
              <w:t>ID</w:t>
            </w:r>
          </w:p>
        </w:tc>
        <w:tc>
          <w:tcPr>
            <w:tcW w:type="dxa" w:w="893"/>
            <w:vAlign w:val="center"/>
            <w:shd w:fill="1F4E78"/>
          </w:tcPr>
          <w:p>
            <w:pPr>
              <w:spacing w:after="0"/>
            </w:pPr>
            <w:r>
              <w:rPr>
                <w:sz w:val="14"/>
              </w:rPr>
            </w:r>
            <w:r>
              <w:rPr>
                <w:rFonts w:ascii="Aptos" w:hAnsi="Aptos"/>
                <w:b/>
                <w:color w:val="FFFFFF"/>
                <w:sz w:val="15"/>
              </w:rPr>
              <w:t>Criterion</w:t>
            </w:r>
          </w:p>
        </w:tc>
        <w:tc>
          <w:tcPr>
            <w:tcW w:type="dxa" w:w="2376"/>
            <w:vAlign w:val="center"/>
            <w:shd w:fill="1F4E78"/>
          </w:tcPr>
          <w:p>
            <w:pPr>
              <w:spacing w:after="0"/>
            </w:pPr>
            <w:r>
              <w:rPr>
                <w:sz w:val="14"/>
              </w:rPr>
            </w:r>
            <w:r>
              <w:rPr>
                <w:rFonts w:ascii="Aptos" w:hAnsi="Aptos"/>
                <w:b/>
                <w:color w:val="FFFFFF"/>
                <w:sz w:val="15"/>
              </w:rPr>
              <w:t>Audit question</w:t>
            </w:r>
          </w:p>
        </w:tc>
        <w:tc>
          <w:tcPr>
            <w:tcW w:type="dxa" w:w="1699"/>
            <w:vAlign w:val="center"/>
            <w:shd w:fill="1F4E78"/>
          </w:tcPr>
          <w:p>
            <w:pPr>
              <w:spacing w:after="0"/>
            </w:pPr>
            <w:r>
              <w:rPr>
                <w:sz w:val="14"/>
              </w:rPr>
            </w:r>
            <w:r>
              <w:rPr>
                <w:rFonts w:ascii="Aptos" w:hAnsi="Aptos"/>
                <w:b/>
                <w:color w:val="FFFFFF"/>
                <w:sz w:val="15"/>
              </w:rPr>
              <w:t>Method</w:t>
            </w:r>
          </w:p>
        </w:tc>
        <w:tc>
          <w:tcPr>
            <w:tcW w:type="dxa" w:w="1469"/>
            <w:vAlign w:val="center"/>
            <w:shd w:fill="1F4E78"/>
          </w:tcPr>
          <w:p>
            <w:pPr>
              <w:spacing w:after="0"/>
            </w:pPr>
            <w:r>
              <w:rPr>
                <w:sz w:val="14"/>
              </w:rPr>
            </w:r>
            <w:r>
              <w:rPr>
                <w:rFonts w:ascii="Aptos" w:hAnsi="Aptos"/>
                <w:b/>
                <w:color w:val="FFFFFF"/>
                <w:sz w:val="15"/>
              </w:rPr>
              <w:t>Expected evidence</w:t>
            </w:r>
          </w:p>
        </w:tc>
        <w:tc>
          <w:tcPr>
            <w:tcW w:type="dxa" w:w="1512"/>
            <w:vAlign w:val="center"/>
            <w:shd w:fill="1F4E78"/>
          </w:tcPr>
          <w:p>
            <w:pPr>
              <w:spacing w:after="0"/>
            </w:pPr>
            <w:r>
              <w:rPr>
                <w:sz w:val="14"/>
              </w:rPr>
            </w:r>
            <w:r>
              <w:rPr>
                <w:rFonts w:ascii="Aptos" w:hAnsi="Aptos"/>
                <w:b/>
                <w:color w:val="FFFFFF"/>
                <w:sz w:val="15"/>
              </w:rPr>
              <w:t>Result</w:t>
            </w:r>
          </w:p>
        </w:tc>
        <w:tc>
          <w:tcPr>
            <w:tcW w:type="dxa" w:w="1613"/>
            <w:vAlign w:val="center"/>
            <w:shd w:fill="1F4E78"/>
          </w:tcPr>
          <w:p>
            <w:pPr>
              <w:spacing w:after="0"/>
            </w:pPr>
            <w:r>
              <w:rPr>
                <w:sz w:val="14"/>
              </w:rPr>
            </w:r>
            <w:r>
              <w:rPr>
                <w:rFonts w:ascii="Aptos" w:hAnsi="Aptos"/>
                <w:b/>
                <w:color w:val="FFFFFF"/>
                <w:sz w:val="15"/>
              </w:rPr>
              <w:t>Classification</w:t>
            </w:r>
          </w:p>
        </w:tc>
        <w:tc>
          <w:tcPr>
            <w:tcW w:type="dxa" w:w="979"/>
            <w:vAlign w:val="center"/>
            <w:shd w:fill="1F4E78"/>
          </w:tcPr>
          <w:p>
            <w:pPr>
              <w:spacing w:after="0"/>
            </w:pPr>
            <w:r>
              <w:rPr>
                <w:sz w:val="14"/>
              </w:rPr>
            </w:r>
            <w:r>
              <w:rPr>
                <w:rFonts w:ascii="Aptos" w:hAnsi="Aptos"/>
                <w:b/>
                <w:color w:val="FFFFFF"/>
                <w:sz w:val="15"/>
              </w:rPr>
              <w:t>Evidence ref.</w:t>
            </w:r>
          </w:p>
        </w:tc>
      </w:tr>
      <w:tr>
        <w:trPr/>
        <w:tc>
          <w:tcPr>
            <w:tcW w:type="dxa" w:w="691"/>
            <w:vAlign w:val="center"/>
          </w:tcPr>
          <w:p>
            <w:pPr>
              <w:spacing w:after="0"/>
            </w:pPr>
            <w:r>
              <w:rPr>
                <w:sz w:val="14"/>
              </w:rPr>
            </w:r>
            <w:r>
              <w:rPr>
                <w:rFonts w:ascii="Aptos" w:hAnsi="Aptos"/>
                <w:b w:val="0"/>
                <w:sz w:val="15"/>
              </w:rPr>
              <w:t>G-06</w:t>
            </w:r>
          </w:p>
        </w:tc>
        <w:tc>
          <w:tcPr>
            <w:tcW w:type="dxa" w:w="893"/>
            <w:vAlign w:val="center"/>
          </w:tcPr>
          <w:p>
            <w:pPr>
              <w:spacing w:after="0"/>
            </w:pPr>
            <w:r>
              <w:rPr>
                <w:sz w:val="14"/>
              </w:rPr>
            </w:r>
            <w:r>
              <w:rPr>
                <w:rFonts w:ascii="Aptos" w:hAnsi="Aptos"/>
                <w:b w:val="0"/>
                <w:sz w:val="15"/>
              </w:rPr>
              <w:t>A.8.9</w:t>
            </w:r>
          </w:p>
        </w:tc>
        <w:tc>
          <w:tcPr>
            <w:tcW w:type="dxa" w:w="2376"/>
            <w:vAlign w:val="center"/>
          </w:tcPr>
          <w:p>
            <w:pPr>
              <w:spacing w:after="0"/>
            </w:pPr>
            <w:r>
              <w:rPr>
                <w:sz w:val="14"/>
              </w:rPr>
            </w:r>
            <w:r>
              <w:rPr>
                <w:rFonts w:ascii="Aptos" w:hAnsi="Aptos"/>
                <w:b w:val="0"/>
                <w:sz w:val="15"/>
              </w:rPr>
              <w:t>Does the scanner run and produce a report?</w:t>
            </w:r>
          </w:p>
        </w:tc>
        <w:tc>
          <w:tcPr>
            <w:tcW w:type="dxa" w:w="1699"/>
            <w:vAlign w:val="center"/>
          </w:tcPr>
          <w:p>
            <w:r>
              <w:rPr>
                <w:sz w:val="14"/>
              </w:rPr>
            </w:r>
            <w:r>
              <w:rPr>
                <w:b w:val="0"/>
                <w:sz w:val="14"/>
              </w:rPr>
              <w:t>T-06 – Prowler 5.44.0 + ScoutSuite</w:t>
            </w:r>
          </w:p>
        </w:tc>
        <w:tc>
          <w:tcPr>
            <w:tcW w:type="dxa" w:w="1469"/>
            <w:vAlign w:val="center"/>
          </w:tcPr>
          <w:p>
            <w:r>
              <w:rPr>
                <w:sz w:val="14"/>
              </w:rPr>
            </w:r>
            <w:r>
              <w:rPr>
                <w:b w:val="0"/>
                <w:sz w:val="14"/>
              </w:rPr>
              <w:t>Original HTML/CSV/JSON reports and evidence screenshots</w:t>
            </w:r>
          </w:p>
        </w:tc>
        <w:tc>
          <w:tcPr>
            <w:tcW w:type="dxa" w:w="1512"/>
            <w:vAlign w:val="center"/>
            <w:shd w:fill="FFF2CC"/>
          </w:tcPr>
          <w:p>
            <w:r>
              <w:rPr>
                <w:sz w:val="14"/>
              </w:rPr>
            </w:r>
            <w:r>
              <w:rPr>
                <w:b w:val="0"/>
                <w:sz w:val="14"/>
              </w:rPr>
              <w:t>PASS</w:t>
            </w:r>
          </w:p>
        </w:tc>
        <w:tc>
          <w:tcPr>
            <w:tcW w:type="dxa" w:w="1613"/>
            <w:vAlign w:val="center"/>
          </w:tcPr>
          <w:p>
            <w:r>
              <w:rPr>
                <w:sz w:val="14"/>
              </w:rPr>
            </w:r>
            <w:r>
              <w:rPr>
                <w:b w:val="0"/>
                <w:sz w:val="14"/>
              </w:rPr>
              <w:t>Compliant</w:t>
            </w:r>
          </w:p>
        </w:tc>
        <w:tc>
          <w:tcPr>
            <w:tcW w:type="dxa" w:w="979"/>
            <w:vAlign w:val="center"/>
          </w:tcPr>
          <w:p>
            <w:pPr>
              <w:spacing w:after="0"/>
            </w:pPr>
            <w:r>
              <w:rPr>
                <w:sz w:val="14"/>
              </w:rPr>
            </w:r>
            <w:r>
              <w:rPr>
                <w:rFonts w:ascii="Aptos" w:hAnsi="Aptos"/>
                <w:b w:val="0"/>
                <w:sz w:val="15"/>
              </w:rPr>
              <w:t>EV-006</w:t>
            </w:r>
          </w:p>
        </w:tc>
      </w:tr>
    </w:tbl>
    <w:p>
      <w:pPr>
        <w:spacing w:after="40"/>
      </w:pPr>
    </w:p>
    <w:p>
      <w:pPr>
        <w:pStyle w:val="Heading2"/>
        <w:keepNext/>
      </w:pPr>
      <w:r>
        <w:t>Detailed verification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4472C4"/>
          </w:tcPr>
          <w:p>
            <w:pPr>
              <w:spacing w:after="0"/>
            </w:pPr>
            <w:r>
              <w:rPr>
                <w:sz w:val="14"/>
              </w:rPr>
            </w:r>
            <w:r>
              <w:rPr>
                <w:rFonts w:ascii="Aptos" w:hAnsi="Aptos"/>
                <w:b/>
                <w:color w:val="FFFFFF"/>
                <w:sz w:val="16"/>
              </w:rPr>
              <w:t>Verification point</w:t>
            </w:r>
          </w:p>
        </w:tc>
        <w:tc>
          <w:tcPr>
            <w:tcW w:type="dxa" w:w="3552"/>
            <w:vAlign w:val="center"/>
            <w:shd w:fill="4472C4"/>
          </w:tcPr>
          <w:p>
            <w:pPr>
              <w:spacing w:after="0"/>
            </w:pPr>
            <w:r>
              <w:rPr>
                <w:sz w:val="14"/>
              </w:rPr>
            </w:r>
            <w:r>
              <w:rPr>
                <w:rFonts w:ascii="Aptos" w:hAnsi="Aptos"/>
                <w:b/>
                <w:color w:val="FFFFFF"/>
                <w:sz w:val="16"/>
              </w:rPr>
              <w:t>Observed evidence / result</w:t>
            </w:r>
          </w:p>
        </w:tc>
        <w:tc>
          <w:tcPr>
            <w:tcW w:type="dxa" w:w="3552"/>
            <w:vAlign w:val="center"/>
            <w:shd w:fill="4472C4"/>
          </w:tcPr>
          <w:p>
            <w:pPr>
              <w:spacing w:after="0"/>
            </w:pPr>
            <w:r>
              <w:rPr>
                <w:sz w:val="14"/>
              </w:rPr>
            </w:r>
            <w:r>
              <w:rPr>
                <w:rFonts w:ascii="Aptos" w:hAnsi="Aptos"/>
                <w:b/>
                <w:color w:val="FFFFFF"/>
                <w:sz w:val="16"/>
              </w:rPr>
              <w:t>Assessment</w:t>
            </w:r>
          </w:p>
        </w:tc>
      </w:tr>
      <w:tr>
        <w:trPr/>
        <w:tc>
          <w:tcPr>
            <w:tcW w:type="dxa" w:w="3552"/>
            <w:vAlign w:val="center"/>
          </w:tcPr>
          <w:p>
            <w:pPr>
              <w:spacing w:after="0"/>
            </w:pPr>
            <w:r>
              <w:rPr>
                <w:sz w:val="14"/>
              </w:rPr>
            </w:r>
            <w:r>
              <w:rPr>
                <w:rFonts w:ascii="Aptos" w:hAnsi="Aptos"/>
                <w:b w:val="0"/>
                <w:sz w:val="16"/>
              </w:rPr>
              <w:t>AWS CLI authentication</w:t>
            </w:r>
          </w:p>
        </w:tc>
        <w:tc>
          <w:tcPr>
            <w:tcW w:type="dxa" w:w="3552"/>
            <w:vAlign w:val="center"/>
          </w:tcPr>
          <w:p>
            <w:pPr>
              <w:spacing w:after="0"/>
            </w:pPr>
            <w:r>
              <w:rPr>
                <w:sz w:val="14"/>
              </w:rPr>
            </w:r>
            <w:r>
              <w:rPr>
                <w:rFonts w:ascii="Aptos" w:hAnsi="Aptos"/>
                <w:b w:val="0"/>
                <w:sz w:val="16"/>
              </w:rPr>
              <w:t>aws sts get-caller-identity successfully verified access to the Learner Lab before scanning.</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Prowler installation</w:t>
            </w:r>
          </w:p>
        </w:tc>
        <w:tc>
          <w:tcPr>
            <w:tcW w:type="dxa" w:w="3552"/>
            <w:vAlign w:val="center"/>
          </w:tcPr>
          <w:p>
            <w:pPr>
              <w:spacing w:after="0"/>
            </w:pPr>
            <w:r>
              <w:rPr>
                <w:sz w:val="14"/>
              </w:rPr>
            </w:r>
            <w:r>
              <w:rPr>
                <w:rFonts w:ascii="Aptos" w:hAnsi="Aptos"/>
                <w:b w:val="0"/>
                <w:sz w:val="16"/>
              </w:rPr>
              <w:t>Prowler 5.44.0 is operational.</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Prowler enumeration</w:t>
            </w:r>
          </w:p>
        </w:tc>
        <w:tc>
          <w:tcPr>
            <w:tcW w:type="dxa" w:w="3552"/>
            <w:vAlign w:val="center"/>
          </w:tcPr>
          <w:p>
            <w:pPr>
              <w:spacing w:after="0"/>
            </w:pPr>
            <w:r>
              <w:rPr>
                <w:sz w:val="14"/>
              </w:rPr>
            </w:r>
            <w:r>
              <w:rPr>
                <w:rFonts w:ascii="Aptos" w:hAnsi="Aptos"/>
                <w:b w:val="0"/>
                <w:sz w:val="16"/>
              </w:rPr>
              <w:t>prowler aws --list-services completed and listed 89 available services.</w:t>
            </w:r>
          </w:p>
        </w:tc>
        <w:tc>
          <w:tcPr>
            <w:tcW w:type="dxa" w:w="3552"/>
            <w:vAlign w:val="center"/>
          </w:tcPr>
          <w:p>
            <w:pPr>
              <w:spacing w:after="0"/>
            </w:pPr>
            <w:r>
              <w:rPr>
                <w:sz w:val="14"/>
              </w:rPr>
            </w:r>
            <w:r>
              <w:rPr>
                <w:rFonts w:ascii="Aptos" w:hAnsi="Aptos"/>
                <w:b w:val="0"/>
                <w:sz w:val="16"/>
              </w:rPr>
              <w:t>PASS</w:t>
            </w:r>
          </w:p>
        </w:tc>
      </w:tr>
      <w:tr>
        <w:trPr/>
        <w:tc>
          <w:tcPr>
            <w:tcW w:type="dxa" w:w="3552"/>
            <w:vAlign w:val="center"/>
          </w:tcPr>
          <w:p>
            <w:pPr>
              <w:spacing w:after="0"/>
            </w:pPr>
            <w:r>
              <w:rPr>
                <w:sz w:val="14"/>
              </w:rPr>
            </w:r>
            <w:r>
              <w:rPr>
                <w:rFonts w:ascii="Aptos" w:hAnsi="Aptos"/>
                <w:b w:val="0"/>
                <w:sz w:val="16"/>
              </w:rPr>
              <w:t>Prowler scan</w:t>
            </w:r>
          </w:p>
        </w:tc>
        <w:tc>
          <w:tcPr>
            <w:tcW w:type="dxa" w:w="3552"/>
            <w:vAlign w:val="center"/>
          </w:tcPr>
          <w:p>
            <w:r>
              <w:rPr>
                <w:sz w:val="14"/>
              </w:rPr>
            </w:r>
            <w:r>
              <w:rPr>
                <w:b w:val="0"/>
                <w:sz w:val="14"/>
              </w:rPr>
              <w:t>Completed successfully. Overview: 467 resource/check results, 342 passed (73.23%), 111 failed (23.77%), 14 MANUAL, 0 muted. Detailed outputs produced in HTML, CSV and OCSF JSON.</w:t>
            </w:r>
          </w:p>
        </w:tc>
        <w:tc>
          <w:tcPr>
            <w:tcW w:type="dxa" w:w="3552"/>
            <w:vAlign w:val="center"/>
          </w:tcPr>
          <w:p>
            <w:r>
              <w:rPr>
                <w:sz w:val="14"/>
              </w:rPr>
            </w:r>
            <w:r>
              <w:rPr>
                <w:b w:val="0"/>
                <w:sz w:val="14"/>
              </w:rPr>
              <w:t>PASS – REPORT PRODUCED</w:t>
            </w:r>
          </w:p>
        </w:tc>
      </w:tr>
      <w:tr>
        <w:trPr/>
        <w:tc>
          <w:tcPr>
            <w:tcW w:type="dxa" w:w="3552"/>
            <w:vAlign w:val="center"/>
          </w:tcPr>
          <w:p>
            <w:pPr>
              <w:spacing w:after="0"/>
            </w:pPr>
            <w:r>
              <w:rPr>
                <w:sz w:val="14"/>
              </w:rPr>
            </w:r>
            <w:r>
              <w:rPr>
                <w:rFonts w:ascii="Aptos" w:hAnsi="Aptos"/>
                <w:b w:val="0"/>
                <w:sz w:val="16"/>
              </w:rPr>
              <w:t>ScoutSuite</w:t>
            </w:r>
          </w:p>
        </w:tc>
        <w:tc>
          <w:tcPr>
            <w:tcW w:type="dxa" w:w="3552"/>
            <w:vAlign w:val="center"/>
          </w:tcPr>
          <w:p>
            <w:r>
              <w:rPr>
                <w:sz w:val="14"/>
              </w:rPr>
            </w:r>
            <w:r>
              <w:rPr>
                <w:b w:val="0"/>
                <w:sz w:val="14"/>
              </w:rPr>
              <w:t>Completed against the same AWS Learner Lab account. HTML report, ScoutSuite result data, exceptions/errors data and dashboard evidence were produced.</w:t>
            </w:r>
          </w:p>
        </w:tc>
        <w:tc>
          <w:tcPr>
            <w:tcW w:type="dxa" w:w="3552"/>
            <w:vAlign w:val="center"/>
          </w:tcPr>
          <w:p>
            <w:r>
              <w:rPr>
                <w:sz w:val="14"/>
              </w:rPr>
            </w:r>
            <w:r>
              <w:rPr>
                <w:b w:val="0"/>
                <w:sz w:val="14"/>
              </w:rPr>
              <w:t>PASS – REPORT PRODUCED</w:t>
            </w:r>
          </w:p>
        </w:tc>
      </w:tr>
      <w:tr>
        <w:trPr/>
        <w:tc>
          <w:tcPr>
            <w:tcW w:type="dxa" w:w="3552"/>
            <w:vAlign w:val="center"/>
          </w:tcPr>
          <w:p>
            <w:r>
              <w:rPr>
                <w:sz w:val="14"/>
              </w:rPr>
            </w:r>
            <w:r>
              <w:rPr>
                <w:b w:val="0"/>
                <w:sz w:val="15"/>
              </w:rPr>
              <w:t>Prowler high-priority extraction</w:t>
            </w:r>
          </w:p>
        </w:tc>
        <w:tc>
          <w:tcPr>
            <w:tcW w:type="dxa" w:w="3552"/>
            <w:vAlign w:val="center"/>
          </w:tcPr>
          <w:p>
            <w:r>
              <w:rPr>
                <w:sz w:val="14"/>
              </w:rPr>
            </w:r>
            <w:r>
              <w:rPr>
                <w:b w:val="0"/>
                <w:sz w:val="15"/>
              </w:rPr>
              <w:t>28 Critical/High failed resource-level rows were extracted for triage: 2 Critical and 26 High. Duplicate checks were correlated by root cause rather than reported as separate findings.</w:t>
            </w:r>
          </w:p>
        </w:tc>
        <w:tc>
          <w:tcPr>
            <w:tcW w:type="dxa" w:w="3552"/>
            <w:vAlign w:val="center"/>
          </w:tcPr>
          <w:p>
            <w:r>
              <w:rPr>
                <w:sz w:val="14"/>
              </w:rPr>
            </w:r>
            <w:r>
              <w:rPr>
                <w:b w:val="0"/>
                <w:sz w:val="15"/>
              </w:rPr>
              <w:t>COMPLETED</w:t>
            </w:r>
          </w:p>
        </w:tc>
      </w:tr>
      <w:tr>
        <w:trPr/>
        <w:tc>
          <w:tcPr>
            <w:tcW w:type="dxa" w:w="3552"/>
            <w:vAlign w:val="center"/>
          </w:tcPr>
          <w:p>
            <w:r>
              <w:rPr>
                <w:sz w:val="14"/>
              </w:rPr>
            </w:r>
            <w:r>
              <w:rPr>
                <w:b w:val="0"/>
                <w:sz w:val="15"/>
              </w:rPr>
              <w:t>ScoutSuite overview</w:t>
            </w:r>
          </w:p>
        </w:tc>
        <w:tc>
          <w:tcPr>
            <w:tcW w:type="dxa" w:w="3552"/>
            <w:vAlign w:val="center"/>
          </w:tcPr>
          <w:p>
            <w:r>
              <w:rPr>
                <w:sz w:val="14"/>
              </w:rPr>
            </w:r>
            <w:r>
              <w:rPr>
                <w:b w:val="0"/>
                <w:sz w:val="15"/>
              </w:rPr>
              <w:t>The report identifies material findings in CloudTrail, EC2, IAM, RDS and VPC, while CloudWatch/KMS reviewed checks provide positive corroboration in the displayed dashboards.</w:t>
            </w:r>
          </w:p>
        </w:tc>
        <w:tc>
          <w:tcPr>
            <w:tcW w:type="dxa" w:w="3552"/>
            <w:vAlign w:val="center"/>
          </w:tcPr>
          <w:p>
            <w:r>
              <w:rPr>
                <w:sz w:val="14"/>
              </w:rPr>
            </w:r>
            <w:r>
              <w:rPr>
                <w:b w:val="0"/>
                <w:sz w:val="15"/>
              </w:rPr>
              <w:t>COMPLETED</w:t>
            </w:r>
          </w:p>
        </w:tc>
      </w:tr>
      <w:tr>
        <w:trPr/>
        <w:tc>
          <w:tcPr>
            <w:tcW w:type="dxa" w:w="3552"/>
            <w:vAlign w:val="center"/>
          </w:tcPr>
          <w:p>
            <w:r>
              <w:rPr>
                <w:sz w:val="14"/>
              </w:rPr>
            </w:r>
            <w:r>
              <w:rPr>
                <w:b w:val="0"/>
                <w:sz w:val="15"/>
              </w:rPr>
              <w:t>Cross-tool correlation</w:t>
            </w:r>
          </w:p>
        </w:tc>
        <w:tc>
          <w:tcPr>
            <w:tcW w:type="dxa" w:w="3552"/>
            <w:vAlign w:val="center"/>
          </w:tcPr>
          <w:p>
            <w:r>
              <w:rPr>
                <w:sz w:val="14"/>
              </w:rPr>
            </w:r>
            <w:r>
              <w:rPr>
                <w:b w:val="0"/>
                <w:sz w:val="15"/>
              </w:rPr>
              <w:t>Both scanners independently corroborate the public SSH exposure and the unencrypted EBS condition. RDS encryption/non-public status is also supported by ScoutSuite.</w:t>
            </w:r>
          </w:p>
        </w:tc>
        <w:tc>
          <w:tcPr>
            <w:tcW w:type="dxa" w:w="3552"/>
            <w:vAlign w:val="center"/>
          </w:tcPr>
          <w:p>
            <w:r>
              <w:rPr>
                <w:sz w:val="14"/>
              </w:rPr>
            </w:r>
            <w:r>
              <w:rPr>
                <w:b w:val="0"/>
                <w:sz w:val="15"/>
              </w:rPr>
              <w:t>COMPLETED</w:t>
            </w:r>
          </w:p>
        </w:tc>
      </w:tr>
      <w:tr>
        <w:trPr/>
        <w:tc>
          <w:tcPr>
            <w:tcW w:type="dxa" w:w="3552"/>
            <w:vAlign w:val="center"/>
          </w:tcPr>
          <w:p>
            <w:r>
              <w:rPr>
                <w:sz w:val="14"/>
              </w:rPr>
            </w:r>
            <w:r>
              <w:rPr>
                <w:b w:val="0"/>
                <w:sz w:val="15"/>
              </w:rPr>
              <w:t>Scanner limitations handling</w:t>
            </w:r>
          </w:p>
        </w:tc>
        <w:tc>
          <w:tcPr>
            <w:tcW w:type="dxa" w:w="3552"/>
            <w:vAlign w:val="center"/>
          </w:tcPr>
          <w:p>
            <w:r>
              <w:rPr>
                <w:sz w:val="14"/>
              </w:rPr>
            </w:r>
            <w:r>
              <w:rPr>
                <w:b w:val="0"/>
                <w:sz w:val="15"/>
              </w:rPr>
              <w:t>Permission-denied or lab-managed IAM results are retained as environmental evidence and are not automatically promoted to application findings.</w:t>
            </w:r>
          </w:p>
        </w:tc>
        <w:tc>
          <w:tcPr>
            <w:tcW w:type="dxa" w:w="3552"/>
            <w:vAlign w:val="center"/>
          </w:tcPr>
          <w:p>
            <w:r>
              <w:rPr>
                <w:sz w:val="14"/>
              </w:rPr>
            </w:r>
            <w:r>
              <w:rPr>
                <w:b w:val="0"/>
                <w:sz w:val="15"/>
              </w:rPr>
              <w:t>COMPLETED</w:t>
            </w:r>
          </w:p>
        </w:tc>
      </w:tr>
    </w:tbl>
    <w:p>
      <w:pPr>
        <w:pStyle w:val="Heading2"/>
        <w:keepNext/>
      </w:pPr>
      <w:r>
        <w:t>Audit conclusion</w:t>
      </w:r>
    </w:p>
    <w:p>
      <w:pPr>
        <w:spacing w:after="100" w:line="252" w:lineRule="auto"/>
      </w:pPr>
      <w:r>
        <w:t>T-06 is complete. Prowler 5.44.0 and ScoutSuite both authenticated to and assessed AWS account 623463264556, produced usable reports, and supplied independent configuration evidence. Scanner execution therefore meets the TDR criterion. The security posture is assessed separately through the findings from T-02 to T-05; scanner execution itself is Compliant because both tools ran and generated attributable reports.</w:t>
      </w:r>
    </w:p>
    <w:p>
      <w:pPr>
        <w:pStyle w:val="Heading1"/>
        <w:keepNext/>
        <w:pageBreakBefore w:val="0"/>
      </w:pPr>
      <w:r>
        <w:t>8. T-07 – Learner Lab limitations and provider-managed behavior</w:t>
      </w:r>
    </w:p>
    <w:p>
      <w:pPr>
        <w:pStyle w:val="Heading2"/>
        <w:keepNext/>
      </w:pPr>
      <w:r>
        <w:t>TDR-format audit result table</w:t>
      </w:r>
    </w:p>
    <w:tbl>
      <w:tblPr>
        <w:tblStyle w:val="TableGrid"/>
        <w:tblW w:type="auto" w:w="0"/>
        <w:jc w:val="center"/>
        <w:tblLayout w:type="fixed"/>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691"/>
            <w:vAlign w:val="center"/>
            <w:shd w:fill="1F4E78"/>
          </w:tcPr>
          <w:p>
            <w:pPr>
              <w:spacing w:after="0"/>
            </w:pPr>
            <w:r>
              <w:rPr>
                <w:sz w:val="14"/>
              </w:rPr>
            </w:r>
            <w:r>
              <w:rPr>
                <w:rFonts w:ascii="Aptos" w:hAnsi="Aptos"/>
                <w:b/>
                <w:color w:val="FFFFFF"/>
                <w:sz w:val="15"/>
              </w:rPr>
              <w:t>ID</w:t>
            </w:r>
          </w:p>
        </w:tc>
        <w:tc>
          <w:tcPr>
            <w:tcW w:type="dxa" w:w="893"/>
            <w:vAlign w:val="center"/>
            <w:shd w:fill="1F4E78"/>
          </w:tcPr>
          <w:p>
            <w:pPr>
              <w:spacing w:after="0"/>
            </w:pPr>
            <w:r>
              <w:rPr>
                <w:sz w:val="14"/>
              </w:rPr>
            </w:r>
            <w:r>
              <w:rPr>
                <w:rFonts w:ascii="Aptos" w:hAnsi="Aptos"/>
                <w:b/>
                <w:color w:val="FFFFFF"/>
                <w:sz w:val="15"/>
              </w:rPr>
              <w:t>Criterion</w:t>
            </w:r>
          </w:p>
        </w:tc>
        <w:tc>
          <w:tcPr>
            <w:tcW w:type="dxa" w:w="2376"/>
            <w:vAlign w:val="center"/>
            <w:shd w:fill="1F4E78"/>
          </w:tcPr>
          <w:p>
            <w:pPr>
              <w:spacing w:after="0"/>
            </w:pPr>
            <w:r>
              <w:rPr>
                <w:sz w:val="14"/>
              </w:rPr>
            </w:r>
            <w:r>
              <w:rPr>
                <w:rFonts w:ascii="Aptos" w:hAnsi="Aptos"/>
                <w:b/>
                <w:color w:val="FFFFFF"/>
                <w:sz w:val="15"/>
              </w:rPr>
              <w:t>Audit question</w:t>
            </w:r>
          </w:p>
        </w:tc>
        <w:tc>
          <w:tcPr>
            <w:tcW w:type="dxa" w:w="1699"/>
            <w:vAlign w:val="center"/>
            <w:shd w:fill="1F4E78"/>
          </w:tcPr>
          <w:p>
            <w:pPr>
              <w:spacing w:after="0"/>
            </w:pPr>
            <w:r>
              <w:rPr>
                <w:sz w:val="14"/>
              </w:rPr>
            </w:r>
            <w:r>
              <w:rPr>
                <w:rFonts w:ascii="Aptos" w:hAnsi="Aptos"/>
                <w:b/>
                <w:color w:val="FFFFFF"/>
                <w:sz w:val="15"/>
              </w:rPr>
              <w:t>Method</w:t>
            </w:r>
          </w:p>
        </w:tc>
        <w:tc>
          <w:tcPr>
            <w:tcW w:type="dxa" w:w="1469"/>
            <w:vAlign w:val="center"/>
            <w:shd w:fill="1F4E78"/>
          </w:tcPr>
          <w:p>
            <w:pPr>
              <w:spacing w:after="0"/>
            </w:pPr>
            <w:r>
              <w:rPr>
                <w:sz w:val="14"/>
              </w:rPr>
            </w:r>
            <w:r>
              <w:rPr>
                <w:rFonts w:ascii="Aptos" w:hAnsi="Aptos"/>
                <w:b/>
                <w:color w:val="FFFFFF"/>
                <w:sz w:val="15"/>
              </w:rPr>
              <w:t>Expected evidence</w:t>
            </w:r>
          </w:p>
        </w:tc>
        <w:tc>
          <w:tcPr>
            <w:tcW w:type="dxa" w:w="1512"/>
            <w:vAlign w:val="center"/>
            <w:shd w:fill="1F4E78"/>
          </w:tcPr>
          <w:p>
            <w:pPr>
              <w:spacing w:after="0"/>
            </w:pPr>
            <w:r>
              <w:rPr>
                <w:sz w:val="14"/>
              </w:rPr>
            </w:r>
            <w:r>
              <w:rPr>
                <w:rFonts w:ascii="Aptos" w:hAnsi="Aptos"/>
                <w:b/>
                <w:color w:val="FFFFFF"/>
                <w:sz w:val="15"/>
              </w:rPr>
              <w:t>Result</w:t>
            </w:r>
          </w:p>
        </w:tc>
        <w:tc>
          <w:tcPr>
            <w:tcW w:type="dxa" w:w="1613"/>
            <w:vAlign w:val="center"/>
            <w:shd w:fill="1F4E78"/>
          </w:tcPr>
          <w:p>
            <w:pPr>
              <w:spacing w:after="0"/>
            </w:pPr>
            <w:r>
              <w:rPr>
                <w:sz w:val="14"/>
              </w:rPr>
            </w:r>
            <w:r>
              <w:rPr>
                <w:rFonts w:ascii="Aptos" w:hAnsi="Aptos"/>
                <w:b/>
                <w:color w:val="FFFFFF"/>
                <w:sz w:val="15"/>
              </w:rPr>
              <w:t>Classification</w:t>
            </w:r>
          </w:p>
        </w:tc>
        <w:tc>
          <w:tcPr>
            <w:tcW w:type="dxa" w:w="979"/>
            <w:vAlign w:val="center"/>
            <w:shd w:fill="1F4E78"/>
          </w:tcPr>
          <w:p>
            <w:pPr>
              <w:spacing w:after="0"/>
            </w:pPr>
            <w:r>
              <w:rPr>
                <w:sz w:val="14"/>
              </w:rPr>
            </w:r>
            <w:r>
              <w:rPr>
                <w:rFonts w:ascii="Aptos" w:hAnsi="Aptos"/>
                <w:b/>
                <w:color w:val="FFFFFF"/>
                <w:sz w:val="15"/>
              </w:rPr>
              <w:t>Evidence ref.</w:t>
            </w:r>
          </w:p>
        </w:tc>
      </w:tr>
      <w:tr>
        <w:trPr/>
        <w:tc>
          <w:tcPr>
            <w:tcW w:type="dxa" w:w="691"/>
            <w:vAlign w:val="center"/>
          </w:tcPr>
          <w:p>
            <w:pPr>
              <w:spacing w:after="0"/>
            </w:pPr>
            <w:r>
              <w:rPr>
                <w:sz w:val="14"/>
              </w:rPr>
            </w:r>
            <w:r>
              <w:rPr>
                <w:rFonts w:ascii="Aptos" w:hAnsi="Aptos"/>
                <w:b w:val="0"/>
                <w:sz w:val="15"/>
              </w:rPr>
              <w:t>G-07</w:t>
            </w:r>
          </w:p>
        </w:tc>
        <w:tc>
          <w:tcPr>
            <w:tcW w:type="dxa" w:w="893"/>
            <w:vAlign w:val="center"/>
          </w:tcPr>
          <w:p>
            <w:pPr>
              <w:spacing w:after="0"/>
            </w:pPr>
            <w:r>
              <w:rPr>
                <w:sz w:val="14"/>
              </w:rPr>
            </w:r>
            <w:r>
              <w:rPr>
                <w:rFonts w:ascii="Aptos" w:hAnsi="Aptos"/>
                <w:b w:val="0"/>
                <w:sz w:val="15"/>
              </w:rPr>
              <w:t>A.8.9</w:t>
            </w:r>
          </w:p>
        </w:tc>
        <w:tc>
          <w:tcPr>
            <w:tcW w:type="dxa" w:w="2376"/>
            <w:vAlign w:val="center"/>
          </w:tcPr>
          <w:p>
            <w:pPr>
              <w:spacing w:after="0"/>
            </w:pPr>
            <w:r>
              <w:rPr>
                <w:sz w:val="14"/>
              </w:rPr>
            </w:r>
            <w:r>
              <w:rPr>
                <w:rFonts w:ascii="Aptos" w:hAnsi="Aptos"/>
                <w:b w:val="0"/>
                <w:sz w:val="15"/>
              </w:rPr>
              <w:t>Are the limits of the lab environment documented?</w:t>
            </w:r>
          </w:p>
        </w:tc>
        <w:tc>
          <w:tcPr>
            <w:tcW w:type="dxa" w:w="1699"/>
            <w:vAlign w:val="center"/>
          </w:tcPr>
          <w:p>
            <w:r>
              <w:rPr>
                <w:sz w:val="14"/>
              </w:rPr>
            </w:r>
            <w:r>
              <w:rPr>
                <w:b w:val="0"/>
                <w:sz w:val="14"/>
              </w:rPr>
              <w:t>T-07 – Documentary and retained permission/identity evidence review</w:t>
            </w:r>
          </w:p>
        </w:tc>
        <w:tc>
          <w:tcPr>
            <w:tcW w:type="dxa" w:w="1469"/>
            <w:vAlign w:val="center"/>
          </w:tcPr>
          <w:p>
            <w:r>
              <w:rPr>
                <w:sz w:val="14"/>
              </w:rPr>
            </w:r>
            <w:r>
              <w:rPr>
                <w:b w:val="0"/>
                <w:sz w:val="14"/>
              </w:rPr>
              <w:t>Assumed-role/AccessDenied captures; scanner errors; qualified session narratives</w:t>
            </w:r>
          </w:p>
        </w:tc>
        <w:tc>
          <w:tcPr>
            <w:tcW w:type="dxa" w:w="1512"/>
            <w:vAlign w:val="center"/>
            <w:shd w:fill="E2F0D9"/>
          </w:tcPr>
          <w:p>
            <w:r>
              <w:rPr>
                <w:sz w:val="14"/>
              </w:rPr>
            </w:r>
            <w:r>
              <w:rPr>
                <w:b w:val="0"/>
                <w:sz w:val="14"/>
              </w:rPr>
              <w:t>COMPLETED</w:t>
            </w:r>
          </w:p>
        </w:tc>
        <w:tc>
          <w:tcPr>
            <w:tcW w:type="dxa" w:w="1613"/>
            <w:vAlign w:val="center"/>
            <w:shd w:fill="D9EAF7"/>
          </w:tcPr>
          <w:p>
            <w:r>
              <w:rPr>
                <w:sz w:val="14"/>
              </w:rPr>
            </w:r>
            <w:r>
              <w:rPr>
                <w:b w:val="0"/>
                <w:sz w:val="14"/>
              </w:rPr>
              <w:t>Compliant – limitations documented</w:t>
            </w:r>
          </w:p>
        </w:tc>
        <w:tc>
          <w:tcPr>
            <w:tcW w:type="dxa" w:w="979"/>
            <w:vAlign w:val="center"/>
          </w:tcPr>
          <w:p>
            <w:pPr>
              <w:spacing w:after="0"/>
            </w:pPr>
            <w:r>
              <w:rPr>
                <w:sz w:val="14"/>
              </w:rPr>
            </w:r>
            <w:r>
              <w:rPr>
                <w:rFonts w:ascii="Aptos" w:hAnsi="Aptos"/>
                <w:b w:val="0"/>
                <w:sz w:val="15"/>
              </w:rPr>
              <w:t>EV-007</w:t>
            </w:r>
          </w:p>
        </w:tc>
      </w:tr>
    </w:tbl>
    <w:p>
      <w:pPr>
        <w:spacing w:after="40"/>
      </w:pPr>
    </w:p>
    <w:p>
      <w:pPr>
        <w:pStyle w:val="Heading2"/>
        <w:keepNext/>
      </w:pPr>
      <w:r>
        <w:t>Detailed verification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4472C4"/>
          </w:tcPr>
          <w:p>
            <w:pPr>
              <w:spacing w:after="0"/>
            </w:pPr>
            <w:r>
              <w:rPr>
                <w:sz w:val="14"/>
              </w:rPr>
            </w:r>
            <w:r>
              <w:rPr>
                <w:rFonts w:ascii="Aptos" w:hAnsi="Aptos"/>
                <w:b/>
                <w:color w:val="FFFFFF"/>
                <w:sz w:val="16"/>
              </w:rPr>
              <w:t>Verification point</w:t>
            </w:r>
          </w:p>
        </w:tc>
        <w:tc>
          <w:tcPr>
            <w:tcW w:type="dxa" w:w="3552"/>
            <w:vAlign w:val="center"/>
            <w:shd w:fill="4472C4"/>
          </w:tcPr>
          <w:p>
            <w:pPr>
              <w:spacing w:after="0"/>
            </w:pPr>
            <w:r>
              <w:rPr>
                <w:sz w:val="14"/>
              </w:rPr>
            </w:r>
            <w:r>
              <w:rPr>
                <w:rFonts w:ascii="Aptos" w:hAnsi="Aptos"/>
                <w:b/>
                <w:color w:val="FFFFFF"/>
                <w:sz w:val="16"/>
              </w:rPr>
              <w:t>Observed evidence / result</w:t>
            </w:r>
          </w:p>
        </w:tc>
        <w:tc>
          <w:tcPr>
            <w:tcW w:type="dxa" w:w="3552"/>
            <w:vAlign w:val="center"/>
            <w:shd w:fill="4472C4"/>
          </w:tcPr>
          <w:p>
            <w:pPr>
              <w:spacing w:after="0"/>
            </w:pPr>
            <w:r>
              <w:rPr>
                <w:sz w:val="14"/>
              </w:rPr>
            </w:r>
            <w:r>
              <w:rPr>
                <w:rFonts w:ascii="Aptos" w:hAnsi="Aptos"/>
                <w:b/>
                <w:color w:val="FFFFFF"/>
                <w:sz w:val="16"/>
              </w:rPr>
              <w:t>Assessment</w:t>
            </w:r>
          </w:p>
        </w:tc>
      </w:tr>
      <w:tr>
        <w:trPr/>
        <w:tc>
          <w:tcPr>
            <w:tcW w:type="dxa" w:w="3552"/>
            <w:vAlign w:val="center"/>
          </w:tcPr>
          <w:p>
            <w:pPr>
              <w:spacing w:after="0"/>
            </w:pPr>
            <w:r>
              <w:rPr>
                <w:sz w:val="14"/>
              </w:rPr>
            </w:r>
            <w:r>
              <w:rPr>
                <w:rFonts w:ascii="Aptos" w:hAnsi="Aptos"/>
                <w:b w:val="0"/>
                <w:sz w:val="16"/>
              </w:rPr>
              <w:t>RDS capacity limitation</w:t>
            </w:r>
          </w:p>
        </w:tc>
        <w:tc>
          <w:tcPr>
            <w:tcW w:type="dxa" w:w="3552"/>
            <w:vAlign w:val="center"/>
          </w:tcPr>
          <w:p>
            <w:pPr>
              <w:spacing w:after="0"/>
            </w:pPr>
            <w:r>
              <w:rPr>
                <w:sz w:val="14"/>
              </w:rPr>
            </w:r>
            <w:r>
              <w:rPr>
                <w:rFonts w:ascii="Aptos" w:hAnsi="Aptos"/>
                <w:b w:val="0"/>
                <w:sz w:val="16"/>
              </w:rPr>
              <w:t>AWS returned that database-1 could not start because there was no capacity for db.t4g.micro in us-east-1a and advised retrying later.</w:t>
            </w:r>
          </w:p>
        </w:tc>
        <w:tc>
          <w:tcPr>
            <w:tcW w:type="dxa" w:w="3552"/>
            <w:vAlign w:val="center"/>
          </w:tcPr>
          <w:p>
            <w:pPr>
              <w:spacing w:after="0"/>
            </w:pPr>
            <w:r>
              <w:rPr>
                <w:sz w:val="14"/>
              </w:rPr>
            </w:r>
            <w:r>
              <w:rPr>
                <w:rFonts w:ascii="Aptos" w:hAnsi="Aptos"/>
                <w:b w:val="0"/>
                <w:sz w:val="16"/>
              </w:rPr>
              <w:t>DOCUMENTED IN SESSION NARRATIVE; PRIMARY CAPTURE ABSENT</w:t>
            </w:r>
          </w:p>
        </w:tc>
      </w:tr>
      <w:tr>
        <w:trPr/>
        <w:tc>
          <w:tcPr>
            <w:tcW w:type="dxa" w:w="3552"/>
            <w:vAlign w:val="center"/>
          </w:tcPr>
          <w:p>
            <w:pPr>
              <w:spacing w:after="0"/>
            </w:pPr>
            <w:r>
              <w:rPr>
                <w:sz w:val="14"/>
              </w:rPr>
            </w:r>
            <w:r>
              <w:rPr>
                <w:rFonts w:ascii="Aptos" w:hAnsi="Aptos"/>
                <w:b w:val="0"/>
                <w:sz w:val="16"/>
              </w:rPr>
              <w:t>Audit impact of RDS capacity</w:t>
            </w:r>
          </w:p>
        </w:tc>
        <w:tc>
          <w:tcPr>
            <w:tcW w:type="dxa" w:w="3552"/>
            <w:vAlign w:val="center"/>
          </w:tcPr>
          <w:p>
            <w:pPr>
              <w:spacing w:after="0"/>
            </w:pPr>
            <w:r>
              <w:rPr>
                <w:sz w:val="14"/>
              </w:rPr>
            </w:r>
            <w:r>
              <w:rPr>
                <w:rFonts w:ascii="Aptos" w:hAnsi="Aptos"/>
                <w:b w:val="0"/>
                <w:sz w:val="16"/>
              </w:rPr>
              <w:t>The database can be unavailable for testing without a configuration change by the team, affecting repeatability and availability of evidence.</w:t>
            </w:r>
          </w:p>
        </w:tc>
        <w:tc>
          <w:tcPr>
            <w:tcW w:type="dxa" w:w="3552"/>
            <w:vAlign w:val="center"/>
          </w:tcPr>
          <w:p>
            <w:pPr>
              <w:spacing w:after="0"/>
            </w:pPr>
            <w:r>
              <w:rPr>
                <w:sz w:val="14"/>
              </w:rPr>
            </w:r>
            <w:r>
              <w:rPr>
                <w:rFonts w:ascii="Aptos" w:hAnsi="Aptos"/>
                <w:b w:val="0"/>
                <w:sz w:val="16"/>
              </w:rPr>
              <w:t>AUDIT IMPACT</w:t>
            </w:r>
          </w:p>
        </w:tc>
      </w:tr>
      <w:tr>
        <w:trPr/>
        <w:tc>
          <w:tcPr>
            <w:tcW w:type="dxa" w:w="3552"/>
            <w:vAlign w:val="center"/>
          </w:tcPr>
          <w:p>
            <w:pPr>
              <w:spacing w:after="0"/>
            </w:pPr>
            <w:r>
              <w:rPr>
                <w:sz w:val="14"/>
              </w:rPr>
            </w:r>
            <w:r>
              <w:rPr>
                <w:rFonts w:ascii="Aptos" w:hAnsi="Aptos"/>
                <w:b w:val="0"/>
                <w:sz w:val="16"/>
              </w:rPr>
              <w:t>Unexpected EC2 restart</w:t>
            </w:r>
          </w:p>
        </w:tc>
        <w:tc>
          <w:tcPr>
            <w:tcW w:type="dxa" w:w="3552"/>
            <w:vAlign w:val="center"/>
          </w:tcPr>
          <w:p>
            <w:pPr>
              <w:spacing w:after="0"/>
            </w:pPr>
            <w:r>
              <w:rPr>
                <w:sz w:val="14"/>
              </w:rPr>
            </w:r>
            <w:r>
              <w:rPr>
                <w:rFonts w:ascii="Aptos" w:hAnsi="Aptos"/>
                <w:b w:val="0"/>
                <w:sz w:val="16"/>
              </w:rPr>
              <w:t>CloudTrail recorded StartInstances for i-03687e15b74af60a4 on 09 Oct 2026 at 02:40:22 UTC+02.</w:t>
            </w:r>
          </w:p>
        </w:tc>
        <w:tc>
          <w:tcPr>
            <w:tcW w:type="dxa" w:w="3552"/>
            <w:vAlign w:val="center"/>
          </w:tcPr>
          <w:p>
            <w:pPr>
              <w:spacing w:after="0"/>
            </w:pPr>
            <w:r>
              <w:rPr>
                <w:sz w:val="14"/>
              </w:rPr>
            </w:r>
            <w:r>
              <w:rPr>
                <w:rFonts w:ascii="Aptos" w:hAnsi="Aptos"/>
                <w:b w:val="0"/>
                <w:sz w:val="16"/>
              </w:rPr>
              <w:t>DOCUMENTED IN SESSION NARRATIVE; EVENT EXPORT ABSENT</w:t>
            </w:r>
          </w:p>
        </w:tc>
      </w:tr>
      <w:tr>
        <w:trPr/>
        <w:tc>
          <w:tcPr>
            <w:tcW w:type="dxa" w:w="3552"/>
            <w:vAlign w:val="center"/>
          </w:tcPr>
          <w:p>
            <w:pPr>
              <w:spacing w:after="0"/>
            </w:pPr>
            <w:r>
              <w:rPr>
                <w:sz w:val="14"/>
              </w:rPr>
            </w:r>
            <w:r>
              <w:rPr>
                <w:rFonts w:ascii="Aptos" w:hAnsi="Aptos"/>
                <w:b w:val="0"/>
                <w:sz w:val="16"/>
              </w:rPr>
              <w:t>Actor recorded by CloudTrail</w:t>
            </w:r>
          </w:p>
        </w:tc>
        <w:tc>
          <w:tcPr>
            <w:tcW w:type="dxa" w:w="3552"/>
            <w:vAlign w:val="center"/>
          </w:tcPr>
          <w:p>
            <w:pPr>
              <w:spacing w:after="0"/>
            </w:pPr>
            <w:r>
              <w:rPr>
                <w:sz w:val="14"/>
              </w:rPr>
            </w:r>
            <w:r>
              <w:rPr>
                <w:rFonts w:ascii="Aptos" w:hAnsi="Aptos"/>
                <w:b w:val="0"/>
                <w:sz w:val="16"/>
              </w:rPr>
              <w:t>The event was issued by assumed-role/vocareum/sys6680793 using the Vocareum role and an AWS SDK for PHP user agent.</w:t>
            </w:r>
          </w:p>
        </w:tc>
        <w:tc>
          <w:tcPr>
            <w:tcW w:type="dxa" w:w="3552"/>
            <w:vAlign w:val="center"/>
          </w:tcPr>
          <w:p>
            <w:pPr>
              <w:spacing w:after="0"/>
            </w:pPr>
            <w:r>
              <w:rPr>
                <w:sz w:val="14"/>
              </w:rPr>
            </w:r>
            <w:r>
              <w:rPr>
                <w:rFonts w:ascii="Aptos" w:hAnsi="Aptos"/>
                <w:b w:val="0"/>
                <w:sz w:val="16"/>
              </w:rPr>
              <w:t>SECONDARY SESSION NARRATIVE; ORIGINAL EVENT ABSENT</w:t>
            </w:r>
          </w:p>
        </w:tc>
      </w:tr>
      <w:tr>
        <w:trPr/>
        <w:tc>
          <w:tcPr>
            <w:tcW w:type="dxa" w:w="3552"/>
            <w:vAlign w:val="center"/>
          </w:tcPr>
          <w:p>
            <w:pPr>
              <w:spacing w:after="0"/>
            </w:pPr>
            <w:r>
              <w:rPr>
                <w:sz w:val="14"/>
              </w:rPr>
            </w:r>
            <w:r>
              <w:rPr>
                <w:rFonts w:ascii="Aptos" w:hAnsi="Aptos"/>
                <w:b w:val="0"/>
                <w:sz w:val="16"/>
              </w:rPr>
              <w:t>Interpretation boundary</w:t>
            </w:r>
          </w:p>
        </w:tc>
        <w:tc>
          <w:tcPr>
            <w:tcW w:type="dxa" w:w="3552"/>
            <w:vAlign w:val="center"/>
          </w:tcPr>
          <w:p>
            <w:pPr>
              <w:spacing w:after="0"/>
            </w:pPr>
            <w:r>
              <w:rPr>
                <w:sz w:val="14"/>
              </w:rPr>
            </w:r>
            <w:r>
              <w:rPr>
                <w:rFonts w:ascii="Aptos" w:hAnsi="Aptos"/>
                <w:b w:val="0"/>
                <w:sz w:val="16"/>
              </w:rPr>
              <w:t>The retained narrative attributes the event to a Vocareum assumed role; without the original event export, the attribution and exact platform workflow cannot be independently verified from this folder.</w:t>
            </w:r>
          </w:p>
        </w:tc>
        <w:tc>
          <w:tcPr>
            <w:tcW w:type="dxa" w:w="3552"/>
            <w:vAlign w:val="center"/>
          </w:tcPr>
          <w:p>
            <w:pPr>
              <w:spacing w:after="0"/>
            </w:pPr>
            <w:r>
              <w:rPr>
                <w:sz w:val="14"/>
              </w:rPr>
            </w:r>
            <w:r>
              <w:rPr>
                <w:rFonts w:ascii="Aptos" w:hAnsi="Aptos"/>
                <w:b w:val="0"/>
                <w:sz w:val="16"/>
              </w:rPr>
              <w:t>LIMITATION / DO NOT OVERCLAIM</w:t>
            </w:r>
          </w:p>
        </w:tc>
      </w:tr>
      <w:tr>
        <w:trPr/>
        <w:tc>
          <w:tcPr>
            <w:tcW w:type="dxa" w:w="3552"/>
            <w:vAlign w:val="center"/>
          </w:tcPr>
          <w:p>
            <w:pPr>
              <w:spacing w:after="0"/>
            </w:pPr>
            <w:r>
              <w:rPr>
                <w:sz w:val="14"/>
              </w:rPr>
            </w:r>
            <w:r>
              <w:rPr>
                <w:rFonts w:ascii="Aptos" w:hAnsi="Aptos"/>
                <w:b w:val="0"/>
                <w:sz w:val="16"/>
              </w:rPr>
              <w:t>Local audit-tool environment</w:t>
            </w:r>
          </w:p>
        </w:tc>
        <w:tc>
          <w:tcPr>
            <w:tcW w:type="dxa" w:w="3552"/>
            <w:vAlign w:val="center"/>
          </w:tcPr>
          <w:p>
            <w:pPr>
              <w:spacing w:after="0"/>
            </w:pPr>
            <w:r>
              <w:rPr>
                <w:sz w:val="14"/>
              </w:rPr>
            </w:r>
            <w:r>
              <w:rPr>
                <w:rFonts w:ascii="Aptos" w:hAnsi="Aptos"/>
                <w:b w:val="0"/>
                <w:sz w:val="16"/>
              </w:rPr>
              <w:t>During Prowler installation, the WSL filesystem temporarily became read-only and produced I/O errors. This is a local workstation limitation, not an AWS security finding.</w:t>
            </w:r>
          </w:p>
        </w:tc>
        <w:tc>
          <w:tcPr>
            <w:tcW w:type="dxa" w:w="3552"/>
            <w:vAlign w:val="center"/>
          </w:tcPr>
          <w:p>
            <w:pPr>
              <w:spacing w:after="0"/>
            </w:pPr>
            <w:r>
              <w:rPr>
                <w:sz w:val="14"/>
              </w:rPr>
            </w:r>
            <w:r>
              <w:rPr>
                <w:rFonts w:ascii="Aptos" w:hAnsi="Aptos"/>
                <w:b w:val="0"/>
                <w:sz w:val="16"/>
              </w:rPr>
              <w:t>TOOLING LIMITATION</w:t>
            </w:r>
          </w:p>
        </w:tc>
      </w:tr>
      <w:tr>
        <w:trPr/>
        <w:tc>
          <w:tcPr>
            <w:tcW w:type="dxa" w:w="3552"/>
            <w:vAlign w:val="center"/>
          </w:tcPr>
          <w:p>
            <w:r>
              <w:rPr>
                <w:sz w:val="14"/>
              </w:rPr>
            </w:r>
            <w:r>
              <w:rPr>
                <w:b w:val="0"/>
                <w:sz w:val="15"/>
              </w:rPr>
              <w:t>Assumed-role access model</w:t>
            </w:r>
          </w:p>
        </w:tc>
        <w:tc>
          <w:tcPr>
            <w:tcW w:type="dxa" w:w="3552"/>
            <w:vAlign w:val="center"/>
          </w:tcPr>
          <w:p>
            <w:r>
              <w:rPr>
                <w:sz w:val="14"/>
              </w:rPr>
            </w:r>
            <w:r>
              <w:rPr>
                <w:b w:val="0"/>
                <w:sz w:val="15"/>
              </w:rPr>
              <w:t>AWS account access is provided through a temporary AWS STS assumed role managed by AWS Academy/Vocareum rather than a permanent IAM user controlled by the team.</w:t>
            </w:r>
          </w:p>
        </w:tc>
        <w:tc>
          <w:tcPr>
            <w:tcW w:type="dxa" w:w="3552"/>
            <w:vAlign w:val="center"/>
          </w:tcPr>
          <w:p>
            <w:r>
              <w:rPr>
                <w:sz w:val="14"/>
              </w:rPr>
            </w:r>
            <w:r>
              <w:rPr>
                <w:b w:val="0"/>
                <w:sz w:val="15"/>
              </w:rPr>
              <w:t>CONFIRMED LIMITATION</w:t>
            </w:r>
          </w:p>
        </w:tc>
      </w:tr>
      <w:tr>
        <w:trPr/>
        <w:tc>
          <w:tcPr>
            <w:tcW w:type="dxa" w:w="3552"/>
            <w:vAlign w:val="center"/>
          </w:tcPr>
          <w:p>
            <w:r>
              <w:rPr>
                <w:sz w:val="14"/>
              </w:rPr>
            </w:r>
            <w:r>
              <w:rPr>
                <w:b w:val="0"/>
                <w:sz w:val="15"/>
              </w:rPr>
              <w:t>CloudTrail → CloudWatch permission denial</w:t>
            </w:r>
          </w:p>
        </w:tc>
        <w:tc>
          <w:tcPr>
            <w:tcW w:type="dxa" w:w="3552"/>
            <w:vAlign w:val="center"/>
          </w:tcPr>
          <w:p>
            <w:r>
              <w:rPr>
                <w:sz w:val="14"/>
              </w:rPr>
            </w:r>
            <w:r>
              <w:rPr>
                <w:b w:val="0"/>
                <w:sz w:val="15"/>
              </w:rPr>
              <w:t>While configuring the trail with an existing CloudWatch Logs group, the role was denied iam:AttachRolePolicy on LabRole.</w:t>
            </w:r>
          </w:p>
        </w:tc>
        <w:tc>
          <w:tcPr>
            <w:tcW w:type="dxa" w:w="3552"/>
            <w:vAlign w:val="center"/>
          </w:tcPr>
          <w:p>
            <w:r>
              <w:rPr>
                <w:sz w:val="14"/>
              </w:rPr>
            </w:r>
            <w:r>
              <w:rPr>
                <w:b w:val="0"/>
                <w:sz w:val="15"/>
              </w:rPr>
              <w:t>CONFIRMED LIMITATION</w:t>
            </w:r>
          </w:p>
        </w:tc>
      </w:tr>
      <w:tr>
        <w:trPr/>
        <w:tc>
          <w:tcPr>
            <w:tcW w:type="dxa" w:w="3552"/>
            <w:vAlign w:val="center"/>
          </w:tcPr>
          <w:p>
            <w:r>
              <w:rPr>
                <w:sz w:val="14"/>
              </w:rPr>
            </w:r>
            <w:r>
              <w:rPr>
                <w:b w:val="0"/>
                <w:sz w:val="15"/>
              </w:rPr>
              <w:t>CloudTrail console restriction</w:t>
            </w:r>
          </w:p>
        </w:tc>
        <w:tc>
          <w:tcPr>
            <w:tcW w:type="dxa" w:w="3552"/>
            <w:vAlign w:val="center"/>
          </w:tcPr>
          <w:p>
            <w:r>
              <w:rPr>
                <w:sz w:val="14"/>
              </w:rPr>
            </w:r>
            <w:r>
              <w:rPr>
                <w:b w:val="0"/>
                <w:sz w:val="15"/>
              </w:rPr>
              <w:t>The CloudTrail console displayed AccessDeniedException: “You do not have permissions to access this resource.”</w:t>
            </w:r>
          </w:p>
        </w:tc>
        <w:tc>
          <w:tcPr>
            <w:tcW w:type="dxa" w:w="3552"/>
            <w:vAlign w:val="center"/>
          </w:tcPr>
          <w:p>
            <w:r>
              <w:rPr>
                <w:sz w:val="14"/>
              </w:rPr>
            </w:r>
            <w:r>
              <w:rPr>
                <w:b w:val="0"/>
                <w:sz w:val="15"/>
              </w:rPr>
              <w:t>CONFIRMED LIMITATION</w:t>
            </w:r>
          </w:p>
        </w:tc>
      </w:tr>
      <w:tr>
        <w:trPr/>
        <w:tc>
          <w:tcPr>
            <w:tcW w:type="dxa" w:w="3552"/>
            <w:vAlign w:val="center"/>
          </w:tcPr>
          <w:p>
            <w:r>
              <w:rPr>
                <w:sz w:val="14"/>
              </w:rPr>
            </w:r>
            <w:r>
              <w:rPr>
                <w:b w:val="0"/>
                <w:sz w:val="15"/>
              </w:rPr>
              <w:t>IAM user creation restriction</w:t>
            </w:r>
          </w:p>
        </w:tc>
        <w:tc>
          <w:tcPr>
            <w:tcW w:type="dxa" w:w="3552"/>
            <w:vAlign w:val="center"/>
          </w:tcPr>
          <w:p>
            <w:r>
              <w:rPr>
                <w:sz w:val="14"/>
              </w:rPr>
            </w:r>
            <w:r>
              <w:rPr>
                <w:b w:val="0"/>
                <w:sz w:val="15"/>
              </w:rPr>
              <w:t>Attempting to create an IAM user was denied because the Vocareum assumed role is not authorised to perform iam:CreateUser.</w:t>
            </w:r>
          </w:p>
        </w:tc>
        <w:tc>
          <w:tcPr>
            <w:tcW w:type="dxa" w:w="3552"/>
            <w:vAlign w:val="center"/>
          </w:tcPr>
          <w:p>
            <w:r>
              <w:rPr>
                <w:sz w:val="14"/>
              </w:rPr>
            </w:r>
            <w:r>
              <w:rPr>
                <w:b w:val="0"/>
                <w:sz w:val="15"/>
              </w:rPr>
              <w:t>CONFIRMED LIMITATION</w:t>
            </w:r>
          </w:p>
        </w:tc>
      </w:tr>
      <w:tr>
        <w:trPr/>
        <w:tc>
          <w:tcPr>
            <w:tcW w:type="dxa" w:w="3552"/>
            <w:vAlign w:val="center"/>
          </w:tcPr>
          <w:p>
            <w:r>
              <w:rPr>
                <w:sz w:val="14"/>
              </w:rPr>
            </w:r>
            <w:r>
              <w:rPr>
                <w:b w:val="0"/>
                <w:sz w:val="15"/>
              </w:rPr>
              <w:t>Scanner visibility limitation</w:t>
            </w:r>
          </w:p>
        </w:tc>
        <w:tc>
          <w:tcPr>
            <w:tcW w:type="dxa" w:w="3552"/>
            <w:vAlign w:val="center"/>
          </w:tcPr>
          <w:p>
            <w:r>
              <w:rPr>
                <w:sz w:val="14"/>
              </w:rPr>
            </w:r>
            <w:r>
              <w:rPr>
                <w:b w:val="0"/>
                <w:sz w:val="15"/>
              </w:rPr>
              <w:t>Prowler reported that the Secrets Manager resource policy may be absent or access to the policy may be denied for the voclabs role; the result is therefore treated as inconclusive rather than a confirmed secret-policy weakness.</w:t>
            </w:r>
          </w:p>
        </w:tc>
        <w:tc>
          <w:tcPr>
            <w:tcW w:type="dxa" w:w="3552"/>
            <w:vAlign w:val="center"/>
          </w:tcPr>
          <w:p>
            <w:r>
              <w:rPr>
                <w:sz w:val="14"/>
              </w:rPr>
            </w:r>
            <w:r>
              <w:rPr>
                <w:b w:val="0"/>
                <w:sz w:val="15"/>
              </w:rPr>
              <w:t>CONFIRMED AUDIT LIMIT</w:t>
            </w:r>
          </w:p>
        </w:tc>
      </w:tr>
      <w:tr>
        <w:trPr/>
        <w:tc>
          <w:tcPr>
            <w:tcW w:type="dxa" w:w="3552"/>
            <w:vAlign w:val="center"/>
          </w:tcPr>
          <w:p>
            <w:r>
              <w:rPr>
                <w:sz w:val="14"/>
              </w:rPr>
            </w:r>
            <w:r>
              <w:rPr>
                <w:b w:val="0"/>
                <w:sz w:val="15"/>
              </w:rPr>
              <w:t>Lab-managed IAM findings</w:t>
            </w:r>
          </w:p>
        </w:tc>
        <w:tc>
          <w:tcPr>
            <w:tcW w:type="dxa" w:w="3552"/>
            <w:vAlign w:val="center"/>
          </w:tcPr>
          <w:p>
            <w:r>
              <w:rPr>
                <w:sz w:val="14"/>
              </w:rPr>
            </w:r>
            <w:r>
              <w:rPr>
                <w:b w:val="0"/>
                <w:sz w:val="15"/>
              </w:rPr>
              <w:t>Prowler/ScoutSuite identify elevated or weak account-level IAM settings. Because the Academy identity model and IAM administration are platform controlled, these are documented as environment observations unless project ownership is established.</w:t>
            </w:r>
          </w:p>
        </w:tc>
        <w:tc>
          <w:tcPr>
            <w:tcW w:type="dxa" w:w="3552"/>
            <w:vAlign w:val="center"/>
          </w:tcPr>
          <w:p>
            <w:r>
              <w:rPr>
                <w:sz w:val="14"/>
              </w:rPr>
            </w:r>
            <w:r>
              <w:rPr>
                <w:b w:val="0"/>
                <w:sz w:val="15"/>
              </w:rPr>
              <w:t>LAB CONTEXT</w:t>
            </w:r>
          </w:p>
        </w:tc>
      </w:tr>
    </w:tbl>
    <w:p>
      <w:pPr>
        <w:pStyle w:val="Heading2"/>
        <w:keepNext/>
      </w:pPr>
      <w:r>
        <w:t>Findings / observations</w:t>
      </w:r>
    </w:p>
    <w:tbl>
      <w:tblPr>
        <w:tblStyle w:val="TableGrid"/>
        <w:tblW w:type="auto" w:w="0"/>
        <w:jc w:val="center"/>
        <w:tblLook w:firstColumn="1" w:firstRow="1" w:lastColumn="0" w:lastRow="0" w:noHBand="0" w:noVBand="1" w:val="04A0"/>
      </w:tblPr>
      <w:tblGrid>
        <w:gridCol w:w="2664"/>
        <w:gridCol w:w="2664"/>
        <w:gridCol w:w="2664"/>
        <w:gridCol w:w="2664"/>
      </w:tblGrid>
      <w:tr>
        <w:trPr/>
        <w:tc>
          <w:tcPr>
            <w:tcW w:type="dxa" w:w="2664"/>
            <w:vAlign w:val="center"/>
            <w:shd w:fill="7F6000"/>
          </w:tcPr>
          <w:p>
            <w:pPr>
              <w:spacing w:after="0"/>
            </w:pPr>
            <w:r>
              <w:rPr>
                <w:sz w:val="14"/>
              </w:rPr>
            </w:r>
            <w:r>
              <w:rPr>
                <w:rFonts w:ascii="Aptos" w:hAnsi="Aptos"/>
                <w:b/>
                <w:color w:val="FFFFFF"/>
                <w:sz w:val="16"/>
              </w:rPr>
              <w:t>Ref.</w:t>
            </w:r>
          </w:p>
        </w:tc>
        <w:tc>
          <w:tcPr>
            <w:tcW w:type="dxa" w:w="2664"/>
            <w:vAlign w:val="center"/>
            <w:shd w:fill="7F6000"/>
          </w:tcPr>
          <w:p>
            <w:pPr>
              <w:spacing w:after="0"/>
            </w:pPr>
            <w:r>
              <w:rPr>
                <w:sz w:val="14"/>
              </w:rPr>
            </w:r>
            <w:r>
              <w:rPr>
                <w:rFonts w:ascii="Aptos" w:hAnsi="Aptos"/>
                <w:b/>
                <w:color w:val="FFFFFF"/>
                <w:sz w:val="16"/>
              </w:rPr>
              <w:t>Finding / observation</w:t>
            </w:r>
          </w:p>
        </w:tc>
        <w:tc>
          <w:tcPr>
            <w:tcW w:type="dxa" w:w="2664"/>
            <w:vAlign w:val="center"/>
            <w:shd w:fill="7F6000"/>
          </w:tcPr>
          <w:p>
            <w:pPr>
              <w:spacing w:after="0"/>
            </w:pPr>
            <w:r>
              <w:rPr>
                <w:sz w:val="14"/>
              </w:rPr>
            </w:r>
            <w:r>
              <w:rPr>
                <w:rFonts w:ascii="Aptos" w:hAnsi="Aptos"/>
                <w:b/>
                <w:color w:val="FFFFFF"/>
                <w:sz w:val="16"/>
              </w:rPr>
              <w:t>Rating</w:t>
            </w:r>
          </w:p>
        </w:tc>
        <w:tc>
          <w:tcPr>
            <w:tcW w:type="dxa" w:w="2664"/>
            <w:vAlign w:val="center"/>
            <w:shd w:fill="7F6000"/>
          </w:tcPr>
          <w:p>
            <w:pPr>
              <w:spacing w:after="0"/>
            </w:pPr>
            <w:r>
              <w:rPr>
                <w:sz w:val="14"/>
              </w:rPr>
            </w:r>
            <w:r>
              <w:rPr>
                <w:rFonts w:ascii="Aptos" w:hAnsi="Aptos"/>
                <w:b/>
                <w:color w:val="FFFFFF"/>
                <w:sz w:val="16"/>
              </w:rPr>
              <w:t>Recommended treatment</w:t>
            </w:r>
          </w:p>
        </w:tc>
      </w:tr>
      <w:tr>
        <w:trPr/>
        <w:tc>
          <w:tcPr>
            <w:tcW w:type="dxa" w:w="2664"/>
            <w:vAlign w:val="center"/>
          </w:tcPr>
          <w:p>
            <w:pPr>
              <w:spacing w:after="0"/>
            </w:pPr>
            <w:r>
              <w:rPr>
                <w:sz w:val="14"/>
              </w:rPr>
            </w:r>
            <w:r>
              <w:rPr>
                <w:rFonts w:ascii="Aptos" w:hAnsi="Aptos"/>
                <w:b w:val="0"/>
                <w:sz w:val="16"/>
              </w:rPr>
              <w:t>L-01</w:t>
            </w:r>
          </w:p>
        </w:tc>
        <w:tc>
          <w:tcPr>
            <w:tcW w:type="dxa" w:w="2664"/>
            <w:vAlign w:val="center"/>
          </w:tcPr>
          <w:p>
            <w:pPr>
              <w:spacing w:after="0"/>
            </w:pPr>
            <w:r>
              <w:rPr>
                <w:sz w:val="14"/>
              </w:rPr>
            </w:r>
            <w:r>
              <w:rPr>
                <w:rFonts w:ascii="Aptos" w:hAnsi="Aptos"/>
                <w:b w:val="0"/>
                <w:sz w:val="16"/>
              </w:rPr>
              <w:t>No db.t4g.micro capacity was available in us-east-1a when database-1 was started.</w:t>
            </w:r>
          </w:p>
        </w:tc>
        <w:tc>
          <w:tcPr>
            <w:tcW w:type="dxa" w:w="2664"/>
            <w:vAlign w:val="center"/>
          </w:tcPr>
          <w:p>
            <w:pPr>
              <w:spacing w:after="0"/>
            </w:pPr>
            <w:r>
              <w:rPr>
                <w:sz w:val="14"/>
              </w:rPr>
            </w:r>
            <w:r>
              <w:rPr>
                <w:rFonts w:ascii="Aptos" w:hAnsi="Aptos"/>
                <w:b w:val="0"/>
                <w:sz w:val="16"/>
              </w:rPr>
              <w:t>Provider capacity limitation</w:t>
            </w:r>
          </w:p>
        </w:tc>
        <w:tc>
          <w:tcPr>
            <w:tcW w:type="dxa" w:w="2664"/>
            <w:vAlign w:val="center"/>
          </w:tcPr>
          <w:p>
            <w:pPr>
              <w:spacing w:after="0"/>
            </w:pPr>
            <w:r>
              <w:rPr>
                <w:sz w:val="14"/>
              </w:rPr>
            </w:r>
            <w:r>
              <w:rPr>
                <w:rFonts w:ascii="Aptos" w:hAnsi="Aptos"/>
                <w:b w:val="0"/>
                <w:sz w:val="16"/>
              </w:rPr>
              <w:t>Document and retry later; do not classify as a configuration nonconformity.</w:t>
            </w:r>
          </w:p>
        </w:tc>
      </w:tr>
      <w:tr>
        <w:trPr/>
        <w:tc>
          <w:tcPr>
            <w:tcW w:type="dxa" w:w="2664"/>
            <w:vAlign w:val="center"/>
          </w:tcPr>
          <w:p>
            <w:pPr>
              <w:spacing w:after="0"/>
            </w:pPr>
            <w:r>
              <w:rPr>
                <w:sz w:val="14"/>
              </w:rPr>
            </w:r>
            <w:r>
              <w:rPr>
                <w:rFonts w:ascii="Aptos" w:hAnsi="Aptos"/>
                <w:b w:val="0"/>
                <w:sz w:val="16"/>
              </w:rPr>
              <w:t>L-02</w:t>
            </w:r>
          </w:p>
        </w:tc>
        <w:tc>
          <w:tcPr>
            <w:tcW w:type="dxa" w:w="2664"/>
            <w:vAlign w:val="center"/>
          </w:tcPr>
          <w:p>
            <w:pPr>
              <w:spacing w:after="0"/>
            </w:pPr>
            <w:r>
              <w:rPr>
                <w:sz w:val="14"/>
              </w:rPr>
            </w:r>
            <w:r>
              <w:rPr>
                <w:rFonts w:ascii="Aptos" w:hAnsi="Aptos"/>
                <w:b w:val="0"/>
                <w:sz w:val="16"/>
              </w:rPr>
              <w:t>A Vocareum assumed role issued StartInstances against the audited EC2 instance after it had been stopped.</w:t>
            </w:r>
          </w:p>
        </w:tc>
        <w:tc>
          <w:tcPr>
            <w:tcW w:type="dxa" w:w="2664"/>
            <w:vAlign w:val="center"/>
          </w:tcPr>
          <w:p>
            <w:pPr>
              <w:spacing w:after="0"/>
            </w:pPr>
            <w:r>
              <w:rPr>
                <w:sz w:val="14"/>
              </w:rPr>
            </w:r>
            <w:r>
              <w:rPr>
                <w:rFonts w:ascii="Aptos" w:hAnsi="Aptos"/>
                <w:b w:val="0"/>
                <w:sz w:val="16"/>
              </w:rPr>
              <w:t>Lab-platform managed behavior</w:t>
            </w:r>
          </w:p>
        </w:tc>
        <w:tc>
          <w:tcPr>
            <w:tcW w:type="dxa" w:w="2664"/>
            <w:vAlign w:val="center"/>
          </w:tcPr>
          <w:p>
            <w:pPr>
              <w:spacing w:after="0"/>
            </w:pPr>
            <w:r>
              <w:rPr>
                <w:sz w:val="14"/>
              </w:rPr>
            </w:r>
            <w:r>
              <w:rPr>
                <w:rFonts w:ascii="Aptos" w:hAnsi="Aptos"/>
                <w:b w:val="0"/>
                <w:sz w:val="16"/>
              </w:rPr>
              <w:t>Primary CloudTrail event export is absent; retain this session narrative as a secondary record and account for possible provider-managed state changes without asserting the exact workflow.</w:t>
            </w:r>
          </w:p>
        </w:tc>
      </w:tr>
      <w:tr>
        <w:trPr/>
        <w:tc>
          <w:tcPr>
            <w:tcW w:type="dxa" w:w="2664"/>
            <w:vAlign w:val="center"/>
          </w:tcPr>
          <w:p>
            <w:pPr>
              <w:spacing w:after="0"/>
            </w:pPr>
            <w:r>
              <w:rPr>
                <w:sz w:val="14"/>
              </w:rPr>
            </w:r>
            <w:r>
              <w:rPr>
                <w:rFonts w:ascii="Aptos" w:hAnsi="Aptos"/>
                <w:b w:val="0"/>
                <w:sz w:val="16"/>
              </w:rPr>
              <w:t>L-03</w:t>
            </w:r>
          </w:p>
        </w:tc>
        <w:tc>
          <w:tcPr>
            <w:tcW w:type="dxa" w:w="2664"/>
            <w:vAlign w:val="center"/>
          </w:tcPr>
          <w:p>
            <w:pPr>
              <w:spacing w:after="0"/>
            </w:pPr>
            <w:r>
              <w:rPr>
                <w:sz w:val="14"/>
              </w:rPr>
            </w:r>
            <w:r>
              <w:rPr>
                <w:rFonts w:ascii="Aptos" w:hAnsi="Aptos"/>
                <w:b w:val="0"/>
                <w:sz w:val="16"/>
              </w:rPr>
              <w:t>Local WSL filesystem became read-only during tool installation.</w:t>
            </w:r>
          </w:p>
        </w:tc>
        <w:tc>
          <w:tcPr>
            <w:tcW w:type="dxa" w:w="2664"/>
            <w:vAlign w:val="center"/>
          </w:tcPr>
          <w:p>
            <w:pPr>
              <w:spacing w:after="0"/>
            </w:pPr>
            <w:r>
              <w:rPr>
                <w:sz w:val="14"/>
              </w:rPr>
            </w:r>
            <w:r>
              <w:rPr>
                <w:rFonts w:ascii="Aptos" w:hAnsi="Aptos"/>
                <w:b w:val="0"/>
                <w:sz w:val="16"/>
              </w:rPr>
              <w:t>Local tooling limitation</w:t>
            </w:r>
          </w:p>
        </w:tc>
        <w:tc>
          <w:tcPr>
            <w:tcW w:type="dxa" w:w="2664"/>
            <w:vAlign w:val="center"/>
          </w:tcPr>
          <w:p>
            <w:pPr>
              <w:spacing w:after="0"/>
            </w:pPr>
            <w:r>
              <w:rPr>
                <w:sz w:val="14"/>
              </w:rPr>
            </w:r>
            <w:r>
              <w:rPr>
                <w:rFonts w:ascii="Aptos" w:hAnsi="Aptos"/>
                <w:b w:val="0"/>
                <w:sz w:val="16"/>
              </w:rPr>
              <w:t>Keep separate from AWS findings; use a stable local environment for repeat scans.</w:t>
            </w:r>
          </w:p>
        </w:tc>
      </w:tr>
      <w:tr>
        <w:trPr/>
        <w:tc>
          <w:tcPr>
            <w:tcW w:type="dxa" w:w="2664"/>
            <w:vAlign w:val="center"/>
          </w:tcPr>
          <w:p>
            <w:r>
              <w:rPr>
                <w:sz w:val="14"/>
              </w:rPr>
            </w:r>
            <w:r>
              <w:rPr>
                <w:b w:val="0"/>
                <w:sz w:val="15"/>
              </w:rPr>
              <w:t>L-04</w:t>
            </w:r>
          </w:p>
        </w:tc>
        <w:tc>
          <w:tcPr>
            <w:tcW w:type="dxa" w:w="2664"/>
            <w:vAlign w:val="center"/>
          </w:tcPr>
          <w:p>
            <w:r>
              <w:rPr>
                <w:sz w:val="14"/>
              </w:rPr>
            </w:r>
            <w:r>
              <w:rPr>
                <w:b w:val="0"/>
                <w:sz w:val="15"/>
              </w:rPr>
              <w:t>iam:AttachRolePolicy was denied while attempting CloudTrail-to-CloudWatch Logs integration.</w:t>
            </w:r>
          </w:p>
        </w:tc>
        <w:tc>
          <w:tcPr>
            <w:tcW w:type="dxa" w:w="2664"/>
            <w:vAlign w:val="center"/>
          </w:tcPr>
          <w:p>
            <w:r>
              <w:rPr>
                <w:sz w:val="14"/>
              </w:rPr>
            </w:r>
            <w:r>
              <w:rPr>
                <w:b w:val="0"/>
                <w:sz w:val="15"/>
              </w:rPr>
              <w:t>Learner Lab IAM restriction</w:t>
            </w:r>
          </w:p>
        </w:tc>
        <w:tc>
          <w:tcPr>
            <w:tcW w:type="dxa" w:w="2664"/>
            <w:vAlign w:val="center"/>
          </w:tcPr>
          <w:p>
            <w:r>
              <w:rPr>
                <w:sz w:val="14"/>
              </w:rPr>
            </w:r>
            <w:r>
              <w:rPr>
                <w:b w:val="0"/>
                <w:sz w:val="15"/>
              </w:rPr>
              <w:t>Keep the AccessDenied screenshot as EV-007 and treat the missing integration as a platform constraint.</w:t>
            </w:r>
          </w:p>
        </w:tc>
      </w:tr>
      <w:tr>
        <w:trPr/>
        <w:tc>
          <w:tcPr>
            <w:tcW w:type="dxa" w:w="2664"/>
            <w:vAlign w:val="center"/>
          </w:tcPr>
          <w:p>
            <w:r>
              <w:rPr>
                <w:sz w:val="14"/>
              </w:rPr>
            </w:r>
            <w:r>
              <w:rPr>
                <w:b w:val="0"/>
                <w:sz w:val="15"/>
              </w:rPr>
              <w:t>L-05</w:t>
            </w:r>
          </w:p>
        </w:tc>
        <w:tc>
          <w:tcPr>
            <w:tcW w:type="dxa" w:w="2664"/>
            <w:vAlign w:val="center"/>
          </w:tcPr>
          <w:p>
            <w:r>
              <w:rPr>
                <w:sz w:val="14"/>
              </w:rPr>
            </w:r>
            <w:r>
              <w:rPr>
                <w:b w:val="0"/>
                <w:sz w:val="15"/>
              </w:rPr>
              <w:t>CloudTrail console access returned AccessDeniedException for a protected resource/action.</w:t>
            </w:r>
          </w:p>
        </w:tc>
        <w:tc>
          <w:tcPr>
            <w:tcW w:type="dxa" w:w="2664"/>
            <w:vAlign w:val="center"/>
          </w:tcPr>
          <w:p>
            <w:r>
              <w:rPr>
                <w:sz w:val="14"/>
              </w:rPr>
            </w:r>
            <w:r>
              <w:rPr>
                <w:b w:val="0"/>
                <w:sz w:val="15"/>
              </w:rPr>
              <w:t>Learner Lab IAM restriction</w:t>
            </w:r>
          </w:p>
        </w:tc>
        <w:tc>
          <w:tcPr>
            <w:tcW w:type="dxa" w:w="2664"/>
            <w:vAlign w:val="center"/>
          </w:tcPr>
          <w:p>
            <w:r>
              <w:rPr>
                <w:sz w:val="14"/>
              </w:rPr>
            </w:r>
            <w:r>
              <w:rPr>
                <w:b w:val="0"/>
                <w:sz w:val="15"/>
              </w:rPr>
              <w:t>Document the affected verification path and use other evidence sources where permitted.</w:t>
            </w:r>
          </w:p>
        </w:tc>
      </w:tr>
      <w:tr>
        <w:trPr/>
        <w:tc>
          <w:tcPr>
            <w:tcW w:type="dxa" w:w="2664"/>
            <w:vAlign w:val="center"/>
          </w:tcPr>
          <w:p>
            <w:r>
              <w:rPr>
                <w:sz w:val="14"/>
              </w:rPr>
            </w:r>
            <w:r>
              <w:rPr>
                <w:b w:val="0"/>
                <w:sz w:val="15"/>
              </w:rPr>
              <w:t>L-06</w:t>
            </w:r>
          </w:p>
        </w:tc>
        <w:tc>
          <w:tcPr>
            <w:tcW w:type="dxa" w:w="2664"/>
            <w:vAlign w:val="center"/>
          </w:tcPr>
          <w:p>
            <w:r>
              <w:rPr>
                <w:sz w:val="14"/>
              </w:rPr>
            </w:r>
            <w:r>
              <w:rPr>
                <w:b w:val="0"/>
                <w:sz w:val="15"/>
              </w:rPr>
              <w:t>iam:CreateUser is denied to the Vocareum assumed role.</w:t>
            </w:r>
          </w:p>
        </w:tc>
        <w:tc>
          <w:tcPr>
            <w:tcW w:type="dxa" w:w="2664"/>
            <w:vAlign w:val="center"/>
          </w:tcPr>
          <w:p>
            <w:r>
              <w:rPr>
                <w:sz w:val="14"/>
              </w:rPr>
            </w:r>
            <w:r>
              <w:rPr>
                <w:b w:val="0"/>
                <w:sz w:val="15"/>
              </w:rPr>
              <w:t>Learner Lab IAM restriction</w:t>
            </w:r>
          </w:p>
        </w:tc>
        <w:tc>
          <w:tcPr>
            <w:tcW w:type="dxa" w:w="2664"/>
            <w:vAlign w:val="center"/>
          </w:tcPr>
          <w:p>
            <w:r>
              <w:rPr>
                <w:sz w:val="14"/>
              </w:rPr>
            </w:r>
            <w:r>
              <w:rPr>
                <w:b w:val="0"/>
                <w:sz w:val="15"/>
              </w:rPr>
              <w:t>Do not attempt to create permanent IAM test users; use permitted identities and document the constraint.</w:t>
            </w:r>
          </w:p>
        </w:tc>
      </w:tr>
      <w:tr>
        <w:trPr/>
        <w:tc>
          <w:tcPr>
            <w:tcW w:type="dxa" w:w="2664"/>
            <w:vAlign w:val="center"/>
          </w:tcPr>
          <w:p>
            <w:r>
              <w:rPr>
                <w:sz w:val="14"/>
              </w:rPr>
            </w:r>
            <w:r>
              <w:rPr>
                <w:b w:val="0"/>
                <w:sz w:val="15"/>
              </w:rPr>
              <w:t>L-07</w:t>
            </w:r>
          </w:p>
        </w:tc>
        <w:tc>
          <w:tcPr>
            <w:tcW w:type="dxa" w:w="2664"/>
            <w:vAlign w:val="center"/>
          </w:tcPr>
          <w:p>
            <w:r>
              <w:rPr>
                <w:sz w:val="14"/>
              </w:rPr>
            </w:r>
            <w:r>
              <w:rPr>
                <w:b w:val="0"/>
                <w:sz w:val="15"/>
              </w:rPr>
              <w:t>Some automated checks cannot distinguish insecure configuration from insufficient auditor permission (for example, Secrets Manager resource-policy visibility).</w:t>
            </w:r>
          </w:p>
        </w:tc>
        <w:tc>
          <w:tcPr>
            <w:tcW w:type="dxa" w:w="2664"/>
            <w:vAlign w:val="center"/>
          </w:tcPr>
          <w:p>
            <w:r>
              <w:rPr>
                <w:sz w:val="14"/>
              </w:rPr>
            </w:r>
            <w:r>
              <w:rPr>
                <w:b w:val="0"/>
                <w:sz w:val="15"/>
              </w:rPr>
              <w:t>Scanner / permission limitation</w:t>
            </w:r>
          </w:p>
        </w:tc>
        <w:tc>
          <w:tcPr>
            <w:tcW w:type="dxa" w:w="2664"/>
            <w:vAlign w:val="center"/>
          </w:tcPr>
          <w:p>
            <w:r>
              <w:rPr>
                <w:sz w:val="14"/>
              </w:rPr>
            </w:r>
            <w:r>
              <w:rPr>
                <w:b w:val="0"/>
                <w:sz w:val="15"/>
              </w:rPr>
              <w:t>Classify ambiguous results as scope limitations until direct evidence is available.</w:t>
            </w:r>
          </w:p>
        </w:tc>
      </w:tr>
    </w:tbl>
    <w:p>
      <w:pPr>
        <w:pStyle w:val="Heading2"/>
        <w:keepNext/>
      </w:pPr>
      <w:r>
        <w:t>Audit conclusion</w:t>
      </w:r>
    </w:p>
    <w:p>
      <w:pPr>
        <w:spacing w:after="100" w:line="252" w:lineRule="auto"/>
      </w:pPr>
      <w:r>
        <w:t>T-07 documentation is complete. Direct captures support assumed-role access and permission denials; RDS capacity, the Vocareum StartInstances event and WSL failures are documented in the session narrative, but their original primary artifacts are absent from this folder. The audit documents provider capacity constraints, Vocareum-managed state changes, temporary assumed-role access, explicit AccessDenied responses for IAM/CloudTrail operations, scanner visibility limits and local tooling instability. These constraints are separated from security weaknesses under the control of the e-commerce team, preventing overstatement of nonconformities.</w:t>
      </w:r>
    </w:p>
    <w:p>
      <w:pPr>
        <w:pStyle w:val="Heading1"/>
        <w:keepNext/>
      </w:pPr>
      <w:r>
        <w:t>9. Consolidated Session 2 audit grid</w:t>
      </w:r>
    </w:p>
    <w:p>
      <w:pPr>
        <w:spacing w:after="100" w:line="252" w:lineRule="auto"/>
      </w:pPr>
      <w:r>
        <w:t>This table reproduces the Terms of Reference audit-grid structure and consolidates the current result of every test. The Terms of Reference requires the chain criterion → control → test → evidence → result → finding; the detailed sections above provide the supporting evidence and rationale.</w:t>
      </w:r>
    </w:p>
    <w:tbl>
      <w:tblPr>
        <w:tblStyle w:val="TableGrid"/>
        <w:tblW w:type="auto" w:w="0"/>
        <w:jc w:val="center"/>
        <w:tblLayout w:type="fixed"/>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691"/>
            <w:vAlign w:val="center"/>
            <w:shd w:fill="1F4E78"/>
          </w:tcPr>
          <w:p>
            <w:pPr>
              <w:spacing w:after="0"/>
            </w:pPr>
            <w:r>
              <w:rPr>
                <w:sz w:val="14"/>
              </w:rPr>
            </w:r>
            <w:r>
              <w:rPr>
                <w:rFonts w:ascii="Aptos" w:hAnsi="Aptos"/>
                <w:b/>
                <w:color w:val="FFFFFF"/>
                <w:sz w:val="15"/>
              </w:rPr>
              <w:t>ID</w:t>
            </w:r>
          </w:p>
        </w:tc>
        <w:tc>
          <w:tcPr>
            <w:tcW w:type="dxa" w:w="893"/>
            <w:vAlign w:val="center"/>
            <w:shd w:fill="1F4E78"/>
          </w:tcPr>
          <w:p>
            <w:pPr>
              <w:spacing w:after="0"/>
            </w:pPr>
            <w:r>
              <w:rPr>
                <w:sz w:val="14"/>
              </w:rPr>
            </w:r>
            <w:r>
              <w:rPr>
                <w:rFonts w:ascii="Aptos" w:hAnsi="Aptos"/>
                <w:b/>
                <w:color w:val="FFFFFF"/>
                <w:sz w:val="15"/>
              </w:rPr>
              <w:t>Criterion</w:t>
            </w:r>
          </w:p>
        </w:tc>
        <w:tc>
          <w:tcPr>
            <w:tcW w:type="dxa" w:w="2376"/>
            <w:vAlign w:val="center"/>
            <w:shd w:fill="1F4E78"/>
          </w:tcPr>
          <w:p>
            <w:pPr>
              <w:spacing w:after="0"/>
            </w:pPr>
            <w:r>
              <w:rPr>
                <w:sz w:val="14"/>
              </w:rPr>
            </w:r>
            <w:r>
              <w:rPr>
                <w:rFonts w:ascii="Aptos" w:hAnsi="Aptos"/>
                <w:b/>
                <w:color w:val="FFFFFF"/>
                <w:sz w:val="15"/>
              </w:rPr>
              <w:t>Audit question</w:t>
            </w:r>
          </w:p>
        </w:tc>
        <w:tc>
          <w:tcPr>
            <w:tcW w:type="dxa" w:w="1699"/>
            <w:vAlign w:val="center"/>
            <w:shd w:fill="1F4E78"/>
          </w:tcPr>
          <w:p>
            <w:pPr>
              <w:spacing w:after="0"/>
            </w:pPr>
            <w:r>
              <w:rPr>
                <w:sz w:val="14"/>
              </w:rPr>
            </w:r>
            <w:r>
              <w:rPr>
                <w:rFonts w:ascii="Aptos" w:hAnsi="Aptos"/>
                <w:b/>
                <w:color w:val="FFFFFF"/>
                <w:sz w:val="15"/>
              </w:rPr>
              <w:t>Method</w:t>
            </w:r>
          </w:p>
        </w:tc>
        <w:tc>
          <w:tcPr>
            <w:tcW w:type="dxa" w:w="1469"/>
            <w:vAlign w:val="center"/>
            <w:shd w:fill="1F4E78"/>
          </w:tcPr>
          <w:p>
            <w:pPr>
              <w:spacing w:after="0"/>
            </w:pPr>
            <w:r>
              <w:rPr>
                <w:sz w:val="14"/>
              </w:rPr>
            </w:r>
            <w:r>
              <w:rPr>
                <w:rFonts w:ascii="Aptos" w:hAnsi="Aptos"/>
                <w:b/>
                <w:color w:val="FFFFFF"/>
                <w:sz w:val="15"/>
              </w:rPr>
              <w:t>Expected evidence</w:t>
            </w:r>
          </w:p>
        </w:tc>
        <w:tc>
          <w:tcPr>
            <w:tcW w:type="dxa" w:w="1512"/>
            <w:vAlign w:val="center"/>
            <w:shd w:fill="1F4E78"/>
          </w:tcPr>
          <w:p>
            <w:pPr>
              <w:spacing w:after="0"/>
            </w:pPr>
            <w:r>
              <w:rPr>
                <w:sz w:val="14"/>
              </w:rPr>
            </w:r>
            <w:r>
              <w:rPr>
                <w:rFonts w:ascii="Aptos" w:hAnsi="Aptos"/>
                <w:b/>
                <w:color w:val="FFFFFF"/>
                <w:sz w:val="15"/>
              </w:rPr>
              <w:t>Result</w:t>
            </w:r>
          </w:p>
        </w:tc>
        <w:tc>
          <w:tcPr>
            <w:tcW w:type="dxa" w:w="1613"/>
            <w:vAlign w:val="center"/>
            <w:shd w:fill="1F4E78"/>
          </w:tcPr>
          <w:p>
            <w:pPr>
              <w:spacing w:after="0"/>
            </w:pPr>
            <w:r>
              <w:rPr>
                <w:sz w:val="14"/>
              </w:rPr>
            </w:r>
            <w:r>
              <w:rPr>
                <w:rFonts w:ascii="Aptos" w:hAnsi="Aptos"/>
                <w:b/>
                <w:color w:val="FFFFFF"/>
                <w:sz w:val="15"/>
              </w:rPr>
              <w:t>Classification</w:t>
            </w:r>
          </w:p>
        </w:tc>
        <w:tc>
          <w:tcPr>
            <w:tcW w:type="dxa" w:w="979"/>
            <w:vAlign w:val="center"/>
            <w:shd w:fill="1F4E78"/>
          </w:tcPr>
          <w:p>
            <w:pPr>
              <w:spacing w:after="0"/>
            </w:pPr>
            <w:r>
              <w:rPr>
                <w:sz w:val="14"/>
              </w:rPr>
            </w:r>
            <w:r>
              <w:rPr>
                <w:rFonts w:ascii="Aptos" w:hAnsi="Aptos"/>
                <w:b/>
                <w:color w:val="FFFFFF"/>
                <w:sz w:val="15"/>
              </w:rPr>
              <w:t>Evidence ref.</w:t>
            </w:r>
          </w:p>
        </w:tc>
      </w:tr>
      <w:tr>
        <w:trPr/>
        <w:tc>
          <w:tcPr>
            <w:tcW w:type="dxa" w:w="691"/>
            <w:vAlign w:val="center"/>
          </w:tcPr>
          <w:p>
            <w:pPr>
              <w:spacing w:after="0"/>
            </w:pPr>
            <w:r>
              <w:rPr>
                <w:sz w:val="14"/>
              </w:rPr>
            </w:r>
            <w:r>
              <w:rPr>
                <w:rFonts w:ascii="Aptos" w:hAnsi="Aptos"/>
                <w:b w:val="0"/>
                <w:sz w:val="15"/>
              </w:rPr>
              <w:t>G-01</w:t>
            </w:r>
          </w:p>
        </w:tc>
        <w:tc>
          <w:tcPr>
            <w:tcW w:type="dxa" w:w="893"/>
            <w:vAlign w:val="center"/>
          </w:tcPr>
          <w:p>
            <w:pPr>
              <w:spacing w:after="0"/>
            </w:pPr>
            <w:r>
              <w:rPr>
                <w:sz w:val="14"/>
              </w:rPr>
            </w:r>
            <w:r>
              <w:rPr>
                <w:rFonts w:ascii="Aptos" w:hAnsi="Aptos"/>
                <w:b w:val="0"/>
                <w:sz w:val="15"/>
              </w:rPr>
              <w:t>A.5.23</w:t>
            </w:r>
          </w:p>
        </w:tc>
        <w:tc>
          <w:tcPr>
            <w:tcW w:type="dxa" w:w="2376"/>
            <w:vAlign w:val="center"/>
          </w:tcPr>
          <w:p>
            <w:pPr>
              <w:spacing w:after="0"/>
            </w:pPr>
            <w:r>
              <w:rPr>
                <w:sz w:val="14"/>
              </w:rPr>
            </w:r>
            <w:r>
              <w:rPr>
                <w:rFonts w:ascii="Aptos" w:hAnsi="Aptos"/>
                <w:b w:val="0"/>
                <w:sz w:val="15"/>
              </w:rPr>
              <w:t>Are responsibilities defined?</w:t>
            </w:r>
          </w:p>
        </w:tc>
        <w:tc>
          <w:tcPr>
            <w:tcW w:type="dxa" w:w="1699"/>
            <w:vAlign w:val="center"/>
          </w:tcPr>
          <w:p>
            <w:pPr>
              <w:spacing w:after="0"/>
            </w:pPr>
            <w:r>
              <w:rPr>
                <w:sz w:val="14"/>
              </w:rPr>
            </w:r>
            <w:r>
              <w:rPr>
                <w:rFonts w:ascii="Aptos" w:hAnsi="Aptos"/>
                <w:b w:val="0"/>
                <w:sz w:val="15"/>
              </w:rPr>
              <w:t>T-01 – Documentary grid</w:t>
            </w:r>
          </w:p>
        </w:tc>
        <w:tc>
          <w:tcPr>
            <w:tcW w:type="dxa" w:w="1469"/>
            <w:vAlign w:val="center"/>
          </w:tcPr>
          <w:p>
            <w:pPr>
              <w:spacing w:after="0"/>
            </w:pPr>
            <w:r>
              <w:rPr>
                <w:sz w:val="14"/>
              </w:rPr>
            </w:r>
            <w:r>
              <w:rPr>
                <w:rFonts w:ascii="Aptos" w:hAnsi="Aptos"/>
                <w:b w:val="0"/>
                <w:sz w:val="15"/>
              </w:rPr>
              <w:t>Policy / approved audit documentation</w:t>
            </w:r>
          </w:p>
        </w:tc>
        <w:tc>
          <w:tcPr>
            <w:tcW w:type="dxa" w:w="1512"/>
            <w:vAlign w:val="center"/>
            <w:shd w:fill="E2F0D9"/>
          </w:tcPr>
          <w:p>
            <w:r>
              <w:rPr>
                <w:sz w:val="14"/>
              </w:rPr>
            </w:r>
            <w:r>
              <w:rPr>
                <w:b w:val="0"/>
                <w:sz w:val="13"/>
              </w:rPr>
              <w:t>PASS</w:t>
            </w:r>
          </w:p>
        </w:tc>
        <w:tc>
          <w:tcPr>
            <w:tcW w:type="dxa" w:w="1613"/>
            <w:vAlign w:val="center"/>
          </w:tcPr>
          <w:p>
            <w:r>
              <w:rPr>
                <w:sz w:val="14"/>
              </w:rPr>
            </w:r>
            <w:r>
              <w:rPr>
                <w:b w:val="0"/>
                <w:sz w:val="13"/>
              </w:rPr>
              <w:t>Compliant</w:t>
            </w:r>
          </w:p>
        </w:tc>
        <w:tc>
          <w:tcPr>
            <w:tcW w:type="dxa" w:w="979"/>
            <w:vAlign w:val="center"/>
          </w:tcPr>
          <w:p>
            <w:pPr>
              <w:spacing w:after="0"/>
            </w:pPr>
            <w:r>
              <w:rPr>
                <w:sz w:val="14"/>
              </w:rPr>
            </w:r>
            <w:r>
              <w:rPr>
                <w:rFonts w:ascii="Aptos" w:hAnsi="Aptos"/>
                <w:b w:val="0"/>
                <w:sz w:val="15"/>
              </w:rPr>
              <w:t>EV-001</w:t>
            </w:r>
          </w:p>
        </w:tc>
      </w:tr>
      <w:tr>
        <w:trPr/>
        <w:tc>
          <w:tcPr>
            <w:tcW w:type="dxa" w:w="691"/>
            <w:vAlign w:val="center"/>
          </w:tcPr>
          <w:p>
            <w:pPr>
              <w:spacing w:after="0"/>
            </w:pPr>
            <w:r>
              <w:rPr>
                <w:sz w:val="14"/>
              </w:rPr>
            </w:r>
            <w:r>
              <w:rPr>
                <w:rFonts w:ascii="Aptos" w:hAnsi="Aptos"/>
                <w:b w:val="0"/>
                <w:sz w:val="15"/>
              </w:rPr>
              <w:t>G-02</w:t>
            </w:r>
          </w:p>
        </w:tc>
        <w:tc>
          <w:tcPr>
            <w:tcW w:type="dxa" w:w="893"/>
            <w:vAlign w:val="center"/>
          </w:tcPr>
          <w:p>
            <w:pPr>
              <w:spacing w:after="0"/>
            </w:pPr>
            <w:r>
              <w:rPr>
                <w:sz w:val="14"/>
              </w:rPr>
            </w:r>
            <w:r>
              <w:rPr>
                <w:rFonts w:ascii="Aptos" w:hAnsi="Aptos"/>
                <w:b w:val="0"/>
                <w:sz w:val="15"/>
              </w:rPr>
              <w:t>A.5.15</w:t>
            </w:r>
          </w:p>
        </w:tc>
        <w:tc>
          <w:tcPr>
            <w:tcW w:type="dxa" w:w="2376"/>
            <w:vAlign w:val="center"/>
          </w:tcPr>
          <w:p>
            <w:pPr>
              <w:spacing w:after="0"/>
            </w:pPr>
            <w:r>
              <w:rPr>
                <w:sz w:val="14"/>
              </w:rPr>
            </w:r>
            <w:r>
              <w:rPr>
                <w:rFonts w:ascii="Aptos" w:hAnsi="Aptos"/>
                <w:b w:val="0"/>
                <w:sz w:val="15"/>
              </w:rPr>
              <w:t>Are rights limited and strong authentication enabled?</w:t>
            </w:r>
          </w:p>
        </w:tc>
        <w:tc>
          <w:tcPr>
            <w:tcW w:type="dxa" w:w="1699"/>
            <w:vAlign w:val="center"/>
          </w:tcPr>
          <w:p>
            <w:r>
              <w:rPr>
                <w:sz w:val="14"/>
              </w:rPr>
            </w:r>
            <w:r>
              <w:rPr>
                <w:b w:val="0"/>
                <w:sz w:val="13"/>
              </w:rPr>
              <w:t>T-02 – Manual review + Prowler + ScoutSuite</w:t>
            </w:r>
          </w:p>
        </w:tc>
        <w:tc>
          <w:tcPr>
            <w:tcW w:type="dxa" w:w="1469"/>
            <w:vAlign w:val="center"/>
          </w:tcPr>
          <w:p>
            <w:pPr>
              <w:spacing w:after="0"/>
            </w:pPr>
            <w:r>
              <w:rPr>
                <w:sz w:val="14"/>
              </w:rPr>
            </w:r>
            <w:r>
              <w:rPr>
                <w:rFonts w:ascii="Aptos" w:hAnsi="Aptos"/>
                <w:b w:val="0"/>
                <w:sz w:val="15"/>
              </w:rPr>
              <w:t>Cognito/IAM configuration + EV-002 evidence</w:t>
            </w:r>
          </w:p>
        </w:tc>
        <w:tc>
          <w:tcPr>
            <w:tcW w:type="dxa" w:w="1512"/>
            <w:vAlign w:val="center"/>
            <w:shd w:fill="E2F0D9"/>
          </w:tcPr>
          <w:p>
            <w:r>
              <w:rPr>
                <w:sz w:val="14"/>
              </w:rPr>
            </w:r>
            <w:r>
              <w:rPr>
                <w:b w:val="0"/>
                <w:sz w:val="13"/>
              </w:rPr>
              <w:t>PARTIAL</w:t>
            </w:r>
          </w:p>
        </w:tc>
        <w:tc>
          <w:tcPr>
            <w:tcW w:type="dxa" w:w="1613"/>
            <w:vAlign w:val="center"/>
            <w:shd w:fill="FCE5CD"/>
          </w:tcPr>
          <w:p>
            <w:r>
              <w:rPr>
                <w:sz w:val="14"/>
              </w:rPr>
            </w:r>
            <w:r>
              <w:rPr>
                <w:b w:val="0"/>
                <w:sz w:val="13"/>
              </w:rPr>
              <w:t>Minor nonconformity</w:t>
            </w:r>
          </w:p>
        </w:tc>
        <w:tc>
          <w:tcPr>
            <w:tcW w:type="dxa" w:w="979"/>
            <w:vAlign w:val="center"/>
          </w:tcPr>
          <w:p>
            <w:pPr>
              <w:spacing w:after="0"/>
            </w:pPr>
            <w:r>
              <w:rPr>
                <w:sz w:val="14"/>
              </w:rPr>
            </w:r>
            <w:r>
              <w:rPr>
                <w:rFonts w:ascii="Aptos" w:hAnsi="Aptos"/>
                <w:b w:val="0"/>
                <w:sz w:val="15"/>
              </w:rPr>
              <w:t>EV-002</w:t>
            </w:r>
          </w:p>
        </w:tc>
      </w:tr>
      <w:tr>
        <w:trPr/>
        <w:tc>
          <w:tcPr>
            <w:tcW w:type="dxa" w:w="691"/>
            <w:vAlign w:val="center"/>
          </w:tcPr>
          <w:p>
            <w:pPr>
              <w:spacing w:after="0"/>
            </w:pPr>
            <w:r>
              <w:rPr>
                <w:sz w:val="14"/>
              </w:rPr>
            </w:r>
            <w:r>
              <w:rPr>
                <w:rFonts w:ascii="Aptos" w:hAnsi="Aptos"/>
                <w:b w:val="0"/>
                <w:sz w:val="15"/>
              </w:rPr>
              <w:t>G-03</w:t>
            </w:r>
          </w:p>
        </w:tc>
        <w:tc>
          <w:tcPr>
            <w:tcW w:type="dxa" w:w="893"/>
            <w:vAlign w:val="center"/>
          </w:tcPr>
          <w:p>
            <w:pPr>
              <w:spacing w:after="0"/>
            </w:pPr>
            <w:r>
              <w:rPr>
                <w:sz w:val="14"/>
              </w:rPr>
            </w:r>
            <w:r>
              <w:rPr>
                <w:rFonts w:ascii="Aptos" w:hAnsi="Aptos"/>
                <w:b w:val="0"/>
                <w:sz w:val="15"/>
              </w:rPr>
              <w:t>A.8.9</w:t>
            </w:r>
          </w:p>
        </w:tc>
        <w:tc>
          <w:tcPr>
            <w:tcW w:type="dxa" w:w="2376"/>
            <w:vAlign w:val="center"/>
          </w:tcPr>
          <w:p>
            <w:pPr>
              <w:spacing w:after="0"/>
            </w:pPr>
            <w:r>
              <w:rPr>
                <w:sz w:val="14"/>
              </w:rPr>
            </w:r>
            <w:r>
              <w:rPr>
                <w:rFonts w:ascii="Aptos" w:hAnsi="Aptos"/>
                <w:b w:val="0"/>
                <w:sz w:val="15"/>
              </w:rPr>
              <w:t>Is storage non-public and encrypted?</w:t>
            </w:r>
          </w:p>
        </w:tc>
        <w:tc>
          <w:tcPr>
            <w:tcW w:type="dxa" w:w="1699"/>
            <w:vAlign w:val="center"/>
          </w:tcPr>
          <w:p>
            <w:r>
              <w:rPr>
                <w:sz w:val="14"/>
              </w:rPr>
            </w:r>
            <w:r>
              <w:rPr>
                <w:b w:val="0"/>
                <w:sz w:val="13"/>
              </w:rPr>
              <w:t>T-03 – Manual review + Prowler + ScoutSuite</w:t>
            </w:r>
          </w:p>
        </w:tc>
        <w:tc>
          <w:tcPr>
            <w:tcW w:type="dxa" w:w="1469"/>
            <w:vAlign w:val="center"/>
          </w:tcPr>
          <w:p>
            <w:pPr>
              <w:spacing w:after="0"/>
            </w:pPr>
            <w:r>
              <w:rPr>
                <w:sz w:val="14"/>
              </w:rPr>
            </w:r>
            <w:r>
              <w:rPr>
                <w:rFonts w:ascii="Aptos" w:hAnsi="Aptos"/>
                <w:b w:val="0"/>
                <w:sz w:val="15"/>
              </w:rPr>
              <w:t>RDS/S3/Secrets Manager evidence</w:t>
            </w:r>
          </w:p>
        </w:tc>
        <w:tc>
          <w:tcPr>
            <w:tcW w:type="dxa" w:w="1512"/>
            <w:vAlign w:val="center"/>
            <w:shd w:fill="E2F0D9"/>
          </w:tcPr>
          <w:p>
            <w:r>
              <w:rPr>
                <w:sz w:val="14"/>
              </w:rPr>
            </w:r>
            <w:r>
              <w:rPr>
                <w:b w:val="0"/>
                <w:sz w:val="13"/>
              </w:rPr>
              <w:t>PARTIAL</w:t>
            </w:r>
          </w:p>
        </w:tc>
        <w:tc>
          <w:tcPr>
            <w:tcW w:type="dxa" w:w="1613"/>
            <w:vAlign w:val="center"/>
          </w:tcPr>
          <w:p>
            <w:r>
              <w:rPr>
                <w:sz w:val="14"/>
              </w:rPr>
            </w:r>
            <w:r>
              <w:rPr>
                <w:b w:val="0"/>
                <w:sz w:val="13"/>
              </w:rPr>
              <w:t>Major nonconformity</w:t>
            </w:r>
          </w:p>
        </w:tc>
        <w:tc>
          <w:tcPr>
            <w:tcW w:type="dxa" w:w="979"/>
            <w:vAlign w:val="center"/>
          </w:tcPr>
          <w:p>
            <w:pPr>
              <w:spacing w:after="0"/>
            </w:pPr>
            <w:r>
              <w:rPr>
                <w:sz w:val="14"/>
              </w:rPr>
            </w:r>
            <w:r>
              <w:rPr>
                <w:rFonts w:ascii="Aptos" w:hAnsi="Aptos"/>
                <w:b w:val="0"/>
                <w:sz w:val="15"/>
              </w:rPr>
              <w:t>EV-003</w:t>
            </w:r>
          </w:p>
        </w:tc>
      </w:tr>
      <w:tr>
        <w:trPr/>
        <w:tc>
          <w:tcPr>
            <w:tcW w:type="dxa" w:w="691"/>
            <w:vAlign w:val="center"/>
          </w:tcPr>
          <w:p>
            <w:pPr>
              <w:spacing w:after="0"/>
            </w:pPr>
            <w:r>
              <w:rPr>
                <w:sz w:val="14"/>
              </w:rPr>
            </w:r>
            <w:r>
              <w:rPr>
                <w:rFonts w:ascii="Aptos" w:hAnsi="Aptos"/>
                <w:b w:val="0"/>
                <w:sz w:val="15"/>
              </w:rPr>
              <w:t>G-04</w:t>
            </w:r>
          </w:p>
        </w:tc>
        <w:tc>
          <w:tcPr>
            <w:tcW w:type="dxa" w:w="893"/>
            <w:vAlign w:val="center"/>
          </w:tcPr>
          <w:p>
            <w:pPr>
              <w:spacing w:after="0"/>
            </w:pPr>
            <w:r>
              <w:rPr>
                <w:sz w:val="14"/>
              </w:rPr>
            </w:r>
            <w:r>
              <w:rPr>
                <w:rFonts w:ascii="Aptos" w:hAnsi="Aptos"/>
                <w:b w:val="0"/>
                <w:sz w:val="15"/>
              </w:rPr>
              <w:t>A.8.9</w:t>
            </w:r>
          </w:p>
        </w:tc>
        <w:tc>
          <w:tcPr>
            <w:tcW w:type="dxa" w:w="2376"/>
            <w:vAlign w:val="center"/>
          </w:tcPr>
          <w:p>
            <w:pPr>
              <w:spacing w:after="0"/>
            </w:pPr>
            <w:r>
              <w:rPr>
                <w:sz w:val="14"/>
              </w:rPr>
            </w:r>
            <w:r>
              <w:rPr>
                <w:rFonts w:ascii="Aptos" w:hAnsi="Aptos"/>
                <w:b w:val="0"/>
                <w:sz w:val="15"/>
              </w:rPr>
              <w:t>Are network rules restrictive?</w:t>
            </w:r>
          </w:p>
        </w:tc>
        <w:tc>
          <w:tcPr>
            <w:tcW w:type="dxa" w:w="1699"/>
            <w:vAlign w:val="center"/>
          </w:tcPr>
          <w:p>
            <w:r>
              <w:rPr>
                <w:sz w:val="14"/>
              </w:rPr>
            </w:r>
            <w:r>
              <w:rPr>
                <w:b w:val="0"/>
                <w:sz w:val="13"/>
              </w:rPr>
              <w:t>T-04 – Manual review + Prowler + ScoutSuite</w:t>
            </w:r>
          </w:p>
        </w:tc>
        <w:tc>
          <w:tcPr>
            <w:tcW w:type="dxa" w:w="1469"/>
            <w:vAlign w:val="center"/>
          </w:tcPr>
          <w:p>
            <w:pPr>
              <w:spacing w:after="0"/>
            </w:pPr>
            <w:r>
              <w:rPr>
                <w:sz w:val="14"/>
              </w:rPr>
            </w:r>
            <w:r>
              <w:rPr>
                <w:rFonts w:ascii="Aptos" w:hAnsi="Aptos"/>
                <w:b w:val="0"/>
                <w:sz w:val="15"/>
              </w:rPr>
              <w:t>Security-group rules / VPC evidence</w:t>
            </w:r>
          </w:p>
        </w:tc>
        <w:tc>
          <w:tcPr>
            <w:tcW w:type="dxa" w:w="1512"/>
            <w:vAlign w:val="center"/>
            <w:shd w:fill="FFF2CC"/>
          </w:tcPr>
          <w:p>
            <w:r>
              <w:rPr>
                <w:sz w:val="14"/>
              </w:rPr>
            </w:r>
            <w:r>
              <w:rPr>
                <w:b w:val="0"/>
                <w:sz w:val="13"/>
              </w:rPr>
              <w:t>PARTIAL</w:t>
            </w:r>
          </w:p>
        </w:tc>
        <w:tc>
          <w:tcPr>
            <w:tcW w:type="dxa" w:w="1613"/>
            <w:vAlign w:val="center"/>
            <w:shd w:fill="F4CCCC"/>
          </w:tcPr>
          <w:p>
            <w:r>
              <w:rPr>
                <w:sz w:val="14"/>
              </w:rPr>
            </w:r>
            <w:r>
              <w:rPr>
                <w:b w:val="0"/>
                <w:sz w:val="13"/>
              </w:rPr>
              <w:t>Major nonconformity</w:t>
            </w:r>
          </w:p>
        </w:tc>
        <w:tc>
          <w:tcPr>
            <w:tcW w:type="dxa" w:w="979"/>
            <w:vAlign w:val="center"/>
          </w:tcPr>
          <w:p>
            <w:pPr>
              <w:spacing w:after="0"/>
            </w:pPr>
            <w:r>
              <w:rPr>
                <w:sz w:val="14"/>
              </w:rPr>
            </w:r>
            <w:r>
              <w:rPr>
                <w:rFonts w:ascii="Aptos" w:hAnsi="Aptos"/>
                <w:b w:val="0"/>
                <w:sz w:val="15"/>
              </w:rPr>
              <w:t>EV-004</w:t>
            </w:r>
          </w:p>
        </w:tc>
      </w:tr>
      <w:tr>
        <w:trPr/>
        <w:tc>
          <w:tcPr>
            <w:tcW w:type="dxa" w:w="691"/>
            <w:vAlign w:val="center"/>
          </w:tcPr>
          <w:p>
            <w:pPr>
              <w:spacing w:after="0"/>
            </w:pPr>
            <w:r>
              <w:rPr>
                <w:sz w:val="14"/>
              </w:rPr>
            </w:r>
            <w:r>
              <w:rPr>
                <w:rFonts w:ascii="Aptos" w:hAnsi="Aptos"/>
                <w:b w:val="0"/>
                <w:sz w:val="15"/>
              </w:rPr>
              <w:t>G-05</w:t>
            </w:r>
          </w:p>
        </w:tc>
        <w:tc>
          <w:tcPr>
            <w:tcW w:type="dxa" w:w="893"/>
            <w:vAlign w:val="center"/>
          </w:tcPr>
          <w:p>
            <w:pPr>
              <w:spacing w:after="0"/>
            </w:pPr>
            <w:r>
              <w:rPr>
                <w:sz w:val="14"/>
              </w:rPr>
            </w:r>
            <w:r>
              <w:rPr>
                <w:rFonts w:ascii="Aptos" w:hAnsi="Aptos"/>
                <w:b w:val="0"/>
                <w:sz w:val="15"/>
              </w:rPr>
              <w:t>A.8.9</w:t>
            </w:r>
          </w:p>
        </w:tc>
        <w:tc>
          <w:tcPr>
            <w:tcW w:type="dxa" w:w="2376"/>
            <w:vAlign w:val="center"/>
          </w:tcPr>
          <w:p>
            <w:pPr>
              <w:spacing w:after="0"/>
            </w:pPr>
            <w:r>
              <w:rPr>
                <w:sz w:val="14"/>
              </w:rPr>
            </w:r>
            <w:r>
              <w:rPr>
                <w:rFonts w:ascii="Aptos" w:hAnsi="Aptos"/>
                <w:b w:val="0"/>
                <w:sz w:val="15"/>
              </w:rPr>
              <w:t>Is logging enabled?</w:t>
            </w:r>
          </w:p>
        </w:tc>
        <w:tc>
          <w:tcPr>
            <w:tcW w:type="dxa" w:w="1699"/>
            <w:vAlign w:val="center"/>
          </w:tcPr>
          <w:p>
            <w:r>
              <w:rPr>
                <w:sz w:val="14"/>
              </w:rPr>
            </w:r>
            <w:r>
              <w:rPr>
                <w:b w:val="0"/>
                <w:sz w:val="13"/>
              </w:rPr>
              <w:t>T-05 – Manual review + Prowler + ScoutSuite</w:t>
            </w:r>
          </w:p>
        </w:tc>
        <w:tc>
          <w:tcPr>
            <w:tcW w:type="dxa" w:w="1469"/>
            <w:vAlign w:val="center"/>
          </w:tcPr>
          <w:p>
            <w:pPr>
              <w:spacing w:after="0"/>
            </w:pPr>
            <w:r>
              <w:rPr>
                <w:sz w:val="14"/>
              </w:rPr>
            </w:r>
            <w:r>
              <w:rPr>
                <w:rFonts w:ascii="Aptos" w:hAnsi="Aptos"/>
                <w:b w:val="0"/>
                <w:sz w:val="15"/>
              </w:rPr>
              <w:t>Trail, logs, metrics, alarm and notification evidence</w:t>
            </w:r>
          </w:p>
        </w:tc>
        <w:tc>
          <w:tcPr>
            <w:tcW w:type="dxa" w:w="1512"/>
            <w:vAlign w:val="center"/>
            <w:shd w:fill="E2F0D9"/>
          </w:tcPr>
          <w:p>
            <w:r>
              <w:rPr>
                <w:sz w:val="14"/>
              </w:rPr>
            </w:r>
            <w:r>
              <w:rPr>
                <w:b w:val="0"/>
                <w:sz w:val="13"/>
              </w:rPr>
              <w:t>PASS WITH OBSERVATIONS</w:t>
            </w:r>
          </w:p>
        </w:tc>
        <w:tc>
          <w:tcPr>
            <w:tcW w:type="dxa" w:w="1613"/>
            <w:vAlign w:val="center"/>
            <w:shd w:fill="FFF2CC"/>
          </w:tcPr>
          <w:p>
            <w:r>
              <w:rPr>
                <w:sz w:val="14"/>
              </w:rPr>
            </w:r>
            <w:r>
              <w:rPr>
                <w:b w:val="0"/>
                <w:sz w:val="13"/>
              </w:rPr>
              <w:t>Compliant with observations</w:t>
            </w:r>
          </w:p>
        </w:tc>
        <w:tc>
          <w:tcPr>
            <w:tcW w:type="dxa" w:w="979"/>
            <w:vAlign w:val="center"/>
          </w:tcPr>
          <w:p>
            <w:pPr>
              <w:spacing w:after="0"/>
            </w:pPr>
            <w:r>
              <w:rPr>
                <w:sz w:val="14"/>
              </w:rPr>
            </w:r>
            <w:r>
              <w:rPr>
                <w:rFonts w:ascii="Aptos" w:hAnsi="Aptos"/>
                <w:b w:val="0"/>
                <w:sz w:val="15"/>
              </w:rPr>
              <w:t>EV-005</w:t>
            </w:r>
          </w:p>
        </w:tc>
      </w:tr>
      <w:tr>
        <w:trPr/>
        <w:tc>
          <w:tcPr>
            <w:tcW w:type="dxa" w:w="691"/>
            <w:vAlign w:val="center"/>
          </w:tcPr>
          <w:p>
            <w:pPr>
              <w:spacing w:after="0"/>
            </w:pPr>
            <w:r>
              <w:rPr>
                <w:sz w:val="14"/>
              </w:rPr>
            </w:r>
            <w:r>
              <w:rPr>
                <w:rFonts w:ascii="Aptos" w:hAnsi="Aptos"/>
                <w:b w:val="0"/>
                <w:sz w:val="15"/>
              </w:rPr>
              <w:t>G-06</w:t>
            </w:r>
          </w:p>
        </w:tc>
        <w:tc>
          <w:tcPr>
            <w:tcW w:type="dxa" w:w="893"/>
            <w:vAlign w:val="center"/>
          </w:tcPr>
          <w:p>
            <w:pPr>
              <w:spacing w:after="0"/>
            </w:pPr>
            <w:r>
              <w:rPr>
                <w:sz w:val="14"/>
              </w:rPr>
            </w:r>
            <w:r>
              <w:rPr>
                <w:rFonts w:ascii="Aptos" w:hAnsi="Aptos"/>
                <w:b w:val="0"/>
                <w:sz w:val="15"/>
              </w:rPr>
              <w:t>A.8.9</w:t>
            </w:r>
          </w:p>
        </w:tc>
        <w:tc>
          <w:tcPr>
            <w:tcW w:type="dxa" w:w="2376"/>
            <w:vAlign w:val="center"/>
          </w:tcPr>
          <w:p>
            <w:pPr>
              <w:spacing w:after="0"/>
            </w:pPr>
            <w:r>
              <w:rPr>
                <w:sz w:val="14"/>
              </w:rPr>
            </w:r>
            <w:r>
              <w:rPr>
                <w:rFonts w:ascii="Aptos" w:hAnsi="Aptos"/>
                <w:b w:val="0"/>
                <w:sz w:val="15"/>
              </w:rPr>
              <w:t>Does the scanner run and produce a report?</w:t>
            </w:r>
          </w:p>
        </w:tc>
        <w:tc>
          <w:tcPr>
            <w:tcW w:type="dxa" w:w="1699"/>
            <w:vAlign w:val="center"/>
          </w:tcPr>
          <w:p>
            <w:r>
              <w:rPr>
                <w:sz w:val="14"/>
              </w:rPr>
            </w:r>
            <w:r>
              <w:rPr>
                <w:b w:val="0"/>
                <w:sz w:val="13"/>
              </w:rPr>
              <w:t>T-06 – Prowler 5.44.0 + ScoutSuite</w:t>
            </w:r>
          </w:p>
        </w:tc>
        <w:tc>
          <w:tcPr>
            <w:tcW w:type="dxa" w:w="1469"/>
            <w:vAlign w:val="center"/>
          </w:tcPr>
          <w:p>
            <w:pPr>
              <w:spacing w:after="0"/>
            </w:pPr>
            <w:r>
              <w:rPr>
                <w:sz w:val="14"/>
              </w:rPr>
            </w:r>
            <w:r>
              <w:rPr>
                <w:rFonts w:ascii="Aptos" w:hAnsi="Aptos"/>
                <w:b w:val="0"/>
                <w:sz w:val="15"/>
              </w:rPr>
              <w:t>Original scanner reports</w:t>
            </w:r>
          </w:p>
        </w:tc>
        <w:tc>
          <w:tcPr>
            <w:tcW w:type="dxa" w:w="1512"/>
            <w:vAlign w:val="center"/>
            <w:shd w:fill="FFF2CC"/>
          </w:tcPr>
          <w:p>
            <w:r>
              <w:rPr>
                <w:sz w:val="14"/>
              </w:rPr>
            </w:r>
            <w:r>
              <w:rPr>
                <w:b w:val="0"/>
                <w:sz w:val="13"/>
              </w:rPr>
              <w:t>PASS</w:t>
            </w:r>
          </w:p>
        </w:tc>
        <w:tc>
          <w:tcPr>
            <w:tcW w:type="dxa" w:w="1613"/>
            <w:vAlign w:val="center"/>
          </w:tcPr>
          <w:p>
            <w:r>
              <w:rPr>
                <w:sz w:val="14"/>
              </w:rPr>
            </w:r>
            <w:r>
              <w:rPr>
                <w:b w:val="0"/>
                <w:sz w:val="13"/>
              </w:rPr>
              <w:t>Compliant</w:t>
            </w:r>
          </w:p>
        </w:tc>
        <w:tc>
          <w:tcPr>
            <w:tcW w:type="dxa" w:w="979"/>
            <w:vAlign w:val="center"/>
          </w:tcPr>
          <w:p>
            <w:pPr>
              <w:spacing w:after="0"/>
            </w:pPr>
            <w:r>
              <w:rPr>
                <w:sz w:val="14"/>
              </w:rPr>
            </w:r>
            <w:r>
              <w:rPr>
                <w:rFonts w:ascii="Aptos" w:hAnsi="Aptos"/>
                <w:b w:val="0"/>
                <w:sz w:val="15"/>
              </w:rPr>
              <w:t>EV-006</w:t>
            </w:r>
          </w:p>
        </w:tc>
      </w:tr>
      <w:tr>
        <w:trPr/>
        <w:tc>
          <w:tcPr>
            <w:tcW w:type="dxa" w:w="691"/>
            <w:vAlign w:val="center"/>
          </w:tcPr>
          <w:p>
            <w:pPr>
              <w:spacing w:after="0"/>
            </w:pPr>
            <w:r>
              <w:rPr>
                <w:sz w:val="14"/>
              </w:rPr>
            </w:r>
            <w:r>
              <w:rPr>
                <w:rFonts w:ascii="Aptos" w:hAnsi="Aptos"/>
                <w:b w:val="0"/>
                <w:sz w:val="15"/>
              </w:rPr>
              <w:t>G-07</w:t>
            </w:r>
          </w:p>
        </w:tc>
        <w:tc>
          <w:tcPr>
            <w:tcW w:type="dxa" w:w="893"/>
            <w:vAlign w:val="center"/>
          </w:tcPr>
          <w:p>
            <w:pPr>
              <w:spacing w:after="0"/>
            </w:pPr>
            <w:r>
              <w:rPr>
                <w:sz w:val="14"/>
              </w:rPr>
            </w:r>
            <w:r>
              <w:rPr>
                <w:rFonts w:ascii="Aptos" w:hAnsi="Aptos"/>
                <w:b w:val="0"/>
                <w:sz w:val="15"/>
              </w:rPr>
              <w:t>A.8.9</w:t>
            </w:r>
          </w:p>
        </w:tc>
        <w:tc>
          <w:tcPr>
            <w:tcW w:type="dxa" w:w="2376"/>
            <w:vAlign w:val="center"/>
          </w:tcPr>
          <w:p>
            <w:pPr>
              <w:spacing w:after="0"/>
            </w:pPr>
            <w:r>
              <w:rPr>
                <w:sz w:val="14"/>
              </w:rPr>
            </w:r>
            <w:r>
              <w:rPr>
                <w:rFonts w:ascii="Aptos" w:hAnsi="Aptos"/>
                <w:b w:val="0"/>
                <w:sz w:val="15"/>
              </w:rPr>
              <w:t>Are the limits of the lab environment documented?</w:t>
            </w:r>
          </w:p>
        </w:tc>
        <w:tc>
          <w:tcPr>
            <w:tcW w:type="dxa" w:w="1699"/>
            <w:vAlign w:val="center"/>
          </w:tcPr>
          <w:p>
            <w:r>
              <w:rPr>
                <w:sz w:val="14"/>
              </w:rPr>
            </w:r>
            <w:r>
              <w:rPr>
                <w:b w:val="0"/>
                <w:sz w:val="13"/>
              </w:rPr>
              <w:t>T-07 – Documentary and retained permission/identity evidence review</w:t>
            </w:r>
          </w:p>
        </w:tc>
        <w:tc>
          <w:tcPr>
            <w:tcW w:type="dxa" w:w="1469"/>
            <w:vAlign w:val="center"/>
          </w:tcPr>
          <w:p>
            <w:pPr>
              <w:spacing w:after="0"/>
            </w:pPr>
            <w:r>
              <w:rPr>
                <w:sz w:val="14"/>
              </w:rPr>
            </w:r>
            <w:r>
              <w:rPr>
                <w:rFonts w:ascii="Aptos" w:hAnsi="Aptos"/>
                <w:b w:val="0"/>
                <w:sz w:val="15"/>
              </w:rPr>
              <w:t>Assumed-role/AccessDenied captures; scanner errors; qualified session narratives</w:t>
            </w:r>
          </w:p>
        </w:tc>
        <w:tc>
          <w:tcPr>
            <w:tcW w:type="dxa" w:w="1512"/>
            <w:vAlign w:val="center"/>
            <w:shd w:fill="E2F0D9"/>
          </w:tcPr>
          <w:p>
            <w:r>
              <w:rPr>
                <w:sz w:val="14"/>
              </w:rPr>
            </w:r>
            <w:r>
              <w:rPr>
                <w:b w:val="0"/>
                <w:sz w:val="13"/>
              </w:rPr>
              <w:t>COMPLETED</w:t>
            </w:r>
          </w:p>
        </w:tc>
        <w:tc>
          <w:tcPr>
            <w:tcW w:type="dxa" w:w="1613"/>
            <w:vAlign w:val="center"/>
            <w:shd w:fill="D9EAF7"/>
          </w:tcPr>
          <w:p>
            <w:r>
              <w:rPr>
                <w:sz w:val="14"/>
              </w:rPr>
            </w:r>
            <w:r>
              <w:rPr>
                <w:b w:val="0"/>
                <w:sz w:val="13"/>
              </w:rPr>
              <w:t>Compliant – limitations documented</w:t>
            </w:r>
          </w:p>
        </w:tc>
        <w:tc>
          <w:tcPr>
            <w:tcW w:type="dxa" w:w="979"/>
            <w:vAlign w:val="center"/>
          </w:tcPr>
          <w:p>
            <w:pPr>
              <w:spacing w:after="0"/>
            </w:pPr>
            <w:r>
              <w:rPr>
                <w:sz w:val="14"/>
              </w:rPr>
            </w:r>
            <w:r>
              <w:rPr>
                <w:rFonts w:ascii="Aptos" w:hAnsi="Aptos"/>
                <w:b w:val="0"/>
                <w:sz w:val="15"/>
              </w:rPr>
              <w:t>EV-007</w:t>
            </w:r>
          </w:p>
        </w:tc>
      </w:tr>
    </w:tbl>
    <w:p>
      <w:pPr>
        <w:spacing w:after="40"/>
      </w:pPr>
    </w:p>
    <w:p>
      <w:pPr>
        <w:pStyle w:val="Heading1"/>
        <w:keepNext/>
      </w:pPr>
      <w:r>
        <w:t>10. Evidence register</w:t>
      </w:r>
    </w:p>
    <w:tbl>
      <w:tblPr>
        <w:tblStyle w:val="TableGrid"/>
        <w:tblW w:type="auto" w:w="0"/>
        <w:jc w:val="center"/>
        <w:tblLook w:firstColumn="1" w:firstRow="1" w:lastColumn="0" w:lastRow="0" w:noHBand="0" w:noVBand="1" w:val="04A0"/>
      </w:tblPr>
      <w:tblGrid>
        <w:gridCol w:w="2664"/>
        <w:gridCol w:w="2664"/>
        <w:gridCol w:w="2664"/>
        <w:gridCol w:w="2664"/>
      </w:tblGrid>
      <w:tr>
        <w:trPr/>
        <w:tc>
          <w:tcPr>
            <w:tcW w:type="dxa" w:w="2664"/>
            <w:vAlign w:val="center"/>
            <w:shd w:fill="1F4E78"/>
          </w:tcPr>
          <w:p>
            <w:pPr>
              <w:spacing w:after="0"/>
            </w:pPr>
            <w:r>
              <w:rPr>
                <w:sz w:val="14"/>
              </w:rPr>
            </w:r>
            <w:r>
              <w:rPr>
                <w:rFonts w:ascii="Aptos" w:hAnsi="Aptos"/>
                <w:b/>
                <w:color w:val="FFFFFF"/>
                <w:sz w:val="16"/>
              </w:rPr>
              <w:t>Evidence ID</w:t>
            </w:r>
          </w:p>
        </w:tc>
        <w:tc>
          <w:tcPr>
            <w:tcW w:type="dxa" w:w="2664"/>
            <w:vAlign w:val="center"/>
            <w:shd w:fill="1F4E78"/>
          </w:tcPr>
          <w:p>
            <w:pPr>
              <w:spacing w:after="0"/>
            </w:pPr>
            <w:r>
              <w:rPr>
                <w:sz w:val="14"/>
              </w:rPr>
            </w:r>
            <w:r>
              <w:rPr>
                <w:rFonts w:ascii="Aptos" w:hAnsi="Aptos"/>
                <w:b/>
                <w:color w:val="FFFFFF"/>
                <w:sz w:val="16"/>
              </w:rPr>
              <w:t>Category</w:t>
            </w:r>
          </w:p>
        </w:tc>
        <w:tc>
          <w:tcPr>
            <w:tcW w:type="dxa" w:w="2664"/>
            <w:vAlign w:val="center"/>
            <w:shd w:fill="1F4E78"/>
          </w:tcPr>
          <w:p>
            <w:pPr>
              <w:spacing w:after="0"/>
            </w:pPr>
            <w:r>
              <w:rPr>
                <w:sz w:val="14"/>
              </w:rPr>
            </w:r>
            <w:r>
              <w:rPr>
                <w:rFonts w:ascii="Aptos" w:hAnsi="Aptos"/>
                <w:b/>
                <w:color w:val="FFFFFF"/>
                <w:sz w:val="16"/>
              </w:rPr>
              <w:t>Contents</w:t>
            </w:r>
          </w:p>
        </w:tc>
        <w:tc>
          <w:tcPr>
            <w:tcW w:type="dxa" w:w="2664"/>
            <w:vAlign w:val="center"/>
            <w:shd w:fill="1F4E78"/>
          </w:tcPr>
          <w:p>
            <w:pPr>
              <w:spacing w:after="0"/>
            </w:pPr>
            <w:r>
              <w:rPr>
                <w:sz w:val="14"/>
              </w:rPr>
            </w:r>
            <w:r>
              <w:rPr>
                <w:rFonts w:ascii="Aptos" w:hAnsi="Aptos"/>
                <w:b/>
                <w:color w:val="FFFFFF"/>
                <w:sz w:val="16"/>
              </w:rPr>
              <w:t>State</w:t>
            </w:r>
          </w:p>
        </w:tc>
      </w:tr>
      <w:tr>
        <w:trPr/>
        <w:tc>
          <w:tcPr>
            <w:tcW w:type="dxa" w:w="2664"/>
            <w:vAlign w:val="center"/>
          </w:tcPr>
          <w:p>
            <w:pPr>
              <w:spacing w:after="0"/>
            </w:pPr>
            <w:r>
              <w:rPr>
                <w:sz w:val="14"/>
              </w:rPr>
            </w:r>
            <w:r>
              <w:rPr>
                <w:rFonts w:ascii="Aptos" w:hAnsi="Aptos"/>
                <w:b w:val="0"/>
                <w:sz w:val="16"/>
              </w:rPr>
              <w:t>EV-001</w:t>
            </w:r>
          </w:p>
        </w:tc>
        <w:tc>
          <w:tcPr>
            <w:tcW w:type="dxa" w:w="2664"/>
            <w:vAlign w:val="center"/>
          </w:tcPr>
          <w:p>
            <w:pPr>
              <w:spacing w:after="0"/>
            </w:pPr>
            <w:r>
              <w:rPr>
                <w:sz w:val="14"/>
              </w:rPr>
            </w:r>
            <w:r>
              <w:rPr>
                <w:rFonts w:ascii="Aptos" w:hAnsi="Aptos"/>
                <w:b w:val="0"/>
                <w:sz w:val="16"/>
              </w:rPr>
              <w:t>Cloud governance</w:t>
            </w:r>
          </w:p>
        </w:tc>
        <w:tc>
          <w:tcPr>
            <w:tcW w:type="dxa" w:w="2664"/>
            <w:vAlign w:val="center"/>
          </w:tcPr>
          <w:p>
            <w:pPr>
              <w:spacing w:after="0"/>
            </w:pPr>
            <w:r>
              <w:rPr>
                <w:sz w:val="14"/>
              </w:rPr>
            </w:r>
            <w:r>
              <w:rPr>
                <w:rFonts w:ascii="Aptos" w:hAnsi="Aptos"/>
                <w:b w:val="0"/>
                <w:sz w:val="16"/>
              </w:rPr>
              <w:t>Approved Session 1 programme, scope, team/responsibility documentation</w:t>
            </w:r>
          </w:p>
        </w:tc>
        <w:tc>
          <w:tcPr>
            <w:tcW w:type="dxa" w:w="2664"/>
            <w:vAlign w:val="center"/>
          </w:tcPr>
          <w:p>
            <w:pPr>
              <w:spacing w:after="0"/>
            </w:pPr>
            <w:r>
              <w:rPr>
                <w:sz w:val="14"/>
              </w:rPr>
            </w:r>
            <w:r>
              <w:rPr>
                <w:rFonts w:ascii="Aptos" w:hAnsi="Aptos"/>
                <w:b w:val="0"/>
                <w:sz w:val="16"/>
              </w:rPr>
              <w:t>Available</w:t>
            </w:r>
          </w:p>
        </w:tc>
      </w:tr>
      <w:tr>
        <w:trPr/>
        <w:tc>
          <w:tcPr>
            <w:tcW w:type="dxa" w:w="2664"/>
            <w:vAlign w:val="center"/>
          </w:tcPr>
          <w:p>
            <w:pPr>
              <w:spacing w:after="0"/>
            </w:pPr>
            <w:r>
              <w:rPr>
                <w:sz w:val="14"/>
              </w:rPr>
            </w:r>
            <w:r>
              <w:rPr>
                <w:rFonts w:ascii="Aptos" w:hAnsi="Aptos"/>
                <w:b w:val="0"/>
                <w:sz w:val="16"/>
              </w:rPr>
              <w:t>EV-002</w:t>
            </w:r>
          </w:p>
        </w:tc>
        <w:tc>
          <w:tcPr>
            <w:tcW w:type="dxa" w:w="2664"/>
            <w:vAlign w:val="center"/>
          </w:tcPr>
          <w:p>
            <w:pPr>
              <w:spacing w:after="0"/>
            </w:pPr>
            <w:r>
              <w:rPr>
                <w:sz w:val="14"/>
              </w:rPr>
            </w:r>
            <w:r>
              <w:rPr>
                <w:rFonts w:ascii="Aptos" w:hAnsi="Aptos"/>
                <w:b w:val="0"/>
                <w:sz w:val="16"/>
              </w:rPr>
              <w:t>IAM / access control</w:t>
            </w:r>
          </w:p>
        </w:tc>
        <w:tc>
          <w:tcPr>
            <w:tcW w:type="dxa" w:w="2664"/>
            <w:vAlign w:val="center"/>
          </w:tcPr>
          <w:p>
            <w:r>
              <w:rPr>
                <w:sz w:val="14"/>
              </w:rPr>
            </w:r>
            <w:r>
              <w:rPr>
                <w:b w:val="0"/>
                <w:sz w:val="14"/>
              </w:rPr>
              <w:t>Cognito/IAM manual evidence + Prowler/ScoutSuite IAM results</w:t>
            </w:r>
          </w:p>
        </w:tc>
        <w:tc>
          <w:tcPr>
            <w:tcW w:type="dxa" w:w="2664"/>
            <w:vAlign w:val="center"/>
          </w:tcPr>
          <w:p>
            <w:r>
              <w:rPr>
                <w:sz w:val="14"/>
              </w:rPr>
            </w:r>
            <w:r>
              <w:rPr>
                <w:b w:val="0"/>
                <w:sz w:val="14"/>
              </w:rPr>
              <w:t>Complete</w:t>
            </w:r>
          </w:p>
        </w:tc>
      </w:tr>
      <w:tr>
        <w:trPr/>
        <w:tc>
          <w:tcPr>
            <w:tcW w:type="dxa" w:w="2664"/>
            <w:vAlign w:val="center"/>
          </w:tcPr>
          <w:p>
            <w:pPr>
              <w:spacing w:after="0"/>
            </w:pPr>
            <w:r>
              <w:rPr>
                <w:sz w:val="14"/>
              </w:rPr>
            </w:r>
            <w:r>
              <w:rPr>
                <w:rFonts w:ascii="Aptos" w:hAnsi="Aptos"/>
                <w:b w:val="0"/>
                <w:sz w:val="16"/>
              </w:rPr>
              <w:t>EV-003</w:t>
            </w:r>
          </w:p>
        </w:tc>
        <w:tc>
          <w:tcPr>
            <w:tcW w:type="dxa" w:w="2664"/>
            <w:vAlign w:val="center"/>
          </w:tcPr>
          <w:p>
            <w:pPr>
              <w:spacing w:after="0"/>
            </w:pPr>
            <w:r>
              <w:rPr>
                <w:sz w:val="14"/>
              </w:rPr>
            </w:r>
            <w:r>
              <w:rPr>
                <w:rFonts w:ascii="Aptos" w:hAnsi="Aptos"/>
                <w:b w:val="0"/>
                <w:sz w:val="16"/>
              </w:rPr>
              <w:t>Storage security</w:t>
            </w:r>
          </w:p>
        </w:tc>
        <w:tc>
          <w:tcPr>
            <w:tcW w:type="dxa" w:w="2664"/>
            <w:vAlign w:val="center"/>
          </w:tcPr>
          <w:p>
            <w:r>
              <w:rPr>
                <w:sz w:val="14"/>
              </w:rPr>
            </w:r>
            <w:r>
              <w:rPr>
                <w:b w:val="0"/>
                <w:sz w:val="14"/>
              </w:rPr>
              <w:t>RDS/S3/Secrets Manager/EBS evidence + scanner corroboration</w:t>
            </w:r>
          </w:p>
        </w:tc>
        <w:tc>
          <w:tcPr>
            <w:tcW w:type="dxa" w:w="2664"/>
            <w:vAlign w:val="center"/>
          </w:tcPr>
          <w:p>
            <w:r>
              <w:rPr>
                <w:sz w:val="14"/>
              </w:rPr>
            </w:r>
            <w:r>
              <w:rPr>
                <w:b w:val="0"/>
                <w:sz w:val="14"/>
              </w:rPr>
              <w:t>Complete</w:t>
            </w:r>
          </w:p>
        </w:tc>
      </w:tr>
      <w:tr>
        <w:trPr/>
        <w:tc>
          <w:tcPr>
            <w:tcW w:type="dxa" w:w="2664"/>
            <w:vAlign w:val="center"/>
          </w:tcPr>
          <w:p>
            <w:pPr>
              <w:spacing w:after="0"/>
            </w:pPr>
            <w:r>
              <w:rPr>
                <w:sz w:val="14"/>
              </w:rPr>
            </w:r>
            <w:r>
              <w:rPr>
                <w:rFonts w:ascii="Aptos" w:hAnsi="Aptos"/>
                <w:b w:val="0"/>
                <w:sz w:val="16"/>
              </w:rPr>
              <w:t>EV-004</w:t>
            </w:r>
          </w:p>
        </w:tc>
        <w:tc>
          <w:tcPr>
            <w:tcW w:type="dxa" w:w="2664"/>
            <w:vAlign w:val="center"/>
          </w:tcPr>
          <w:p>
            <w:pPr>
              <w:spacing w:after="0"/>
            </w:pPr>
            <w:r>
              <w:rPr>
                <w:sz w:val="14"/>
              </w:rPr>
            </w:r>
            <w:r>
              <w:rPr>
                <w:rFonts w:ascii="Aptos" w:hAnsi="Aptos"/>
                <w:b w:val="0"/>
                <w:sz w:val="16"/>
              </w:rPr>
              <w:t>Network security</w:t>
            </w:r>
          </w:p>
        </w:tc>
        <w:tc>
          <w:tcPr>
            <w:tcW w:type="dxa" w:w="2664"/>
            <w:vAlign w:val="center"/>
          </w:tcPr>
          <w:p>
            <w:r>
              <w:rPr>
                <w:sz w:val="14"/>
              </w:rPr>
            </w:r>
            <w:r>
              <w:rPr>
                <w:b w:val="0"/>
                <w:sz w:val="14"/>
              </w:rPr>
              <w:t>SG/VPC/NACL evidence + Prowler/ScoutSuite network findings</w:t>
            </w:r>
          </w:p>
        </w:tc>
        <w:tc>
          <w:tcPr>
            <w:tcW w:type="dxa" w:w="2664"/>
            <w:vAlign w:val="center"/>
          </w:tcPr>
          <w:p>
            <w:r>
              <w:rPr>
                <w:sz w:val="14"/>
              </w:rPr>
            </w:r>
            <w:r>
              <w:rPr>
                <w:b w:val="0"/>
                <w:sz w:val="14"/>
              </w:rPr>
              <w:t>Complete</w:t>
            </w:r>
          </w:p>
        </w:tc>
      </w:tr>
      <w:tr>
        <w:trPr/>
        <w:tc>
          <w:tcPr>
            <w:tcW w:type="dxa" w:w="2664"/>
            <w:vAlign w:val="center"/>
          </w:tcPr>
          <w:p>
            <w:pPr>
              <w:spacing w:after="0"/>
            </w:pPr>
            <w:r>
              <w:rPr>
                <w:sz w:val="14"/>
              </w:rPr>
            </w:r>
            <w:r>
              <w:rPr>
                <w:rFonts w:ascii="Aptos" w:hAnsi="Aptos"/>
                <w:b w:val="0"/>
                <w:sz w:val="16"/>
              </w:rPr>
              <w:t>EV-005</w:t>
            </w:r>
          </w:p>
        </w:tc>
        <w:tc>
          <w:tcPr>
            <w:tcW w:type="dxa" w:w="2664"/>
            <w:vAlign w:val="center"/>
          </w:tcPr>
          <w:p>
            <w:pPr>
              <w:spacing w:after="0"/>
            </w:pPr>
            <w:r>
              <w:rPr>
                <w:sz w:val="14"/>
              </w:rPr>
            </w:r>
            <w:r>
              <w:rPr>
                <w:rFonts w:ascii="Aptos" w:hAnsi="Aptos"/>
                <w:b w:val="0"/>
                <w:sz w:val="16"/>
              </w:rPr>
              <w:t>Logging &amp; monitoring</w:t>
            </w:r>
          </w:p>
        </w:tc>
        <w:tc>
          <w:tcPr>
            <w:tcW w:type="dxa" w:w="2664"/>
            <w:vAlign w:val="center"/>
          </w:tcPr>
          <w:p>
            <w:r>
              <w:rPr>
                <w:sz w:val="14"/>
              </w:rPr>
            </w:r>
            <w:r>
              <w:rPr>
                <w:b w:val="0"/>
                <w:sz w:val="14"/>
              </w:rPr>
              <w:t>CloudTrail/CloudWatch/SNS evidence + ScoutSuite logging findings</w:t>
            </w:r>
          </w:p>
        </w:tc>
        <w:tc>
          <w:tcPr>
            <w:tcW w:type="dxa" w:w="2664"/>
            <w:vAlign w:val="center"/>
          </w:tcPr>
          <w:p>
            <w:r>
              <w:rPr>
                <w:sz w:val="14"/>
              </w:rPr>
            </w:r>
            <w:r>
              <w:rPr>
                <w:b w:val="0"/>
                <w:sz w:val="14"/>
              </w:rPr>
              <w:t>Complete</w:t>
            </w:r>
          </w:p>
        </w:tc>
      </w:tr>
      <w:tr>
        <w:trPr/>
        <w:tc>
          <w:tcPr>
            <w:tcW w:type="dxa" w:w="2664"/>
            <w:vAlign w:val="center"/>
          </w:tcPr>
          <w:p>
            <w:pPr>
              <w:spacing w:after="0"/>
            </w:pPr>
            <w:r>
              <w:rPr>
                <w:sz w:val="14"/>
              </w:rPr>
            </w:r>
            <w:r>
              <w:rPr>
                <w:rFonts w:ascii="Aptos" w:hAnsi="Aptos"/>
                <w:b w:val="0"/>
                <w:sz w:val="16"/>
              </w:rPr>
              <w:t>EV-006</w:t>
            </w:r>
          </w:p>
        </w:tc>
        <w:tc>
          <w:tcPr>
            <w:tcW w:type="dxa" w:w="2664"/>
            <w:vAlign w:val="center"/>
          </w:tcPr>
          <w:p>
            <w:pPr>
              <w:spacing w:after="0"/>
            </w:pPr>
            <w:r>
              <w:rPr>
                <w:sz w:val="14"/>
              </w:rPr>
            </w:r>
            <w:r>
              <w:rPr>
                <w:rFonts w:ascii="Aptos" w:hAnsi="Aptos"/>
                <w:b w:val="0"/>
                <w:sz w:val="16"/>
              </w:rPr>
              <w:t>Security scan</w:t>
            </w:r>
          </w:p>
        </w:tc>
        <w:tc>
          <w:tcPr>
            <w:tcW w:type="dxa" w:w="2664"/>
            <w:vAlign w:val="center"/>
          </w:tcPr>
          <w:p>
            <w:r>
              <w:rPr>
                <w:sz w:val="14"/>
              </w:rPr>
            </w:r>
            <w:r>
              <w:rPr>
                <w:b w:val="0"/>
                <w:sz w:val="14"/>
              </w:rPr>
              <w:t>Prowler HTML/CSV/OCSF + ScoutSuite HTML/result/error files + screenshots</w:t>
            </w:r>
          </w:p>
        </w:tc>
        <w:tc>
          <w:tcPr>
            <w:tcW w:type="dxa" w:w="2664"/>
            <w:vAlign w:val="center"/>
          </w:tcPr>
          <w:p>
            <w:r>
              <w:rPr>
                <w:sz w:val="14"/>
              </w:rPr>
            </w:r>
            <w:r>
              <w:rPr>
                <w:b w:val="0"/>
                <w:sz w:val="14"/>
              </w:rPr>
              <w:t>Complete</w:t>
            </w:r>
          </w:p>
        </w:tc>
      </w:tr>
      <w:tr>
        <w:trPr/>
        <w:tc>
          <w:tcPr>
            <w:tcW w:type="dxa" w:w="2664"/>
            <w:vAlign w:val="center"/>
          </w:tcPr>
          <w:p>
            <w:pPr>
              <w:spacing w:after="0"/>
            </w:pPr>
            <w:r>
              <w:rPr>
                <w:sz w:val="14"/>
              </w:rPr>
            </w:r>
            <w:r>
              <w:rPr>
                <w:rFonts w:ascii="Aptos" w:hAnsi="Aptos"/>
                <w:b w:val="0"/>
                <w:sz w:val="16"/>
              </w:rPr>
              <w:t>EV-007</w:t>
            </w:r>
          </w:p>
        </w:tc>
        <w:tc>
          <w:tcPr>
            <w:tcW w:type="dxa" w:w="2664"/>
            <w:vAlign w:val="center"/>
          </w:tcPr>
          <w:p>
            <w:pPr>
              <w:spacing w:after="0"/>
            </w:pPr>
            <w:r>
              <w:rPr>
                <w:sz w:val="14"/>
              </w:rPr>
            </w:r>
            <w:r>
              <w:rPr>
                <w:rFonts w:ascii="Aptos" w:hAnsi="Aptos"/>
                <w:b w:val="0"/>
                <w:sz w:val="16"/>
              </w:rPr>
              <w:t>Lab limitations</w:t>
            </w:r>
          </w:p>
        </w:tc>
        <w:tc>
          <w:tcPr>
            <w:tcW w:type="dxa" w:w="2664"/>
            <w:vAlign w:val="center"/>
          </w:tcPr>
          <w:p>
            <w:r>
              <w:rPr>
                <w:sz w:val="14"/>
              </w:rPr>
            </w:r>
            <w:r>
              <w:rPr>
                <w:b w:val="0"/>
                <w:sz w:val="14"/>
              </w:rPr>
              <w:t>Assumed-role and AccessDenied captures; RDS capacity, CloudTrail state-change and tooling limitations are secondary narrative records</w:t>
            </w:r>
          </w:p>
        </w:tc>
        <w:tc>
          <w:tcPr>
            <w:tcW w:type="dxa" w:w="2664"/>
            <w:vAlign w:val="center"/>
          </w:tcPr>
          <w:p>
            <w:r>
              <w:rPr>
                <w:sz w:val="14"/>
              </w:rPr>
            </w:r>
            <w:r>
              <w:rPr>
                <w:b w:val="0"/>
                <w:sz w:val="14"/>
              </w:rPr>
              <w:t>Complete</w:t>
            </w:r>
          </w:p>
        </w:tc>
      </w:tr>
    </w:tbl>
    <w:p>
      <w:pPr>
        <w:pStyle w:val="Heading1"/>
        <w:keepNext/>
        <w:pageBreakBefore/>
      </w:pPr>
      <w:r>
        <w:t>11. Consolidated findings and scanner correlation</w:t>
      </w:r>
    </w:p>
    <w:p>
      <w:r>
        <w:t>The table below consolidates the evidence-supported findings after manual review and automated triage. Repeated scanner rules that describe the same root cause are not counted as separate audit findings.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c>
          <w:tcPr>
            <w:tcW w:type="dxa" w:w="1776"/>
            <w:vAlign w:val="center"/>
            <w:shd w:fill="D9EAF7"/>
          </w:tcPr>
          <w:p>
            <w:r>
              <w:rPr>
                <w:b/>
                <w:sz w:val="14"/>
              </w:rPr>
            </w:r>
            <w:r>
              <w:rPr>
                <w:b/>
                <w:sz w:val="13"/>
              </w:rPr>
              <w:t>Ref.</w:t>
            </w:r>
          </w:p>
        </w:tc>
        <w:tc>
          <w:tcPr>
            <w:tcW w:type="dxa" w:w="1776"/>
            <w:vAlign w:val="center"/>
            <w:shd w:fill="D9EAF7"/>
          </w:tcPr>
          <w:p>
            <w:r>
              <w:rPr>
                <w:b/>
                <w:sz w:val="14"/>
              </w:rPr>
            </w:r>
            <w:r>
              <w:rPr>
                <w:b/>
                <w:sz w:val="13"/>
              </w:rPr>
              <w:t>Test</w:t>
            </w:r>
          </w:p>
        </w:tc>
        <w:tc>
          <w:tcPr>
            <w:tcW w:type="dxa" w:w="1776"/>
            <w:vAlign w:val="center"/>
            <w:shd w:fill="D9EAF7"/>
          </w:tcPr>
          <w:p>
            <w:r>
              <w:rPr>
                <w:b/>
                <w:sz w:val="14"/>
              </w:rPr>
            </w:r>
            <w:r>
              <w:rPr>
                <w:b/>
                <w:sz w:val="13"/>
              </w:rPr>
              <w:t>Finding / observation</w:t>
            </w:r>
          </w:p>
        </w:tc>
        <w:tc>
          <w:tcPr>
            <w:tcW w:type="dxa" w:w="1776"/>
            <w:vAlign w:val="center"/>
            <w:shd w:fill="D9EAF7"/>
          </w:tcPr>
          <w:p>
            <w:r>
              <w:rPr>
                <w:b/>
                <w:sz w:val="14"/>
              </w:rPr>
            </w:r>
            <w:r>
              <w:rPr>
                <w:b/>
                <w:sz w:val="13"/>
              </w:rPr>
              <w:t>Evidence basis</w:t>
            </w:r>
          </w:p>
        </w:tc>
        <w:tc>
          <w:tcPr>
            <w:tcW w:type="dxa" w:w="1776"/>
            <w:vAlign w:val="center"/>
            <w:shd w:fill="D9EAF7"/>
          </w:tcPr>
          <w:p>
            <w:r>
              <w:rPr>
                <w:b/>
                <w:sz w:val="14"/>
              </w:rPr>
            </w:r>
            <w:r>
              <w:rPr>
                <w:b/>
                <w:sz w:val="13"/>
              </w:rPr>
              <w:t>Risk / class</w:t>
            </w:r>
          </w:p>
        </w:tc>
        <w:tc>
          <w:tcPr>
            <w:tcW w:type="dxa" w:w="1776"/>
            <w:vAlign w:val="center"/>
            <w:shd w:fill="D9EAF7"/>
          </w:tcPr>
          <w:p>
            <w:r>
              <w:rPr>
                <w:b/>
                <w:sz w:val="14"/>
              </w:rPr>
            </w:r>
            <w:r>
              <w:rPr>
                <w:b/>
                <w:sz w:val="13"/>
              </w:rPr>
              <w:t>Final disposition</w:t>
            </w:r>
          </w:p>
        </w:tc>
      </w:tr>
      <w:tr>
        <w:trPr/>
        <w:tc>
          <w:tcPr>
            <w:tcW w:type="dxa" w:w="1776"/>
            <w:vAlign w:val="center"/>
          </w:tcPr>
          <w:p>
            <w:r>
              <w:rPr>
                <w:sz w:val="14"/>
              </w:rPr>
            </w:r>
            <w:r>
              <w:rPr>
                <w:b w:val="0"/>
                <w:sz w:val="12"/>
              </w:rPr>
              <w:t>F-01</w:t>
            </w:r>
          </w:p>
        </w:tc>
        <w:tc>
          <w:tcPr>
            <w:tcW w:type="dxa" w:w="1776"/>
            <w:vAlign w:val="center"/>
          </w:tcPr>
          <w:p>
            <w:r>
              <w:rPr>
                <w:sz w:val="14"/>
              </w:rPr>
            </w:r>
            <w:r>
              <w:rPr>
                <w:b w:val="0"/>
                <w:sz w:val="12"/>
              </w:rPr>
              <w:t>T-04</w:t>
            </w:r>
          </w:p>
        </w:tc>
        <w:tc>
          <w:tcPr>
            <w:tcW w:type="dxa" w:w="1776"/>
            <w:vAlign w:val="center"/>
          </w:tcPr>
          <w:p>
            <w:r>
              <w:rPr>
                <w:sz w:val="14"/>
              </w:rPr>
            </w:r>
            <w:r>
              <w:rPr>
                <w:b w:val="0"/>
                <w:sz w:val="12"/>
              </w:rPr>
              <w:t>EC2 SSH TCP/22 exposed to 0.0.0.0/0.</w:t>
            </w:r>
          </w:p>
        </w:tc>
        <w:tc>
          <w:tcPr>
            <w:tcW w:type="dxa" w:w="1776"/>
            <w:vAlign w:val="center"/>
          </w:tcPr>
          <w:p>
            <w:r>
              <w:rPr>
                <w:sz w:val="14"/>
              </w:rPr>
            </w:r>
            <w:r>
              <w:rPr>
                <w:b w:val="0"/>
                <w:sz w:val="12"/>
              </w:rPr>
              <w:t>Manual SG evidence + Prowler Critical/High + ScoutSuite Danger</w:t>
            </w:r>
          </w:p>
        </w:tc>
        <w:tc>
          <w:tcPr>
            <w:tcW w:type="dxa" w:w="1776"/>
            <w:vAlign w:val="center"/>
          </w:tcPr>
          <w:p>
            <w:r>
              <w:rPr>
                <w:sz w:val="14"/>
              </w:rPr>
            </w:r>
            <w:r>
              <w:rPr>
                <w:b w:val="0"/>
                <w:sz w:val="12"/>
              </w:rPr>
              <w:t>High / Major NC</w:t>
            </w:r>
          </w:p>
        </w:tc>
        <w:tc>
          <w:tcPr>
            <w:tcW w:type="dxa" w:w="1776"/>
            <w:vAlign w:val="center"/>
          </w:tcPr>
          <w:p>
            <w:r>
              <w:rPr>
                <w:sz w:val="14"/>
              </w:rPr>
            </w:r>
            <w:r>
              <w:rPr>
                <w:b w:val="0"/>
                <w:sz w:val="12"/>
              </w:rPr>
              <w:t>Confirmed; restrict administrative access.</w:t>
            </w:r>
          </w:p>
        </w:tc>
      </w:tr>
      <w:tr>
        <w:trPr/>
        <w:tc>
          <w:tcPr>
            <w:tcW w:type="dxa" w:w="1776"/>
            <w:vAlign w:val="center"/>
          </w:tcPr>
          <w:p>
            <w:r>
              <w:rPr>
                <w:sz w:val="14"/>
              </w:rPr>
            </w:r>
            <w:r>
              <w:rPr>
                <w:b w:val="0"/>
                <w:sz w:val="12"/>
              </w:rPr>
              <w:t>F-09</w:t>
            </w:r>
          </w:p>
        </w:tc>
        <w:tc>
          <w:tcPr>
            <w:tcW w:type="dxa" w:w="1776"/>
            <w:vAlign w:val="center"/>
          </w:tcPr>
          <w:p>
            <w:r>
              <w:rPr>
                <w:sz w:val="14"/>
              </w:rPr>
            </w:r>
            <w:r>
              <w:rPr>
                <w:b w:val="0"/>
                <w:sz w:val="12"/>
              </w:rPr>
              <w:t>T-04</w:t>
            </w:r>
          </w:p>
        </w:tc>
        <w:tc>
          <w:tcPr>
            <w:tcW w:type="dxa" w:w="1776"/>
            <w:vAlign w:val="center"/>
          </w:tcPr>
          <w:p>
            <w:r>
              <w:rPr>
                <w:sz w:val="14"/>
              </w:rPr>
            </w:r>
            <w:r>
              <w:rPr>
                <w:b w:val="0"/>
                <w:sz w:val="12"/>
              </w:rPr>
              <w:t>Potential stale RDS SG rule permits TCP/5543 while PostgreSQL uses 5432 through a separate linked SG.</w:t>
            </w:r>
          </w:p>
        </w:tc>
        <w:tc>
          <w:tcPr>
            <w:tcW w:type="dxa" w:w="1776"/>
            <w:vAlign w:val="center"/>
          </w:tcPr>
          <w:p>
            <w:r>
              <w:rPr>
                <w:sz w:val="14"/>
              </w:rPr>
            </w:r>
            <w:r>
              <w:rPr>
                <w:b w:val="0"/>
                <w:sz w:val="12"/>
              </w:rPr>
              <w:t>Manual SG evidence</w:t>
            </w:r>
          </w:p>
        </w:tc>
        <w:tc>
          <w:tcPr>
            <w:tcW w:type="dxa" w:w="1776"/>
            <w:vAlign w:val="center"/>
          </w:tcPr>
          <w:p>
            <w:r>
              <w:rPr>
                <w:sz w:val="14"/>
              </w:rPr>
            </w:r>
            <w:r>
              <w:rPr>
                <w:b w:val="0"/>
                <w:sz w:val="12"/>
              </w:rPr>
              <w:t>Low / Observation</w:t>
            </w:r>
          </w:p>
        </w:tc>
        <w:tc>
          <w:tcPr>
            <w:tcW w:type="dxa" w:w="1776"/>
            <w:vAlign w:val="center"/>
          </w:tcPr>
          <w:p>
            <w:r>
              <w:rPr>
                <w:sz w:val="14"/>
              </w:rPr>
            </w:r>
            <w:r>
              <w:rPr>
                <w:b w:val="0"/>
                <w:sz w:val="12"/>
              </w:rPr>
              <w:t>Verify purpose and remove if unused.</w:t>
            </w:r>
          </w:p>
        </w:tc>
      </w:tr>
      <w:tr>
        <w:trPr/>
        <w:tc>
          <w:tcPr>
            <w:tcW w:type="dxa" w:w="1776"/>
            <w:vAlign w:val="center"/>
          </w:tcPr>
          <w:p>
            <w:r>
              <w:rPr>
                <w:sz w:val="14"/>
              </w:rPr>
            </w:r>
            <w:r>
              <w:rPr>
                <w:b w:val="0"/>
                <w:sz w:val="12"/>
              </w:rPr>
              <w:t>F-03</w:t>
            </w:r>
          </w:p>
        </w:tc>
        <w:tc>
          <w:tcPr>
            <w:tcW w:type="dxa" w:w="1776"/>
            <w:vAlign w:val="center"/>
          </w:tcPr>
          <w:p>
            <w:r>
              <w:rPr>
                <w:sz w:val="14"/>
              </w:rPr>
            </w:r>
            <w:r>
              <w:rPr>
                <w:b w:val="0"/>
                <w:sz w:val="12"/>
              </w:rPr>
              <w:t>T-02</w:t>
            </w:r>
          </w:p>
        </w:tc>
        <w:tc>
          <w:tcPr>
            <w:tcW w:type="dxa" w:w="1776"/>
            <w:vAlign w:val="center"/>
          </w:tcPr>
          <w:p>
            <w:r>
              <w:rPr>
                <w:sz w:val="14"/>
              </w:rPr>
            </w:r>
            <w:r>
              <w:rPr>
                <w:b w:val="0"/>
                <w:sz w:val="12"/>
              </w:rPr>
              <w:t>Cognito MFA is not enforced.</w:t>
            </w:r>
          </w:p>
        </w:tc>
        <w:tc>
          <w:tcPr>
            <w:tcW w:type="dxa" w:w="1776"/>
            <w:vAlign w:val="center"/>
          </w:tcPr>
          <w:p>
            <w:r>
              <w:rPr>
                <w:sz w:val="14"/>
              </w:rPr>
            </w:r>
            <w:r>
              <w:rPr>
                <w:b w:val="0"/>
                <w:sz w:val="12"/>
              </w:rPr>
              <w:t>Manual Cognito evidence</w:t>
            </w:r>
          </w:p>
        </w:tc>
        <w:tc>
          <w:tcPr>
            <w:tcW w:type="dxa" w:w="1776"/>
            <w:vAlign w:val="center"/>
          </w:tcPr>
          <w:p>
            <w:r>
              <w:rPr>
                <w:sz w:val="14"/>
              </w:rPr>
            </w:r>
            <w:r>
              <w:rPr>
                <w:b w:val="0"/>
                <w:sz w:val="12"/>
              </w:rPr>
              <w:t>Medium / Minor NC</w:t>
            </w:r>
          </w:p>
        </w:tc>
        <w:tc>
          <w:tcPr>
            <w:tcW w:type="dxa" w:w="1776"/>
            <w:vAlign w:val="center"/>
          </w:tcPr>
          <w:p>
            <w:r>
              <w:rPr>
                <w:sz w:val="14"/>
              </w:rPr>
            </w:r>
            <w:r>
              <w:rPr>
                <w:b w:val="0"/>
                <w:sz w:val="12"/>
              </w:rPr>
              <w:t>Enable MFA, especially for privileged users.</w:t>
            </w:r>
          </w:p>
        </w:tc>
      </w:tr>
      <w:tr>
        <w:trPr/>
        <w:tc>
          <w:tcPr>
            <w:tcW w:type="dxa" w:w="1776"/>
            <w:vAlign w:val="center"/>
          </w:tcPr>
          <w:p>
            <w:r>
              <w:rPr>
                <w:sz w:val="14"/>
              </w:rPr>
            </w:r>
            <w:r>
              <w:rPr>
                <w:b w:val="0"/>
                <w:sz w:val="12"/>
              </w:rPr>
              <w:t>F-04</w:t>
            </w:r>
          </w:p>
        </w:tc>
        <w:tc>
          <w:tcPr>
            <w:tcW w:type="dxa" w:w="1776"/>
            <w:vAlign w:val="center"/>
          </w:tcPr>
          <w:p>
            <w:r>
              <w:rPr>
                <w:sz w:val="14"/>
              </w:rPr>
            </w:r>
            <w:r>
              <w:rPr>
                <w:b w:val="0"/>
                <w:sz w:val="12"/>
              </w:rPr>
              <w:t>T-05</w:t>
            </w:r>
          </w:p>
        </w:tc>
        <w:tc>
          <w:tcPr>
            <w:tcW w:type="dxa" w:w="1776"/>
            <w:vAlign w:val="center"/>
          </w:tcPr>
          <w:p>
            <w:r>
              <w:rPr>
                <w:sz w:val="14"/>
              </w:rPr>
            </w:r>
            <w:r>
              <w:rPr>
                <w:b w:val="0"/>
                <w:sz w:val="12"/>
              </w:rPr>
              <w:t>CloudTrail log-file validation is disabled.</w:t>
            </w:r>
          </w:p>
        </w:tc>
        <w:tc>
          <w:tcPr>
            <w:tcW w:type="dxa" w:w="1776"/>
            <w:vAlign w:val="center"/>
          </w:tcPr>
          <w:p>
            <w:r>
              <w:rPr>
                <w:sz w:val="14"/>
              </w:rPr>
            </w:r>
            <w:r>
              <w:rPr>
                <w:b w:val="0"/>
                <w:sz w:val="12"/>
              </w:rPr>
              <w:t>Manual evidence + ScoutSuite Danger</w:t>
            </w:r>
          </w:p>
        </w:tc>
        <w:tc>
          <w:tcPr>
            <w:tcW w:type="dxa" w:w="1776"/>
            <w:vAlign w:val="center"/>
          </w:tcPr>
          <w:p>
            <w:r>
              <w:rPr>
                <w:sz w:val="14"/>
              </w:rPr>
            </w:r>
            <w:r>
              <w:rPr>
                <w:b w:val="0"/>
                <w:sz w:val="12"/>
              </w:rPr>
              <w:t>Low / Observation</w:t>
            </w:r>
          </w:p>
        </w:tc>
        <w:tc>
          <w:tcPr>
            <w:tcW w:type="dxa" w:w="1776"/>
            <w:vAlign w:val="center"/>
          </w:tcPr>
          <w:p>
            <w:r>
              <w:rPr>
                <w:sz w:val="14"/>
              </w:rPr>
            </w:r>
            <w:r>
              <w:rPr>
                <w:b w:val="0"/>
                <w:sz w:val="12"/>
              </w:rPr>
              <w:t>Enable validation if permitted.</w:t>
            </w:r>
          </w:p>
        </w:tc>
      </w:tr>
      <w:tr>
        <w:trPr/>
        <w:tc>
          <w:tcPr>
            <w:tcW w:type="dxa" w:w="1776"/>
            <w:vAlign w:val="center"/>
          </w:tcPr>
          <w:p>
            <w:r>
              <w:rPr>
                <w:sz w:val="14"/>
              </w:rPr>
            </w:r>
            <w:r>
              <w:rPr>
                <w:b w:val="0"/>
                <w:sz w:val="12"/>
              </w:rPr>
              <w:t>F-05</w:t>
            </w:r>
          </w:p>
        </w:tc>
        <w:tc>
          <w:tcPr>
            <w:tcW w:type="dxa" w:w="1776"/>
            <w:vAlign w:val="center"/>
          </w:tcPr>
          <w:p>
            <w:r>
              <w:rPr>
                <w:sz w:val="14"/>
              </w:rPr>
            </w:r>
            <w:r>
              <w:rPr>
                <w:b w:val="0"/>
                <w:sz w:val="12"/>
              </w:rPr>
              <w:t>T-05</w:t>
            </w:r>
          </w:p>
        </w:tc>
        <w:tc>
          <w:tcPr>
            <w:tcW w:type="dxa" w:w="1776"/>
            <w:vAlign w:val="center"/>
          </w:tcPr>
          <w:p>
            <w:r>
              <w:rPr>
                <w:sz w:val="14"/>
              </w:rPr>
            </w:r>
            <w:r>
              <w:rPr>
                <w:b w:val="0"/>
                <w:sz w:val="12"/>
              </w:rPr>
              <w:t>Reviewed CloudWatch log groups use “Never expire” without a documented retention policy.</w:t>
            </w:r>
          </w:p>
        </w:tc>
        <w:tc>
          <w:tcPr>
            <w:tcW w:type="dxa" w:w="1776"/>
            <w:vAlign w:val="center"/>
          </w:tcPr>
          <w:p>
            <w:r>
              <w:rPr>
                <w:sz w:val="14"/>
              </w:rPr>
            </w:r>
            <w:r>
              <w:rPr>
                <w:b w:val="0"/>
                <w:sz w:val="12"/>
              </w:rPr>
              <w:t>Manual CloudWatch evidence</w:t>
            </w:r>
          </w:p>
        </w:tc>
        <w:tc>
          <w:tcPr>
            <w:tcW w:type="dxa" w:w="1776"/>
            <w:vAlign w:val="center"/>
          </w:tcPr>
          <w:p>
            <w:r>
              <w:rPr>
                <w:sz w:val="14"/>
              </w:rPr>
            </w:r>
            <w:r>
              <w:rPr>
                <w:b w:val="0"/>
                <w:sz w:val="12"/>
              </w:rPr>
              <w:t>Low / Observation</w:t>
            </w:r>
          </w:p>
        </w:tc>
        <w:tc>
          <w:tcPr>
            <w:tcW w:type="dxa" w:w="1776"/>
            <w:vAlign w:val="center"/>
          </w:tcPr>
          <w:p>
            <w:r>
              <w:rPr>
                <w:sz w:val="14"/>
              </w:rPr>
            </w:r>
            <w:r>
              <w:rPr>
                <w:b w:val="0"/>
                <w:sz w:val="12"/>
              </w:rPr>
              <w:t>Define retention by security/legal/cost need.</w:t>
            </w:r>
          </w:p>
        </w:tc>
      </w:tr>
      <w:tr>
        <w:trPr/>
        <w:tc>
          <w:tcPr>
            <w:tcW w:type="dxa" w:w="1776"/>
            <w:vAlign w:val="center"/>
          </w:tcPr>
          <w:p>
            <w:r>
              <w:rPr>
                <w:sz w:val="14"/>
              </w:rPr>
            </w:r>
            <w:r>
              <w:rPr>
                <w:b w:val="0"/>
                <w:sz w:val="12"/>
              </w:rPr>
              <w:t>F-07</w:t>
            </w:r>
          </w:p>
        </w:tc>
        <w:tc>
          <w:tcPr>
            <w:tcW w:type="dxa" w:w="1776"/>
            <w:vAlign w:val="center"/>
          </w:tcPr>
          <w:p>
            <w:r>
              <w:rPr>
                <w:sz w:val="14"/>
              </w:rPr>
            </w:r>
            <w:r>
              <w:rPr>
                <w:b w:val="0"/>
                <w:sz w:val="12"/>
              </w:rPr>
              <w:t>T-05</w:t>
            </w:r>
          </w:p>
        </w:tc>
        <w:tc>
          <w:tcPr>
            <w:tcW w:type="dxa" w:w="1776"/>
            <w:vAlign w:val="center"/>
          </w:tcPr>
          <w:p>
            <w:r>
              <w:rPr>
                <w:sz w:val="14"/>
              </w:rPr>
            </w:r>
            <w:r>
              <w:rPr>
                <w:b w:val="0"/>
                <w:sz w:val="12"/>
              </w:rPr>
              <w:t>SNS ecommerce-security-alerts does not satisfy the Prowler KMS-at-rest check.</w:t>
            </w:r>
          </w:p>
        </w:tc>
        <w:tc>
          <w:tcPr>
            <w:tcW w:type="dxa" w:w="1776"/>
            <w:vAlign w:val="center"/>
          </w:tcPr>
          <w:p>
            <w:r>
              <w:rPr>
                <w:sz w:val="14"/>
              </w:rPr>
            </w:r>
            <w:r>
              <w:rPr>
                <w:b w:val="0"/>
                <w:sz w:val="12"/>
              </w:rPr>
              <w:t>Prowler sns_topics_kms_encryption_at_rest_enabled; EV-005 topic/action evidence</w:t>
            </w:r>
          </w:p>
        </w:tc>
        <w:tc>
          <w:tcPr>
            <w:tcW w:type="dxa" w:w="1776"/>
            <w:vAlign w:val="center"/>
          </w:tcPr>
          <w:p>
            <w:r>
              <w:rPr>
                <w:sz w:val="14"/>
              </w:rPr>
            </w:r>
            <w:r>
              <w:rPr>
                <w:b w:val="0"/>
                <w:sz w:val="12"/>
              </w:rPr>
              <w:t>Medium / Observation</w:t>
            </w:r>
          </w:p>
        </w:tc>
        <w:tc>
          <w:tcPr>
            <w:tcW w:type="dxa" w:w="1776"/>
            <w:vAlign w:val="center"/>
          </w:tcPr>
          <w:p>
            <w:r>
              <w:rPr>
                <w:sz w:val="14"/>
              </w:rPr>
            </w:r>
            <w:r>
              <w:rPr>
                <w:b w:val="0"/>
                <w:sz w:val="12"/>
              </w:rPr>
              <w:t>Enable KMS encryption where permitted; validate notification delivery.</w:t>
            </w:r>
          </w:p>
        </w:tc>
      </w:tr>
      <w:tr>
        <w:trPr/>
        <w:tc>
          <w:tcPr>
            <w:tcW w:type="dxa" w:w="1776"/>
            <w:vAlign w:val="center"/>
          </w:tcPr>
          <w:p>
            <w:r>
              <w:rPr>
                <w:sz w:val="14"/>
              </w:rPr>
            </w:r>
            <w:r>
              <w:rPr>
                <w:b w:val="0"/>
                <w:sz w:val="12"/>
              </w:rPr>
              <w:t>F-02</w:t>
            </w:r>
          </w:p>
        </w:tc>
        <w:tc>
          <w:tcPr>
            <w:tcW w:type="dxa" w:w="1776"/>
            <w:vAlign w:val="center"/>
          </w:tcPr>
          <w:p>
            <w:r>
              <w:rPr>
                <w:sz w:val="14"/>
              </w:rPr>
            </w:r>
            <w:r>
              <w:rPr>
                <w:b w:val="0"/>
                <w:sz w:val="12"/>
              </w:rPr>
              <w:t>T-03</w:t>
            </w:r>
          </w:p>
        </w:tc>
        <w:tc>
          <w:tcPr>
            <w:tcW w:type="dxa" w:w="1776"/>
            <w:vAlign w:val="center"/>
          </w:tcPr>
          <w:p>
            <w:r>
              <w:rPr>
                <w:sz w:val="14"/>
              </w:rPr>
            </w:r>
            <w:r>
              <w:rPr>
                <w:b w:val="0"/>
                <w:sz w:val="12"/>
              </w:rPr>
              <w:t>EC2 EBS volume is not encrypted and EBS encryption-by-default is disabled.</w:t>
            </w:r>
          </w:p>
        </w:tc>
        <w:tc>
          <w:tcPr>
            <w:tcW w:type="dxa" w:w="1776"/>
            <w:vAlign w:val="center"/>
          </w:tcPr>
          <w:p>
            <w:r>
              <w:rPr>
                <w:sz w:val="14"/>
              </w:rPr>
            </w:r>
            <w:r>
              <w:rPr>
                <w:b w:val="0"/>
                <w:sz w:val="12"/>
              </w:rPr>
              <w:t>Prowler High + ScoutSuite Danger/Warning</w:t>
            </w:r>
          </w:p>
        </w:tc>
        <w:tc>
          <w:tcPr>
            <w:tcW w:type="dxa" w:w="1776"/>
            <w:vAlign w:val="center"/>
          </w:tcPr>
          <w:p>
            <w:r>
              <w:rPr>
                <w:sz w:val="14"/>
              </w:rPr>
            </w:r>
            <w:r>
              <w:rPr>
                <w:b w:val="0"/>
                <w:sz w:val="12"/>
              </w:rPr>
              <w:t>High / Major NC</w:t>
            </w:r>
          </w:p>
        </w:tc>
        <w:tc>
          <w:tcPr>
            <w:tcW w:type="dxa" w:w="1776"/>
            <w:vAlign w:val="center"/>
          </w:tcPr>
          <w:p>
            <w:r>
              <w:rPr>
                <w:sz w:val="14"/>
              </w:rPr>
            </w:r>
            <w:r>
              <w:rPr>
                <w:b w:val="0"/>
                <w:sz w:val="12"/>
              </w:rPr>
              <w:t>Encrypt replacement/migrated volume and enable default EBS encryption where permitted.</w:t>
            </w:r>
          </w:p>
        </w:tc>
      </w:tr>
      <w:tr>
        <w:trPr/>
        <w:tc>
          <w:tcPr>
            <w:tcW w:type="dxa" w:w="1776"/>
            <w:vAlign w:val="center"/>
          </w:tcPr>
          <w:p>
            <w:r>
              <w:rPr>
                <w:sz w:val="14"/>
              </w:rPr>
            </w:r>
            <w:r>
              <w:rPr>
                <w:b w:val="0"/>
                <w:sz w:val="12"/>
              </w:rPr>
              <w:t>F-08</w:t>
            </w:r>
          </w:p>
        </w:tc>
        <w:tc>
          <w:tcPr>
            <w:tcW w:type="dxa" w:w="1776"/>
            <w:vAlign w:val="center"/>
          </w:tcPr>
          <w:p>
            <w:r>
              <w:rPr>
                <w:sz w:val="14"/>
              </w:rPr>
            </w:r>
            <w:r>
              <w:rPr>
                <w:b w:val="0"/>
                <w:sz w:val="12"/>
              </w:rPr>
              <w:t>T-03</w:t>
            </w:r>
          </w:p>
        </w:tc>
        <w:tc>
          <w:tcPr>
            <w:tcW w:type="dxa" w:w="1776"/>
            <w:vAlign w:val="center"/>
          </w:tcPr>
          <w:p>
            <w:r>
              <w:rPr>
                <w:sz w:val="14"/>
              </w:rPr>
            </w:r>
            <w:r>
              <w:rPr>
                <w:b w:val="0"/>
                <w:sz w:val="12"/>
              </w:rPr>
              <w:t>RDS is Single-AZ and ScoutSuite reports a short backup retention period; Prowler reports no AWS Backup plan.</w:t>
            </w:r>
          </w:p>
        </w:tc>
        <w:tc>
          <w:tcPr>
            <w:tcW w:type="dxa" w:w="1776"/>
            <w:vAlign w:val="center"/>
          </w:tcPr>
          <w:p>
            <w:r>
              <w:rPr>
                <w:sz w:val="14"/>
              </w:rPr>
            </w:r>
            <w:r>
              <w:rPr>
                <w:b w:val="0"/>
                <w:sz w:val="12"/>
              </w:rPr>
              <w:t>Prowler + ScoutSuite</w:t>
            </w:r>
          </w:p>
        </w:tc>
        <w:tc>
          <w:tcPr>
            <w:tcW w:type="dxa" w:w="1776"/>
            <w:vAlign w:val="center"/>
          </w:tcPr>
          <w:p>
            <w:r>
              <w:rPr>
                <w:sz w:val="14"/>
              </w:rPr>
            </w:r>
            <w:r>
              <w:rPr>
                <w:b w:val="0"/>
                <w:sz w:val="12"/>
              </w:rPr>
              <w:t>Medium / Observation</w:t>
            </w:r>
          </w:p>
        </w:tc>
        <w:tc>
          <w:tcPr>
            <w:tcW w:type="dxa" w:w="1776"/>
            <w:vAlign w:val="center"/>
          </w:tcPr>
          <w:p>
            <w:r>
              <w:rPr>
                <w:sz w:val="14"/>
              </w:rPr>
            </w:r>
            <w:r>
              <w:rPr>
                <w:b w:val="0"/>
                <w:sz w:val="12"/>
              </w:rPr>
              <w:t>Review recovery objectives and backup retention; Multi-AZ as availability hardening where justified.</w:t>
            </w:r>
          </w:p>
        </w:tc>
      </w:tr>
      <w:tr>
        <w:trPr/>
        <w:tc>
          <w:tcPr>
            <w:tcW w:type="dxa" w:w="1776"/>
            <w:vAlign w:val="center"/>
          </w:tcPr>
          <w:p>
            <w:r>
              <w:rPr>
                <w:sz w:val="14"/>
              </w:rPr>
            </w:r>
            <w:r>
              <w:rPr>
                <w:b w:val="0"/>
                <w:sz w:val="12"/>
              </w:rPr>
              <w:t>F-06</w:t>
            </w:r>
          </w:p>
        </w:tc>
        <w:tc>
          <w:tcPr>
            <w:tcW w:type="dxa" w:w="1776"/>
            <w:vAlign w:val="center"/>
          </w:tcPr>
          <w:p>
            <w:r>
              <w:rPr>
                <w:sz w:val="14"/>
              </w:rPr>
            </w:r>
            <w:r>
              <w:rPr>
                <w:b w:val="0"/>
                <w:sz w:val="12"/>
              </w:rPr>
              <w:t>T-03</w:t>
            </w:r>
          </w:p>
        </w:tc>
        <w:tc>
          <w:tcPr>
            <w:tcW w:type="dxa" w:w="1776"/>
            <w:vAlign w:val="center"/>
          </w:tcPr>
          <w:p>
            <w:r>
              <w:rPr>
                <w:sz w:val="14"/>
              </w:rPr>
            </w:r>
            <w:r>
              <w:rPr>
                <w:b w:val="0"/>
                <w:sz w:val="12"/>
              </w:rPr>
              <w:t>Account-level S3 Block Public Access is not configured, although the verified CloudTrail bucket has bucket-level BPA enabled.</w:t>
            </w:r>
          </w:p>
        </w:tc>
        <w:tc>
          <w:tcPr>
            <w:tcW w:type="dxa" w:w="1776"/>
            <w:vAlign w:val="center"/>
          </w:tcPr>
          <w:p>
            <w:r>
              <w:rPr>
                <w:sz w:val="14"/>
              </w:rPr>
            </w:r>
            <w:r>
              <w:rPr>
                <w:b w:val="0"/>
                <w:sz w:val="12"/>
              </w:rPr>
              <w:t>Prowler High + manual S3 evidence</w:t>
            </w:r>
          </w:p>
        </w:tc>
        <w:tc>
          <w:tcPr>
            <w:tcW w:type="dxa" w:w="1776"/>
            <w:vAlign w:val="center"/>
          </w:tcPr>
          <w:p>
            <w:r>
              <w:rPr>
                <w:sz w:val="14"/>
              </w:rPr>
            </w:r>
            <w:r>
              <w:rPr>
                <w:b w:val="0"/>
                <w:sz w:val="12"/>
              </w:rPr>
              <w:t>Medium / Observation</w:t>
            </w:r>
          </w:p>
        </w:tc>
        <w:tc>
          <w:tcPr>
            <w:tcW w:type="dxa" w:w="1776"/>
            <w:vAlign w:val="center"/>
          </w:tcPr>
          <w:p>
            <w:r>
              <w:rPr>
                <w:sz w:val="14"/>
              </w:rPr>
            </w:r>
            <w:r>
              <w:rPr>
                <w:b w:val="0"/>
                <w:sz w:val="12"/>
              </w:rPr>
              <w:t>Enable account-level guardrail where permitted.</w:t>
            </w:r>
          </w:p>
        </w:tc>
      </w:tr>
      <w:tr>
        <w:trPr/>
        <w:tc>
          <w:tcPr>
            <w:tcW w:type="dxa" w:w="1776"/>
            <w:vAlign w:val="center"/>
          </w:tcPr>
          <w:p>
            <w:r>
              <w:rPr>
                <w:sz w:val="14"/>
              </w:rPr>
            </w:r>
            <w:r>
              <w:rPr>
                <w:b w:val="0"/>
                <w:sz w:val="12"/>
              </w:rPr>
              <w:t>OBS-CT-KMS</w:t>
            </w:r>
          </w:p>
        </w:tc>
        <w:tc>
          <w:tcPr>
            <w:tcW w:type="dxa" w:w="1776"/>
            <w:vAlign w:val="center"/>
          </w:tcPr>
          <w:p>
            <w:r>
              <w:rPr>
                <w:sz w:val="14"/>
              </w:rPr>
            </w:r>
            <w:r>
              <w:rPr>
                <w:b w:val="0"/>
                <w:sz w:val="12"/>
              </w:rPr>
              <w:t>T-05</w:t>
            </w:r>
          </w:p>
        </w:tc>
        <w:tc>
          <w:tcPr>
            <w:tcW w:type="dxa" w:w="1776"/>
            <w:vAlign w:val="center"/>
          </w:tcPr>
          <w:p>
            <w:r>
              <w:rPr>
                <w:sz w:val="14"/>
              </w:rPr>
            </w:r>
            <w:r>
              <w:rPr>
                <w:b w:val="0"/>
                <w:sz w:val="12"/>
              </w:rPr>
              <w:t>CloudTrail logs are not protected with a customer-managed KMS key; bucket encryption is SSE-S3.</w:t>
            </w:r>
          </w:p>
        </w:tc>
        <w:tc>
          <w:tcPr>
            <w:tcW w:type="dxa" w:w="1776"/>
            <w:vAlign w:val="center"/>
          </w:tcPr>
          <w:p>
            <w:r>
              <w:rPr>
                <w:sz w:val="14"/>
              </w:rPr>
            </w:r>
            <w:r>
              <w:rPr>
                <w:b w:val="0"/>
                <w:sz w:val="12"/>
              </w:rPr>
              <w:t>ScoutSuite Danger + manual S3 encryption evidence</w:t>
            </w:r>
          </w:p>
        </w:tc>
        <w:tc>
          <w:tcPr>
            <w:tcW w:type="dxa" w:w="1776"/>
            <w:vAlign w:val="center"/>
          </w:tcPr>
          <w:p>
            <w:r>
              <w:rPr>
                <w:sz w:val="14"/>
              </w:rPr>
            </w:r>
            <w:r>
              <w:rPr>
                <w:b w:val="0"/>
                <w:sz w:val="12"/>
              </w:rPr>
              <w:t>Hardening observation</w:t>
            </w:r>
          </w:p>
        </w:tc>
        <w:tc>
          <w:tcPr>
            <w:tcW w:type="dxa" w:w="1776"/>
            <w:vAlign w:val="center"/>
          </w:tcPr>
          <w:p>
            <w:r>
              <w:rPr>
                <w:sz w:val="14"/>
              </w:rPr>
            </w:r>
            <w:r>
              <w:rPr>
                <w:b w:val="0"/>
                <w:sz w:val="12"/>
              </w:rPr>
              <w:t>Consider SSE-KMS/CMK if required and permitted.</w:t>
            </w:r>
          </w:p>
        </w:tc>
      </w:tr>
      <w:tr>
        <w:trPr/>
        <w:tc>
          <w:tcPr>
            <w:tcW w:type="dxa" w:w="1776"/>
            <w:vAlign w:val="center"/>
          </w:tcPr>
          <w:p>
            <w:r>
              <w:rPr>
                <w:sz w:val="14"/>
              </w:rPr>
            </w:r>
            <w:r>
              <w:rPr>
                <w:b w:val="0"/>
                <w:sz w:val="12"/>
              </w:rPr>
              <w:t>F-10</w:t>
            </w:r>
          </w:p>
        </w:tc>
        <w:tc>
          <w:tcPr>
            <w:tcW w:type="dxa" w:w="1776"/>
            <w:vAlign w:val="center"/>
          </w:tcPr>
          <w:p>
            <w:r>
              <w:rPr>
                <w:sz w:val="14"/>
              </w:rPr>
            </w:r>
            <w:r>
              <w:rPr>
                <w:b w:val="0"/>
                <w:sz w:val="12"/>
              </w:rPr>
              <w:t>T-04</w:t>
            </w:r>
          </w:p>
        </w:tc>
        <w:tc>
          <w:tcPr>
            <w:tcW w:type="dxa" w:w="1776"/>
            <w:vAlign w:val="center"/>
          </w:tcPr>
          <w:p>
            <w:r>
              <w:rPr>
                <w:sz w:val="14"/>
              </w:rPr>
            </w:r>
            <w:r>
              <w:rPr>
                <w:b w:val="0"/>
                <w:sz w:val="12"/>
              </w:rPr>
              <w:t>Default NACLs permit broad ingress/egress and at least one subnet lacks a flow log.</w:t>
            </w:r>
          </w:p>
        </w:tc>
        <w:tc>
          <w:tcPr>
            <w:tcW w:type="dxa" w:w="1776"/>
            <w:vAlign w:val="center"/>
          </w:tcPr>
          <w:p>
            <w:r>
              <w:rPr>
                <w:sz w:val="14"/>
              </w:rPr>
            </w:r>
            <w:r>
              <w:rPr>
                <w:b w:val="0"/>
                <w:sz w:val="12"/>
              </w:rPr>
              <w:t>ScoutSuite warnings</w:t>
            </w:r>
          </w:p>
        </w:tc>
        <w:tc>
          <w:tcPr>
            <w:tcW w:type="dxa" w:w="1776"/>
            <w:vAlign w:val="center"/>
          </w:tcPr>
          <w:p>
            <w:r>
              <w:rPr>
                <w:sz w:val="14"/>
              </w:rPr>
            </w:r>
            <w:r>
              <w:rPr>
                <w:b w:val="0"/>
                <w:sz w:val="12"/>
              </w:rPr>
              <w:t>Medium / Observation</w:t>
            </w:r>
          </w:p>
        </w:tc>
        <w:tc>
          <w:tcPr>
            <w:tcW w:type="dxa" w:w="1776"/>
            <w:vAlign w:val="center"/>
          </w:tcPr>
          <w:p>
            <w:r>
              <w:rPr>
                <w:sz w:val="14"/>
              </w:rPr>
            </w:r>
            <w:r>
              <w:rPr>
                <w:b w:val="0"/>
                <w:sz w:val="12"/>
              </w:rPr>
              <w:t>Review NACL/flow-log requirements without duplicating SG controls.</w:t>
            </w:r>
          </w:p>
        </w:tc>
      </w:tr>
    </w:tbl>
    <w:p>
      <w:pPr>
        <w:pStyle w:val="Heading2"/>
        <w:keepNext/>
      </w:pPr>
      <w:r>
        <w:t>11.1 Prowler and ScoutSuite comparison</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c>
          <w:tcPr>
            <w:tcW w:type="dxa" w:w="2131"/>
            <w:vAlign w:val="center"/>
            <w:shd w:fill="D9EAF7"/>
          </w:tcPr>
          <w:p>
            <w:r>
              <w:rPr>
                <w:b/>
                <w:sz w:val="14"/>
              </w:rPr>
            </w:r>
            <w:r>
              <w:rPr>
                <w:b/>
                <w:sz w:val="13"/>
              </w:rPr>
              <w:t>Area</w:t>
            </w:r>
          </w:p>
        </w:tc>
        <w:tc>
          <w:tcPr>
            <w:tcW w:type="dxa" w:w="2131"/>
            <w:vAlign w:val="center"/>
            <w:shd w:fill="D9EAF7"/>
          </w:tcPr>
          <w:p>
            <w:r>
              <w:rPr>
                <w:b/>
                <w:sz w:val="14"/>
              </w:rPr>
            </w:r>
            <w:r>
              <w:rPr>
                <w:b/>
                <w:sz w:val="13"/>
              </w:rPr>
              <w:t>Manual audit</w:t>
            </w:r>
          </w:p>
        </w:tc>
        <w:tc>
          <w:tcPr>
            <w:tcW w:type="dxa" w:w="2131"/>
            <w:vAlign w:val="center"/>
            <w:shd w:fill="D9EAF7"/>
          </w:tcPr>
          <w:p>
            <w:r>
              <w:rPr>
                <w:b/>
                <w:sz w:val="14"/>
              </w:rPr>
            </w:r>
            <w:r>
              <w:rPr>
                <w:b/>
                <w:sz w:val="13"/>
              </w:rPr>
              <w:t>Prowler</w:t>
            </w:r>
          </w:p>
        </w:tc>
        <w:tc>
          <w:tcPr>
            <w:tcW w:type="dxa" w:w="2131"/>
            <w:vAlign w:val="center"/>
            <w:shd w:fill="D9EAF7"/>
          </w:tcPr>
          <w:p>
            <w:r>
              <w:rPr>
                <w:b/>
                <w:sz w:val="14"/>
              </w:rPr>
            </w:r>
            <w:r>
              <w:rPr>
                <w:b/>
                <w:sz w:val="13"/>
              </w:rPr>
              <w:t>ScoutSuite</w:t>
            </w:r>
          </w:p>
        </w:tc>
        <w:tc>
          <w:tcPr>
            <w:tcW w:type="dxa" w:w="2131"/>
            <w:vAlign w:val="center"/>
            <w:shd w:fill="D9EAF7"/>
          </w:tcPr>
          <w:p>
            <w:r>
              <w:rPr>
                <w:b/>
                <w:sz w:val="14"/>
              </w:rPr>
            </w:r>
            <w:r>
              <w:rPr>
                <w:b/>
                <w:sz w:val="13"/>
              </w:rPr>
              <w:t>Final audit interpretation</w:t>
            </w:r>
          </w:p>
        </w:tc>
      </w:tr>
      <w:tr>
        <w:trPr/>
        <w:tc>
          <w:tcPr>
            <w:tcW w:type="dxa" w:w="2131"/>
            <w:vAlign w:val="center"/>
          </w:tcPr>
          <w:p>
            <w:r>
              <w:rPr>
                <w:sz w:val="14"/>
              </w:rPr>
            </w:r>
            <w:r>
              <w:rPr>
                <w:b w:val="0"/>
                <w:sz w:val="12"/>
              </w:rPr>
              <w:t>SSH exposure</w:t>
            </w:r>
          </w:p>
        </w:tc>
        <w:tc>
          <w:tcPr>
            <w:tcW w:type="dxa" w:w="2131"/>
            <w:vAlign w:val="center"/>
          </w:tcPr>
          <w:p>
            <w:r>
              <w:rPr>
                <w:sz w:val="14"/>
              </w:rPr>
            </w:r>
            <w:r>
              <w:rPr>
                <w:b w:val="0"/>
                <w:sz w:val="12"/>
              </w:rPr>
              <w:t>TCP/22 from 0.0.0.0/0 confirmed</w:t>
            </w:r>
          </w:p>
        </w:tc>
        <w:tc>
          <w:tcPr>
            <w:tcW w:type="dxa" w:w="2131"/>
            <w:vAlign w:val="center"/>
          </w:tcPr>
          <w:p>
            <w:r>
              <w:rPr>
                <w:sz w:val="14"/>
              </w:rPr>
            </w:r>
            <w:r>
              <w:rPr>
                <w:b w:val="0"/>
                <w:sz w:val="12"/>
              </w:rPr>
              <w:t>Critical/High</w:t>
            </w:r>
          </w:p>
        </w:tc>
        <w:tc>
          <w:tcPr>
            <w:tcW w:type="dxa" w:w="2131"/>
            <w:vAlign w:val="center"/>
          </w:tcPr>
          <w:p>
            <w:r>
              <w:rPr>
                <w:sz w:val="14"/>
              </w:rPr>
            </w:r>
            <w:r>
              <w:rPr>
                <w:b w:val="0"/>
                <w:sz w:val="12"/>
              </w:rPr>
              <w:t>Danger</w:t>
            </w:r>
          </w:p>
        </w:tc>
        <w:tc>
          <w:tcPr>
            <w:tcW w:type="dxa" w:w="2131"/>
            <w:vAlign w:val="center"/>
          </w:tcPr>
          <w:p>
            <w:r>
              <w:rPr>
                <w:sz w:val="14"/>
              </w:rPr>
            </w:r>
            <w:r>
              <w:rPr>
                <w:b w:val="0"/>
                <w:sz w:val="12"/>
              </w:rPr>
              <w:t>Confirmed F-01; single root cause.</w:t>
            </w:r>
          </w:p>
        </w:tc>
      </w:tr>
      <w:tr>
        <w:trPr/>
        <w:tc>
          <w:tcPr>
            <w:tcW w:type="dxa" w:w="2131"/>
            <w:vAlign w:val="center"/>
          </w:tcPr>
          <w:p>
            <w:r>
              <w:rPr>
                <w:sz w:val="14"/>
              </w:rPr>
            </w:r>
            <w:r>
              <w:rPr>
                <w:b w:val="0"/>
                <w:sz w:val="12"/>
              </w:rPr>
              <w:t>EBS encryption</w:t>
            </w:r>
          </w:p>
        </w:tc>
        <w:tc>
          <w:tcPr>
            <w:tcW w:type="dxa" w:w="2131"/>
            <w:vAlign w:val="center"/>
          </w:tcPr>
          <w:p>
            <w:r>
              <w:rPr>
                <w:sz w:val="14"/>
              </w:rPr>
            </w:r>
            <w:r>
              <w:rPr>
                <w:b w:val="0"/>
                <w:sz w:val="12"/>
              </w:rPr>
              <w:t>Not originally established manually</w:t>
            </w:r>
          </w:p>
        </w:tc>
        <w:tc>
          <w:tcPr>
            <w:tcW w:type="dxa" w:w="2131"/>
            <w:vAlign w:val="center"/>
          </w:tcPr>
          <w:p>
            <w:r>
              <w:rPr>
                <w:sz w:val="14"/>
              </w:rPr>
            </w:r>
            <w:r>
              <w:rPr>
                <w:b w:val="0"/>
                <w:sz w:val="12"/>
              </w:rPr>
              <w:t>High: volume/default encryption</w:t>
            </w:r>
          </w:p>
        </w:tc>
        <w:tc>
          <w:tcPr>
            <w:tcW w:type="dxa" w:w="2131"/>
            <w:vAlign w:val="center"/>
          </w:tcPr>
          <w:p>
            <w:r>
              <w:rPr>
                <w:sz w:val="14"/>
              </w:rPr>
            </w:r>
            <w:r>
              <w:rPr>
                <w:b w:val="0"/>
                <w:sz w:val="12"/>
              </w:rPr>
              <w:t>Danger + warning</w:t>
            </w:r>
          </w:p>
        </w:tc>
        <w:tc>
          <w:tcPr>
            <w:tcW w:type="dxa" w:w="2131"/>
            <w:vAlign w:val="center"/>
          </w:tcPr>
          <w:p>
            <w:r>
              <w:rPr>
                <w:sz w:val="14"/>
              </w:rPr>
            </w:r>
            <w:r>
              <w:rPr>
                <w:b w:val="0"/>
                <w:sz w:val="12"/>
              </w:rPr>
              <w:t>Confirmed by two independent scanners; F-02.</w:t>
            </w:r>
          </w:p>
        </w:tc>
      </w:tr>
      <w:tr>
        <w:trPr/>
        <w:tc>
          <w:tcPr>
            <w:tcW w:type="dxa" w:w="2131"/>
            <w:vAlign w:val="center"/>
          </w:tcPr>
          <w:p>
            <w:r>
              <w:rPr>
                <w:sz w:val="14"/>
              </w:rPr>
            </w:r>
            <w:r>
              <w:rPr>
                <w:b w:val="0"/>
                <w:sz w:val="12"/>
              </w:rPr>
              <w:t>RDS encryption/public access</w:t>
            </w:r>
          </w:p>
        </w:tc>
        <w:tc>
          <w:tcPr>
            <w:tcW w:type="dxa" w:w="2131"/>
            <w:vAlign w:val="center"/>
          </w:tcPr>
          <w:p>
            <w:r>
              <w:rPr>
                <w:sz w:val="14"/>
              </w:rPr>
            </w:r>
            <w:r>
              <w:rPr>
                <w:b w:val="0"/>
                <w:sz w:val="12"/>
              </w:rPr>
              <w:t>Encrypted; private placement evidenced</w:t>
            </w:r>
          </w:p>
        </w:tc>
        <w:tc>
          <w:tcPr>
            <w:tcW w:type="dxa" w:w="2131"/>
            <w:vAlign w:val="center"/>
          </w:tcPr>
          <w:p>
            <w:r>
              <w:rPr>
                <w:sz w:val="14"/>
              </w:rPr>
            </w:r>
            <w:r>
              <w:rPr>
                <w:b w:val="0"/>
                <w:sz w:val="12"/>
              </w:rPr>
              <w:t>No contradictory high-priority result</w:t>
            </w:r>
          </w:p>
        </w:tc>
        <w:tc>
          <w:tcPr>
            <w:tcW w:type="dxa" w:w="2131"/>
            <w:vAlign w:val="center"/>
          </w:tcPr>
          <w:p>
            <w:r>
              <w:rPr>
                <w:sz w:val="14"/>
              </w:rPr>
            </w:r>
            <w:r>
              <w:rPr>
                <w:b w:val="0"/>
                <w:sz w:val="12"/>
              </w:rPr>
              <w:t>No “uncrypted/public” flag</w:t>
            </w:r>
          </w:p>
        </w:tc>
        <w:tc>
          <w:tcPr>
            <w:tcW w:type="dxa" w:w="2131"/>
            <w:vAlign w:val="center"/>
          </w:tcPr>
          <w:p>
            <w:r>
              <w:rPr>
                <w:sz w:val="14"/>
              </w:rPr>
            </w:r>
            <w:r>
              <w:rPr>
                <w:b w:val="0"/>
                <w:sz w:val="12"/>
              </w:rPr>
              <w:t>Storage protection corroborated.</w:t>
            </w:r>
          </w:p>
        </w:tc>
      </w:tr>
      <w:tr>
        <w:trPr/>
        <w:tc>
          <w:tcPr>
            <w:tcW w:type="dxa" w:w="2131"/>
            <w:vAlign w:val="center"/>
          </w:tcPr>
          <w:p>
            <w:r>
              <w:rPr>
                <w:sz w:val="14"/>
              </w:rPr>
            </w:r>
            <w:r>
              <w:rPr>
                <w:b w:val="0"/>
                <w:sz w:val="12"/>
              </w:rPr>
              <w:t>CloudTrail validation</w:t>
            </w:r>
          </w:p>
        </w:tc>
        <w:tc>
          <w:tcPr>
            <w:tcW w:type="dxa" w:w="2131"/>
            <w:vAlign w:val="center"/>
          </w:tcPr>
          <w:p>
            <w:r>
              <w:rPr>
                <w:sz w:val="14"/>
              </w:rPr>
            </w:r>
            <w:r>
              <w:rPr>
                <w:b w:val="0"/>
                <w:sz w:val="12"/>
              </w:rPr>
              <w:t>Disabled</w:t>
            </w:r>
          </w:p>
        </w:tc>
        <w:tc>
          <w:tcPr>
            <w:tcW w:type="dxa" w:w="2131"/>
            <w:vAlign w:val="center"/>
          </w:tcPr>
          <w:p>
            <w:r>
              <w:rPr>
                <w:sz w:val="14"/>
              </w:rPr>
            </w:r>
            <w:r>
              <w:rPr>
                <w:b w:val="0"/>
                <w:sz w:val="12"/>
              </w:rPr>
              <w:t>CloudTrail failures include hardening gaps</w:t>
            </w:r>
          </w:p>
        </w:tc>
        <w:tc>
          <w:tcPr>
            <w:tcW w:type="dxa" w:w="2131"/>
            <w:vAlign w:val="center"/>
          </w:tcPr>
          <w:p>
            <w:r>
              <w:rPr>
                <w:sz w:val="14"/>
              </w:rPr>
            </w:r>
            <w:r>
              <w:rPr>
                <w:b w:val="0"/>
                <w:sz w:val="12"/>
              </w:rPr>
              <w:t>Danger</w:t>
            </w:r>
          </w:p>
        </w:tc>
        <w:tc>
          <w:tcPr>
            <w:tcW w:type="dxa" w:w="2131"/>
            <w:vAlign w:val="center"/>
          </w:tcPr>
          <w:p>
            <w:r>
              <w:rPr>
                <w:sz w:val="14"/>
              </w:rPr>
            </w:r>
            <w:r>
              <w:rPr>
                <w:b w:val="0"/>
                <w:sz w:val="12"/>
              </w:rPr>
              <w:t>Confirmed F-04.</w:t>
            </w:r>
          </w:p>
        </w:tc>
      </w:tr>
      <w:tr>
        <w:trPr/>
        <w:tc>
          <w:tcPr>
            <w:tcW w:type="dxa" w:w="2131"/>
            <w:vAlign w:val="center"/>
          </w:tcPr>
          <w:p>
            <w:r>
              <w:rPr>
                <w:sz w:val="14"/>
              </w:rPr>
            </w:r>
            <w:r>
              <w:rPr>
                <w:b w:val="0"/>
                <w:sz w:val="12"/>
              </w:rPr>
              <w:t>CloudTrail → CloudWatch</w:t>
            </w:r>
          </w:p>
        </w:tc>
        <w:tc>
          <w:tcPr>
            <w:tcW w:type="dxa" w:w="2131"/>
            <w:vAlign w:val="center"/>
          </w:tcPr>
          <w:p>
            <w:r>
              <w:rPr>
                <w:sz w:val="14"/>
              </w:rPr>
            </w:r>
            <w:r>
              <w:rPr>
                <w:b w:val="0"/>
                <w:sz w:val="12"/>
              </w:rPr>
              <w:t>Integration attempt blocked by lab role</w:t>
            </w:r>
          </w:p>
        </w:tc>
        <w:tc>
          <w:tcPr>
            <w:tcW w:type="dxa" w:w="2131"/>
            <w:vAlign w:val="center"/>
          </w:tcPr>
          <w:p>
            <w:r>
              <w:rPr>
                <w:sz w:val="14"/>
              </w:rPr>
            </w:r>
            <w:r>
              <w:rPr>
                <w:b w:val="0"/>
                <w:sz w:val="12"/>
              </w:rPr>
              <w:t>Monitoring findings present</w:t>
            </w:r>
          </w:p>
        </w:tc>
        <w:tc>
          <w:tcPr>
            <w:tcW w:type="dxa" w:w="2131"/>
            <w:vAlign w:val="center"/>
          </w:tcPr>
          <w:p>
            <w:r>
              <w:rPr>
                <w:sz w:val="14"/>
              </w:rPr>
            </w:r>
            <w:r>
              <w:rPr>
                <w:b w:val="0"/>
                <w:sz w:val="12"/>
              </w:rPr>
              <w:t>Warning</w:t>
            </w:r>
          </w:p>
        </w:tc>
        <w:tc>
          <w:tcPr>
            <w:tcW w:type="dxa" w:w="2131"/>
            <w:vAlign w:val="center"/>
          </w:tcPr>
          <w:p>
            <w:r>
              <w:rPr>
                <w:sz w:val="14"/>
              </w:rPr>
            </w:r>
            <w:r>
              <w:rPr>
                <w:b w:val="0"/>
                <w:sz w:val="12"/>
              </w:rPr>
              <w:t>EV-007 lab permission limitation; logging remains operational via S3/CloudWatch/SNS evidence.</w:t>
            </w:r>
          </w:p>
        </w:tc>
      </w:tr>
      <w:tr>
        <w:trPr/>
        <w:tc>
          <w:tcPr>
            <w:tcW w:type="dxa" w:w="2131"/>
            <w:vAlign w:val="center"/>
          </w:tcPr>
          <w:p>
            <w:r>
              <w:rPr>
                <w:sz w:val="14"/>
              </w:rPr>
            </w:r>
            <w:r>
              <w:rPr>
                <w:b w:val="0"/>
                <w:sz w:val="12"/>
              </w:rPr>
              <w:t>IAM</w:t>
            </w:r>
          </w:p>
        </w:tc>
        <w:tc>
          <w:tcPr>
            <w:tcW w:type="dxa" w:w="2131"/>
            <w:vAlign w:val="center"/>
          </w:tcPr>
          <w:p>
            <w:r>
              <w:rPr>
                <w:sz w:val="14"/>
              </w:rPr>
            </w:r>
            <w:r>
              <w:rPr>
                <w:b w:val="0"/>
                <w:sz w:val="12"/>
              </w:rPr>
              <w:t>Cognito MFA disabled; AWS access via Vocareum assumed role</w:t>
            </w:r>
          </w:p>
        </w:tc>
        <w:tc>
          <w:tcPr>
            <w:tcW w:type="dxa" w:w="2131"/>
            <w:vAlign w:val="center"/>
          </w:tcPr>
          <w:p>
            <w:r>
              <w:rPr>
                <w:sz w:val="14"/>
              </w:rPr>
            </w:r>
            <w:r>
              <w:rPr>
                <w:b w:val="0"/>
                <w:sz w:val="12"/>
              </w:rPr>
              <w:t>Admin/role findings</w:t>
            </w:r>
          </w:p>
        </w:tc>
        <w:tc>
          <w:tcPr>
            <w:tcW w:type="dxa" w:w="2131"/>
            <w:vAlign w:val="center"/>
          </w:tcPr>
          <w:p>
            <w:r>
              <w:rPr>
                <w:sz w:val="14"/>
              </w:rPr>
            </w:r>
            <w:r>
              <w:rPr>
                <w:b w:val="0"/>
                <w:sz w:val="12"/>
              </w:rPr>
              <w:t>Password-policy/inline-policy findings</w:t>
            </w:r>
          </w:p>
        </w:tc>
        <w:tc>
          <w:tcPr>
            <w:tcW w:type="dxa" w:w="2131"/>
            <w:vAlign w:val="center"/>
          </w:tcPr>
          <w:p>
            <w:r>
              <w:rPr>
                <w:sz w:val="14"/>
              </w:rPr>
            </w:r>
            <w:r>
              <w:rPr>
                <w:b w:val="0"/>
                <w:sz w:val="12"/>
              </w:rPr>
              <w:t>Cognito issue is project finding; platform-managed account IAM is T-07 context.</w:t>
            </w:r>
          </w:p>
        </w:tc>
      </w:tr>
      <w:tr>
        <w:trPr/>
        <w:tc>
          <w:tcPr>
            <w:tcW w:type="dxa" w:w="2131"/>
            <w:vAlign w:val="center"/>
          </w:tcPr>
          <w:p>
            <w:r>
              <w:rPr>
                <w:sz w:val="14"/>
              </w:rPr>
            </w:r>
            <w:r>
              <w:rPr>
                <w:b w:val="0"/>
                <w:sz w:val="12"/>
              </w:rPr>
              <w:t>VPC/NACL</w:t>
            </w:r>
          </w:p>
        </w:tc>
        <w:tc>
          <w:tcPr>
            <w:tcW w:type="dxa" w:w="2131"/>
            <w:vAlign w:val="center"/>
          </w:tcPr>
          <w:p>
            <w:r>
              <w:rPr>
                <w:sz w:val="14"/>
              </w:rPr>
            </w:r>
            <w:r>
              <w:rPr>
                <w:b w:val="0"/>
                <w:sz w:val="12"/>
              </w:rPr>
              <w:t>SG path manually reviewed</w:t>
            </w:r>
          </w:p>
        </w:tc>
        <w:tc>
          <w:tcPr>
            <w:tcW w:type="dxa" w:w="2131"/>
            <w:vAlign w:val="center"/>
          </w:tcPr>
          <w:p>
            <w:r>
              <w:rPr>
                <w:sz w:val="14"/>
              </w:rPr>
            </w:r>
            <w:r>
              <w:rPr>
                <w:b w:val="0"/>
                <w:sz w:val="12"/>
              </w:rPr>
              <w:t>NACL/VPC high-priority item</w:t>
            </w:r>
          </w:p>
        </w:tc>
        <w:tc>
          <w:tcPr>
            <w:tcW w:type="dxa" w:w="2131"/>
            <w:vAlign w:val="center"/>
          </w:tcPr>
          <w:p>
            <w:r>
              <w:rPr>
                <w:sz w:val="14"/>
              </w:rPr>
            </w:r>
            <w:r>
              <w:rPr>
                <w:b w:val="0"/>
                <w:sz w:val="12"/>
              </w:rPr>
              <w:t>Default NACL/flow-log warnings</w:t>
            </w:r>
          </w:p>
        </w:tc>
        <w:tc>
          <w:tcPr>
            <w:tcW w:type="dxa" w:w="2131"/>
            <w:vAlign w:val="center"/>
          </w:tcPr>
          <w:p>
            <w:r>
              <w:rPr>
                <w:sz w:val="14"/>
              </w:rPr>
            </w:r>
            <w:r>
              <w:rPr>
                <w:b w:val="0"/>
                <w:sz w:val="12"/>
              </w:rPr>
              <w:t>Hardening observations; SSH exposure remains primary confirmed network NC.</w:t>
            </w:r>
          </w:p>
        </w:tc>
      </w:tr>
    </w:tbl>
    <w:sectPr w:rsidR="00FC693F" w:rsidRPr="0006063C" w:rsidSect="00034616">
      <w:footerReference w:type="default" r:id="rId9"/>
      <w:pgSz w:w="12240" w:h="15840"/>
      <w:pgMar w:top="792" w:right="792" w:bottom="1181"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Session 2 Final Audit Execution v1.1 • AWS Academy Learner Lab • 09–10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