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2E7D32"/>
          <w:sz w:val="48"/>
        </w:rPr>
        <w:t>ANALYSE SWOT - WATERSENSE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0"/>
        <w:gridCol w:w="7850"/>
      </w:tblGrid>
      <w:tr>
        <w:trPr>
          <w:trHeight w:val="4608"/>
        </w:trPr>
        <w:tc>
          <w:tcPr>
            <w:tcW w:type="dxa" w:w="6912"/>
            <w:shd w:fill="B3D9E8"/>
          </w:tcPr>
          <w:p>
            <w:r/>
          </w:p>
          <w:p>
            <w:pPr>
              <w:spacing w:after="80"/>
              <w:jc w:val="center"/>
            </w:pPr>
            <w:r>
              <w:rPr>
                <w:b/>
                <w:color w:val="003366"/>
                <w:sz w:val="28"/>
              </w:rPr>
              <w:t>STRENGTHS (S)</w:t>
            </w:r>
          </w:p>
          <w:p>
            <w:pPr>
              <w:spacing w:after="40" w:line="240" w:lineRule="auto"/>
            </w:pPr>
            <w:r>
              <w:rPr>
                <w:b/>
                <w:color w:val="003366"/>
                <w:sz w:val="16"/>
              </w:rPr>
              <w:t>✓ Technologie IA Propriétaire</w:t>
              <w:br/>
            </w:r>
            <w:r>
              <w:rPr>
                <w:color w:val="1E1E1E"/>
                <w:sz w:val="14"/>
              </w:rPr>
              <w:t>Brevet INPI 2025 • Précision 94% vs 78% concurrents • 3+ ans R&amp;D • Barrière entrée 4-5 ans</w:t>
            </w:r>
          </w:p>
          <w:p>
            <w:pPr>
              <w:spacing w:after="40" w:line="240" w:lineRule="auto"/>
            </w:pPr>
            <w:r>
              <w:rPr>
                <w:b/>
                <w:color w:val="003366"/>
                <w:sz w:val="16"/>
              </w:rPr>
              <w:t>✓ Équipe Expérimentée</w:t>
              <w:br/>
            </w:r>
            <w:r>
              <w:rPr>
                <w:color w:val="1E1E1E"/>
                <w:sz w:val="14"/>
              </w:rPr>
              <w:t>CTO 12 ans IoT • CEO exit 2022 (15M€) • Head Agri 15 ans INRA • CFO 50M€+ levées</w:t>
            </w:r>
          </w:p>
          <w:p>
            <w:pPr>
              <w:spacing w:after="40" w:line="240" w:lineRule="auto"/>
            </w:pPr>
            <w:r>
              <w:rPr>
                <w:b/>
                <w:color w:val="003366"/>
                <w:sz w:val="16"/>
              </w:rPr>
              <w:t>✓ LTV/CAC 56:1</w:t>
              <w:br/>
            </w:r>
            <w:r>
              <w:rPr>
                <w:color w:val="1E1E1E"/>
                <w:sz w:val="14"/>
              </w:rPr>
              <w:t>LTV 8,400€ • CAC 150€ • Payback 2.7 mois • Churn 3%/an vs 8-12% SaaS</w:t>
            </w:r>
          </w:p>
          <w:p>
            <w:pPr>
              <w:spacing w:after="40" w:line="240" w:lineRule="auto"/>
            </w:pPr>
            <w:r>
              <w:rPr>
                <w:b/>
                <w:color w:val="003366"/>
                <w:sz w:val="16"/>
              </w:rPr>
              <w:t>✓ Modèle SaaS Rentable</w:t>
              <w:br/>
            </w:r>
            <w:r>
              <w:rPr>
                <w:color w:val="1E1E1E"/>
                <w:sz w:val="14"/>
              </w:rPr>
              <w:t>2,800€/an/exploitation • Marge brute 82% • Contrats 36 mois • Revenue recurring 94%</w:t>
            </w:r>
          </w:p>
          <w:p>
            <w:pPr>
              <w:spacing w:after="40" w:line="240" w:lineRule="auto"/>
            </w:pPr>
            <w:r>
              <w:rPr>
                <w:b/>
                <w:color w:val="003366"/>
                <w:sz w:val="16"/>
              </w:rPr>
              <w:t>✓ ISO 27001 &amp; RGPD</w:t>
              <w:br/>
            </w:r>
            <w:r>
              <w:rPr>
                <w:color w:val="1E1E1E"/>
                <w:sz w:val="14"/>
              </w:rPr>
              <w:t>Certification Deloitte Q1 2025 • DPO nommé • AWS eu-west-1 • Zero incidents</w:t>
            </w:r>
          </w:p>
        </w:tc>
        <w:tc>
          <w:tcPr>
            <w:tcW w:type="dxa" w:w="6912"/>
            <w:shd w:fill="F5D5B8"/>
          </w:tcPr>
          <w:p>
            <w:r/>
          </w:p>
          <w:p>
            <w:pPr>
              <w:spacing w:after="80"/>
              <w:jc w:val="center"/>
            </w:pPr>
            <w:r>
              <w:rPr>
                <w:b/>
                <w:color w:val="994C00"/>
                <w:sz w:val="28"/>
              </w:rPr>
              <w:t>WEAKNESSES (W)</w:t>
            </w:r>
          </w:p>
          <w:p>
            <w:pPr>
              <w:spacing w:after="40" w:line="240" w:lineRule="auto"/>
            </w:pPr>
            <w:r>
              <w:rPr>
                <w:b/>
                <w:color w:val="994C00"/>
                <w:sz w:val="16"/>
              </w:rPr>
              <w:t>✗ Startup Jeune (2.5 ans)</w:t>
              <w:br/>
            </w:r>
            <w:r>
              <w:rPr>
                <w:color w:val="1E1E1E"/>
                <w:sz w:val="14"/>
              </w:rPr>
              <w:t>Zero brand recognition 300K exploitations • Netafim 40+ ans • Valmont 100+ ans • Budget brand 60K€ vs 5M€+</w:t>
            </w:r>
          </w:p>
          <w:p>
            <w:pPr>
              <w:spacing w:after="40" w:line="240" w:lineRule="auto"/>
            </w:pPr>
            <w:r>
              <w:rPr>
                <w:b/>
                <w:color w:val="994C00"/>
                <w:sz w:val="16"/>
              </w:rPr>
              <w:t>✗ Capital Limité</w:t>
              <w:br/>
            </w:r>
            <w:r>
              <w:rPr>
                <w:color w:val="1E1E1E"/>
                <w:sz w:val="14"/>
              </w:rPr>
              <w:t>500K€ levée vs Netafim 1B€+ • Ecorobotix 100M€ • Marketing 60K€ vs 5M€/an • Hiring 15 vs 100+</w:t>
            </w:r>
          </w:p>
          <w:p>
            <w:pPr>
              <w:spacing w:after="40" w:line="240" w:lineRule="auto"/>
            </w:pPr>
            <w:r>
              <w:rPr>
                <w:b/>
                <w:color w:val="994C00"/>
                <w:sz w:val="16"/>
              </w:rPr>
              <w:t>✗ Réseau Partenaires Limité</w:t>
              <w:br/>
            </w:r>
            <w:r>
              <w:rPr>
                <w:color w:val="1E1E1E"/>
                <w:sz w:val="14"/>
              </w:rPr>
              <w:t>0 contrats coopératives signés • 0 distributeurs • 0/3,000 points vente • Growth 100% direct</w:t>
            </w:r>
          </w:p>
          <w:p>
            <w:pPr>
              <w:spacing w:after="40" w:line="240" w:lineRule="auto"/>
            </w:pPr>
            <w:r>
              <w:rPr>
                <w:b/>
                <w:color w:val="994C00"/>
                <w:sz w:val="16"/>
              </w:rPr>
              <w:t>✗ Capacité Production</w:t>
              <w:br/>
            </w:r>
            <w:r>
              <w:rPr>
                <w:color w:val="1E1E1E"/>
                <w:sz w:val="14"/>
              </w:rPr>
              <w:t>AWS single region • Support 2 FTE pour 500+ clients • Onboarding 8h vs 3h target • SLA 99.5% vs 99.9%</w:t>
            </w:r>
          </w:p>
          <w:p>
            <w:pPr>
              <w:spacing w:after="40" w:line="240" w:lineRule="auto"/>
            </w:pPr>
            <w:r>
              <w:rPr>
                <w:b/>
                <w:color w:val="994C00"/>
                <w:sz w:val="16"/>
              </w:rPr>
              <w:t>✗ Pas Références</w:t>
              <w:br/>
            </w:r>
            <w:r>
              <w:rPr>
                <w:color w:val="1E1E1E"/>
                <w:sz w:val="14"/>
              </w:rPr>
              <w:t>10 pilotes, 0 clients &gt;12 mois • 0 case studies • 0 testimonials vidéo • Enterprise hesitant</w:t>
            </w:r>
          </w:p>
        </w:tc>
      </w:tr>
      <w:tr>
        <w:trPr>
          <w:trHeight w:val="4608"/>
        </w:trPr>
        <w:tc>
          <w:tcPr>
            <w:tcW w:type="dxa" w:w="6912"/>
            <w:shd w:fill="D4E8D4"/>
          </w:tcPr>
          <w:p>
            <w:r/>
          </w:p>
          <w:p>
            <w:pPr>
              <w:spacing w:after="80"/>
              <w:jc w:val="center"/>
            </w:pPr>
            <w:r>
              <w:rPr>
                <w:b/>
                <w:color w:val="006633"/>
                <w:sz w:val="28"/>
              </w:rPr>
              <w:t>OPPORTUNITIES (O)</w:t>
            </w:r>
          </w:p>
          <w:p>
            <w:pPr>
              <w:spacing w:after="40" w:line="240" w:lineRule="auto"/>
            </w:pPr>
            <w:r>
              <w:rPr>
                <w:b/>
                <w:color w:val="006633"/>
                <w:sz w:val="16"/>
              </w:rPr>
              <w:t>○ Pénurie Eau Urgente</w:t>
              <w:br/>
            </w:r>
            <w:r>
              <w:rPr>
                <w:color w:val="1E1E1E"/>
                <w:sz w:val="14"/>
              </w:rPr>
              <w:t>Allocations -40-60% 2026 • Été 2025 = pire crise 60 ans • 70% récurrence 2026-2030 • Pertes 150-300€/jour</w:t>
            </w:r>
          </w:p>
          <w:p>
            <w:pPr>
              <w:spacing w:after="40" w:line="240" w:lineRule="auto"/>
            </w:pPr>
            <w:r>
              <w:rPr>
                <w:b/>
                <w:color w:val="006633"/>
                <w:sz w:val="16"/>
              </w:rPr>
              <w:t>○ Subventions CAP +25%</w:t>
              <w:br/>
            </w:r>
            <w:r>
              <w:rPr>
                <w:color w:val="1E1E1E"/>
                <w:sz w:val="14"/>
              </w:rPr>
              <w:t>Bonus 2.5K-6K€/exploitation • Budget 180M€ France • WaterSense déjà conforme • Fenêtre 2026-2027</w:t>
            </w:r>
          </w:p>
          <w:p>
            <w:pPr>
              <w:spacing w:after="40" w:line="240" w:lineRule="auto"/>
            </w:pPr>
            <w:r>
              <w:rPr>
                <w:b/>
                <w:color w:val="006633"/>
                <w:sz w:val="16"/>
              </w:rPr>
              <w:t>○ Partenariats Coopératives</w:t>
              <w:br/>
            </w:r>
            <w:r>
              <w:rPr>
                <w:color w:val="1E1E1E"/>
                <w:sz w:val="14"/>
              </w:rPr>
              <w:t>50+ coopératives = 280K exploitations • 1 partenariat = 3-5K clients • Revenue share 80/20 • CAC -75%</w:t>
            </w:r>
          </w:p>
          <w:p>
            <w:pPr>
              <w:spacing w:after="40" w:line="240" w:lineRule="auto"/>
            </w:pPr>
            <w:r>
              <w:rPr>
                <w:b/>
                <w:color w:val="006633"/>
                <w:sz w:val="16"/>
              </w:rPr>
              <w:t>○ Expansion Europe 2027</w:t>
              <w:br/>
            </w:r>
            <w:r>
              <w:rPr>
                <w:color w:val="1E1E1E"/>
                <w:sz w:val="14"/>
              </w:rPr>
              <w:t>Espagne 3.5M ha (3.5x France) • Italie 2.8M ha • TAM Europe 850M€ • Moins concurrence</w:t>
            </w:r>
          </w:p>
          <w:p>
            <w:pPr>
              <w:spacing w:after="40" w:line="240" w:lineRule="auto"/>
            </w:pPr>
            <w:r>
              <w:rPr>
                <w:b/>
                <w:color w:val="006633"/>
                <w:sz w:val="16"/>
              </w:rPr>
              <w:t>○ Exit 50-150M€ (2027-2029)</w:t>
              <w:br/>
            </w:r>
            <w:r>
              <w:rPr>
                <w:color w:val="1E1E1E"/>
                <w:sz w:val="14"/>
              </w:rPr>
              <w:t>Netafim, Valmont, BASF, John Deere acquéreurs • Premium +40-60% strategic • Sentera comp 50M€</w:t>
            </w:r>
          </w:p>
        </w:tc>
        <w:tc>
          <w:tcPr>
            <w:tcW w:type="dxa" w:w="6912"/>
            <w:shd w:fill="F5D5D5"/>
          </w:tcPr>
          <w:p>
            <w:r/>
          </w:p>
          <w:p>
            <w:pPr>
              <w:spacing w:after="80"/>
              <w:jc w:val="center"/>
            </w:pPr>
            <w:r>
              <w:rPr>
                <w:b/>
                <w:color w:val="990000"/>
                <w:sz w:val="28"/>
              </w:rPr>
              <w:t>THREATS (T)</w:t>
            </w:r>
          </w:p>
          <w:p>
            <w:pPr>
              <w:spacing w:after="40" w:line="240" w:lineRule="auto"/>
            </w:pPr>
            <w:r>
              <w:rPr>
                <w:b/>
                <w:color w:val="990000"/>
                <w:sz w:val="16"/>
              </w:rPr>
              <w:t>● Giants Irrigation</w:t>
              <w:br/>
            </w:r>
            <w:r>
              <w:rPr>
                <w:color w:val="1E1E1E"/>
                <w:sz w:val="14"/>
              </w:rPr>
              <w:t>Netafim 1.1B€ • Valmont 3.8B€ • 80%+ market share • R&amp;D 50M€+/an • Distribution 40+ ans</w:t>
            </w:r>
          </w:p>
          <w:p>
            <w:pPr>
              <w:spacing w:after="40" w:line="240" w:lineRule="auto"/>
            </w:pPr>
            <w:r>
              <w:rPr>
                <w:b/>
                <w:color w:val="990000"/>
                <w:sz w:val="16"/>
              </w:rPr>
              <w:t>● Startups VC-Backed</w:t>
              <w:br/>
            </w:r>
            <w:r>
              <w:rPr>
                <w:color w:val="1E1E1E"/>
                <w:sz w:val="14"/>
              </w:rPr>
              <w:t>Ecorobotix 100M€ • Agworld 50M€ • Budget 5-10x • Talent war • Runway 5-7 ans</w:t>
            </w:r>
          </w:p>
          <w:p>
            <w:pPr>
              <w:spacing w:after="40" w:line="240" w:lineRule="auto"/>
            </w:pPr>
            <w:r>
              <w:rPr>
                <w:b/>
                <w:color w:val="990000"/>
                <w:sz w:val="16"/>
              </w:rPr>
              <w:t>● Régulation Stricte</w:t>
              <w:br/>
            </w:r>
            <w:r>
              <w:rPr>
                <w:color w:val="1E1E1E"/>
                <w:sz w:val="14"/>
              </w:rPr>
              <w:t>Allocations -50-70% possible (prob 15%) • Taxe eau +300% (prob 10%) • Impact TAM -40%</w:t>
            </w:r>
          </w:p>
          <w:p>
            <w:pPr>
              <w:spacing w:after="40" w:line="240" w:lineRule="auto"/>
            </w:pPr>
            <w:r>
              <w:rPr>
                <w:b/>
                <w:color w:val="990000"/>
                <w:sz w:val="16"/>
              </w:rPr>
              <w:t>● Récession Agriculture</w:t>
              <w:br/>
            </w:r>
            <w:r>
              <w:rPr>
                <w:color w:val="1E1E1E"/>
                <w:sz w:val="14"/>
              </w:rPr>
              <w:t>Maïs 210€/t vs 310€/2022 • 10% fermetures 2024-2025 • Budget tech -40% survival • Prob 25%</w:t>
            </w:r>
          </w:p>
          <w:p>
            <w:pPr>
              <w:spacing w:after="40" w:line="240" w:lineRule="auto"/>
            </w:pPr>
            <w:r>
              <w:rPr>
                <w:b/>
                <w:color w:val="990000"/>
                <w:sz w:val="16"/>
              </w:rPr>
              <w:t>● Consolidation M&amp;A</w:t>
              <w:br/>
            </w:r>
            <w:r>
              <w:rPr>
                <w:color w:val="1E1E1E"/>
                <w:sz w:val="14"/>
              </w:rPr>
              <w:t>15+ acquisitions 2022-2025 • Netafim ~3/an • Landscape reshuffle prob 40-50% • Exit window risk</w:t>
            </w:r>
          </w:p>
        </w:tc>
      </w:tr>
    </w:tbl>
    <w:p/>
    <w:p>
      <w:pPr>
        <w:jc w:val="center"/>
      </w:pPr>
      <w:r>
        <w:rPr>
          <w:b/>
          <w:color w:val="27AE60"/>
          <w:sz w:val="22"/>
        </w:rPr>
        <w:t>✅ VERDICT: S(+18) + O(+21) = +39  |  W(-14) + T(-11) = -25  |  NET: +14 → GO-TO-MARKET Q1-Q2 2026</w:t>
      </w:r>
    </w:p>
    <w:sectPr w:rsidR="00FC693F" w:rsidRPr="0006063C" w:rsidSect="00034616">
      <w:pgSz w:w="16834" w:h="1190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