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2.5 Contexte Entreprise et Équipe</w:t>
      </w:r>
    </w:p>
    <w:p>
      <w:pPr>
        <w:spacing w:line="276" w:lineRule="auto"/>
      </w:pPr>
      <w:r>
        <w:t>**Document autonome — WaterSense 2026**</w:t>
      </w:r>
    </w:p>
    <w:p>
      <w:pPr>
        <w:pStyle w:val="Heading1"/>
        <w:spacing w:before="240" w:after="240"/>
      </w:pPr>
      <w:r>
        <w:rPr>
          <w:b/>
          <w:color w:val="2E7D32"/>
          <w:sz w:val="36"/>
        </w:rPr>
        <w:t>Objectif</w:t>
      </w:r>
    </w:p>
    <w:p>
      <w:pPr>
        <w:spacing w:line="276" w:lineRule="auto"/>
      </w:pPr>
      <w:r>
        <w:t>Présenter un **profil clair** de l’entreprise WaterSense, son positionnement, son historique, ainsi que la **structure d’équipe** et les responsabilités clés pour 2026.</w:t>
      </w:r>
    </w:p>
    <w:p>
      <w:r>
        <w:t>____________________________________________________________</w:t>
      </w:r>
    </w:p>
    <w:p>
      <w:pPr>
        <w:pStyle w:val="Heading1"/>
        <w:spacing w:before="240" w:after="240"/>
      </w:pPr>
      <w:r>
        <w:rPr>
          <w:b/>
          <w:color w:val="2E7D32"/>
          <w:sz w:val="36"/>
        </w:rPr>
        <w:t>Profil entreprise</w:t>
      </w:r>
    </w:p>
    <w:p>
      <w:pPr>
        <w:spacing w:line="276" w:lineRule="auto"/>
      </w:pPr>
      <w:r>
        <w:t>WaterSense est une entreprise AgriTech positionnée au croisement du **SaaS** et de l’**IoT**, avec une mission simple : **optimiser l’irrigation agricole** pour réduire les coûts, préserver l’eau et augmenter les rendements. La vision est celle d’une agriculture **data‑driven** et résiliente face au climat. Le modèle économique combine l’abonnement logiciel et la fourniture de capteurs, créant des revenus récurrents et une valeur continue pour les exploitants et les coopératives. L’activité démarre en France avec une trajectoire d’expansion européenne progressive.</w:t>
      </w:r>
    </w:p>
    <w:p>
      <w:r>
        <w:t>____________________________________________________________</w:t>
      </w:r>
    </w:p>
    <w:p>
      <w:pPr>
        <w:pStyle w:val="Heading1"/>
        <w:spacing w:before="240" w:after="240"/>
      </w:pPr>
      <w:r>
        <w:rPr>
          <w:b/>
          <w:color w:val="2E7D32"/>
          <w:sz w:val="36"/>
        </w:rPr>
        <w:t>Historique &amp; trajectoire</w:t>
      </w:r>
    </w:p>
    <w:p>
      <w:pPr>
        <w:spacing w:line="276" w:lineRule="auto"/>
      </w:pPr>
      <w:r>
        <w:t>Après une phase de **recherche et POC en 2024**, l’équipe a validé la fiabilité des capteurs et l’intérêt terrain. En 2025, le **MVP** a été déployé sur des pilotes avec des retours clients favorables. L’année 2026 marque l’**industrialisation** et le passage à l’échelle, avec une ambition claire de déploiement massif.</w:t>
      </w:r>
    </w:p>
    <w:p>
      <w:r>
        <w:t>____________________________________________________________</w:t>
      </w:r>
    </w:p>
    <w:p>
      <w:pPr>
        <w:pStyle w:val="Heading1"/>
        <w:spacing w:before="240" w:after="240"/>
      </w:pPr>
      <w:r>
        <w:rPr>
          <w:b/>
          <w:color w:val="2E7D32"/>
          <w:sz w:val="36"/>
        </w:rPr>
        <w:t>Positionnement stratégique</w:t>
      </w:r>
    </w:p>
    <w:p>
      <w:pPr>
        <w:spacing w:line="276" w:lineRule="auto"/>
      </w:pPr>
      <w:r>
        <w:t>WaterSense se différencie par une plateforme complète associant **capteurs, données et IA prescriptive**. L’approche privilégie la **proximité opérationnelle**, un **support terrain actif** et un **ROI mesurable**, permettant aux clients de voir rapidement l’impact sur l’eau, l’énergie et les rendements.</w:t>
      </w:r>
    </w:p>
    <w:p>
      <w:r>
        <w:t>____________________________________________________________</w:t>
      </w:r>
    </w:p>
    <w:p>
      <w:pPr>
        <w:pStyle w:val="Heading1"/>
        <w:spacing w:before="240" w:after="240"/>
      </w:pPr>
      <w:r>
        <w:rPr>
          <w:b/>
          <w:color w:val="2E7D32"/>
          <w:sz w:val="36"/>
        </w:rPr>
        <w:t>Structure d’équipe 2026</w:t>
      </w:r>
    </w:p>
    <w:p>
      <w:pPr>
        <w:spacing w:line="276" w:lineRule="auto"/>
      </w:pPr>
      <w:r>
        <w:t>L’organisation est structurée autour de pôles complémentaires. La **direction** porte la vision, la croissance et les partenariats. Le **produit** pilote la roadmap et l’expérience utilisateur. Le pôle **Data &amp; IA** développe les modèles et garantit la qualité des données. Le pôle **Tech** assure l’architecture, la scalabilité et la sécurité. Les **ops terrain** déploient et maintiennent les capteurs. Les équipes **Sales** et **Marketing** accélèrent l’acquisition, tandis que le **Customer Success** sécurise l’onboarding et la rétention.</w:t>
      </w:r>
    </w:p>
    <w:p>
      <w:r>
        <w:t>____________________________________________________________</w:t>
      </w:r>
    </w:p>
    <w:p>
      <w:pPr>
        <w:pStyle w:val="Heading1"/>
        <w:spacing w:before="240" w:after="240"/>
      </w:pPr>
      <w:r>
        <w:rPr>
          <w:b/>
          <w:color w:val="2E7D32"/>
          <w:sz w:val="36"/>
        </w:rPr>
        <w:t>Gouvernance des responsabilités</w:t>
      </w:r>
    </w:p>
    <w:p>
      <w:pPr>
        <w:spacing w:line="276" w:lineRule="auto"/>
      </w:pPr>
      <w:r>
        <w:t>La stratégie reste pilotée par la direction, le produit et la tech assurant la cohérence globale, tandis que les équipes data, ops terrain, sales, marketing et support exécutent leurs responsabilités respectives. La gouvernance vise la **rapidité d’exécution** et la **clarté des rôles** pour éviter tout point de friction.</w:t>
      </w:r>
    </w:p>
    <w:p>
      <w:r>
        <w:t>____________________________________________________________</w:t>
      </w:r>
    </w:p>
    <w:p>
      <w:pPr>
        <w:pStyle w:val="Heading1"/>
        <w:spacing w:before="240" w:after="240"/>
      </w:pPr>
      <w:r>
        <w:rPr>
          <w:b/>
          <w:color w:val="2E7D32"/>
          <w:sz w:val="36"/>
        </w:rPr>
        <w:t>Plan de recrutement 2026</w:t>
      </w:r>
    </w:p>
    <w:p>
      <w:pPr>
        <w:spacing w:line="276" w:lineRule="auto"/>
      </w:pPr>
      <w:r>
        <w:t>Les priorités de recrutement suivent la montée en charge. En **T1 2026**, un VP Engineering et un Data Engineer renforcent la stabilité de la plateforme. En **T2**, un Sales Manager et des renforts Field Ops accélèrent le déploiement. En **T3**, un MLOps Engineer et un Support Lead industrialisent l’IA et la relation client. En **T4**, un Partnerships Lead prépare l’expansion européenne.</w:t>
      </w:r>
    </w:p>
    <w:p>
      <w:r>
        <w:t>____________________________________________________________</w:t>
      </w:r>
    </w:p>
    <w:p>
      <w:pPr>
        <w:pStyle w:val="Heading1"/>
        <w:spacing w:before="240" w:after="240"/>
      </w:pPr>
      <w:r>
        <w:rPr>
          <w:b/>
          <w:color w:val="2E7D32"/>
          <w:sz w:val="36"/>
        </w:rPr>
        <w:t>Culture &amp; valeurs</w:t>
      </w:r>
    </w:p>
    <w:p>
      <w:pPr>
        <w:spacing w:line="276" w:lineRule="auto"/>
      </w:pPr>
      <w:r>
        <w:t>La culture WaterSense met l’accent sur l’**impact terrain**, la **fiabilité des données**, la **simplicité d’usage** et la **responsabilité**. Cette base garantit une adoption durable et une performance mesurable pour les exploitants.</w:t>
      </w:r>
    </w:p>
    <w:p>
      <w:r>
        <w:t>____________________________________________________________</w:t>
      </w:r>
    </w:p>
    <w:p>
      <w:pPr>
        <w:pStyle w:val="Heading1"/>
        <w:spacing w:before="240" w:after="240"/>
      </w:pPr>
      <w:r>
        <w:rPr>
          <w:b/>
          <w:color w:val="2E7D32"/>
          <w:sz w:val="36"/>
        </w:rPr>
        <w:t>Conclusion</w:t>
      </w:r>
    </w:p>
    <w:p>
      <w:pPr>
        <w:spacing w:line="276" w:lineRule="auto"/>
      </w:pPr>
      <w:r>
        <w:t>Le contexte entreprise et équipe WaterSense met l’accent sur **l’exécution**, la **qualité data**, et la **proximité terrain**, pour garantir une croissance maîtrisée en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