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DOSSIER MARKETING INNOVATION PRODUIT/SERVICE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WaterSense — Plateforme IoT d'Optimisation de l'Irrigation Agricole</w:t>
      </w:r>
    </w:p>
    <w:p>
      <w:pPr>
        <w:spacing w:line="276" w:lineRule="auto"/>
      </w:pPr>
      <w:r>
        <w:t>**Février 2026**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SOMMAIRE</w:t>
      </w:r>
    </w:p>
    <w:p>
      <w:pPr>
        <w:spacing w:line="276" w:lineRule="auto"/>
      </w:pPr>
      <w:r>
        <w:t>1. Introduction</w:t>
      </w:r>
    </w:p>
    <w:p>
      <w:pPr>
        <w:spacing w:line="276" w:lineRule="auto"/>
      </w:pPr>
      <w:r>
        <w:t>2. Étude de marché et environnement</w:t>
      </w:r>
    </w:p>
    <w:p>
      <w:pPr>
        <w:spacing w:line="276" w:lineRule="auto"/>
      </w:pPr>
      <w:r>
        <w:t>3. Analyse concurrentielle</w:t>
      </w:r>
    </w:p>
    <w:p>
      <w:pPr>
        <w:spacing w:line="276" w:lineRule="auto"/>
      </w:pPr>
      <w:r>
        <w:t>4. Marketing Mix</w:t>
      </w:r>
    </w:p>
    <w:p>
      <w:pPr>
        <w:spacing w:line="276" w:lineRule="auto"/>
      </w:pPr>
      <w:r>
        <w:t>5. Aspects commerciaux</w:t>
      </w:r>
    </w:p>
    <w:p>
      <w:pPr>
        <w:spacing w:line="276" w:lineRule="auto"/>
      </w:pPr>
      <w:r>
        <w:t>6. Aspects juridiques et propriété intellectuelle</w:t>
      </w:r>
    </w:p>
    <w:p>
      <w:pPr>
        <w:spacing w:line="276" w:lineRule="auto"/>
      </w:pPr>
      <w:r>
        <w:t>7. Aspects financiers</w:t>
      </w:r>
    </w:p>
    <w:p>
      <w:pPr>
        <w:spacing w:line="276" w:lineRule="auto"/>
      </w:pPr>
      <w:r>
        <w:t>8. Conclusion</w:t>
      </w:r>
    </w:p>
    <w:p>
      <w:pPr>
        <w:spacing w:line="276" w:lineRule="auto"/>
      </w:pPr>
      <w:r>
        <w:t>9. Bibliographie</w:t>
      </w:r>
    </w:p>
    <w:p>
      <w:pPr>
        <w:spacing w:line="276" w:lineRule="auto"/>
      </w:pPr>
      <w:r>
        <w:t>10. Annexes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1. INTRODUCTION</w:t>
      </w:r>
    </w:p>
    <w:p>
      <w:pPr>
        <w:pStyle w:val="Heading2"/>
      </w:pPr>
      <w:r>
        <w:rPr>
          <w:b/>
          <w:sz w:val="28"/>
        </w:rPr>
        <w:t>1.1 Présentation du produit WaterSense</w:t>
      </w:r>
    </w:p>
    <w:p>
      <w:pPr>
        <w:spacing w:line="276" w:lineRule="auto"/>
      </w:pPr>
      <w:r>
        <w:t>WaterSense est une **plateforme IoT intelligente** dédiée à l'optimisation de l'irrigation agricole. Le produit combine trois éléments clés : des capteurs connectés multi‑sensoriels (humidité, température, rayonnement), une infrastructure cloud scalable, et un moteur IA prescriptif propriétaire qui recommande, en temps réel, les volumes et horaires d'irrigation optimaux par parcelle.</w:t>
      </w:r>
    </w:p>
    <w:p>
      <w:pPr>
        <w:spacing w:line="276" w:lineRule="auto"/>
      </w:pPr>
      <w:r>
        <w:t>L'innovation tient à trois dimensions :</w:t>
      </w:r>
    </w:p>
    <w:p>
      <w:pPr>
        <w:spacing w:line="276" w:lineRule="auto"/>
      </w:pPr>
      <w:r>
        <w:t>**Innovation technologique :** L'IA propriétaire de WaterSense n'est pas une simple alerte ou un monitoring passif. Elle est *prescriptive* — elle dit *quand*, *combien* et *où* irriguer — et elle s'auto‑améliore via une boucle de feedback basée sur les rendements réels. Cette approche est brevetable (dépôt INPI 2026) et constitue une barrière à l'entrée de 4 à 5 ans.</w:t>
      </w:r>
    </w:p>
    <w:p>
      <w:pPr>
        <w:spacing w:line="276" w:lineRule="auto"/>
      </w:pPr>
      <w:r>
        <w:t>**Innovation agronomique :** Contrairement aux solutions globales (USA, Israël), WaterSense intègre le contexte français : données régionales, variétés de cultures locales, partenariats avec les Chambres d'agriculture, Arvalis, et SMAG. Cela rend les recommandations à la fois plus précises et culturellement acceptées.</w:t>
      </w:r>
    </w:p>
    <w:p>
      <w:pPr>
        <w:spacing w:line="276" w:lineRule="auto"/>
      </w:pPr>
      <w:r>
        <w:t>**Innovation économique :** Le modèle SaaS récurrent avec capteurs matériel crée une économie à fort ROI client (6 à 9 mois) et à unit economics excellentes (LTV/CAC &gt; 50), tout en étant 30 à 40 % moins cher que les concurrents.</w:t>
      </w:r>
    </w:p>
    <w:p>
      <w:pPr>
        <w:pStyle w:val="Heading2"/>
      </w:pPr>
      <w:r>
        <w:rPr>
          <w:b/>
          <w:sz w:val="28"/>
        </w:rPr>
        <w:t>1.2 Présentation de l'entreprise WaterSense</w:t>
      </w:r>
    </w:p>
    <w:p>
      <w:pPr>
        <w:spacing w:line="276" w:lineRule="auto"/>
      </w:pPr>
      <w:r>
        <w:t>WaterSense est une **startup AgriTech** fondée en 2024, structurée comme une **SAS** (Société par Actions Simplifiée) à statut de jeune entreprise innovante (JEI). L'équipe fondatrice réunit 20+ ans d'expertise en SaaS B2B, data science, et agriculture de précision.</w:t>
      </w:r>
    </w:p>
    <w:p>
      <w:pPr>
        <w:spacing w:line="276" w:lineRule="auto"/>
      </w:pPr>
      <w:r>
        <w:t>Le modèle d'affaires combine :</w:t>
      </w:r>
    </w:p>
    <w:p>
      <w:pPr>
        <w:pStyle w:val="ListBullet"/>
      </w:pPr>
      <w:r>
        <w:t>Abonnement logiciel (SaaS) : revenus récurrents</w:t>
      </w:r>
    </w:p>
    <w:p>
      <w:pPr>
        <w:pStyle w:val="ListBullet"/>
      </w:pPr>
      <w:r>
        <w:t>Vente de capteurs et équipements : revenus initiaux et marge</w:t>
      </w:r>
    </w:p>
    <w:p>
      <w:pPr>
        <w:pStyle w:val="ListBullet"/>
      </w:pPr>
      <w:r>
        <w:t>Services professionnels (onboarding, formations) : fidélisation et upsell</w:t>
      </w:r>
    </w:p>
    <w:p>
      <w:pPr>
        <w:spacing w:line="276" w:lineRule="auto"/>
      </w:pPr>
      <w:r>
        <w:t>L'entreprise cible une croissance rapide, avec ambition de 1 000 clients fin 2026, 3 150 clients fin 2028, et une levée de fonds Series A prévue T3 2026.</w:t>
      </w:r>
    </w:p>
    <w:p>
      <w:pPr>
        <w:pStyle w:val="Heading2"/>
      </w:pPr>
      <w:r>
        <w:rPr>
          <w:b/>
          <w:sz w:val="28"/>
        </w:rPr>
        <w:t>1.3 Zone de chalandise et cibles prioritaires</w:t>
      </w:r>
    </w:p>
    <w:p>
      <w:pPr>
        <w:spacing w:line="276" w:lineRule="auto"/>
      </w:pPr>
      <w:r>
        <w:t>**Zone géographique primaire (2026–2027) :** France métropolitaine, avec focus initial sur les bassins hydro‑critiques (Bassin Rhône, Garonne, Loire, Poitou‑Charentes).</w:t>
      </w:r>
    </w:p>
    <w:p>
      <w:pPr>
        <w:spacing w:line="276" w:lineRule="auto"/>
      </w:pPr>
      <w:r>
        <w:t>**Cibles prioritaires (ordre de priorité) :**</w:t>
      </w:r>
    </w:p>
    <w:p>
      <w:pPr>
        <w:spacing w:line="276" w:lineRule="auto"/>
      </w:pPr>
      <w:r>
        <w:t>1. **Exploitants maïs irrigation** (28 000 fermes, 118 M€ dépenses annuelles) — culture économiquement stratégique, forte pression eau</w:t>
      </w:r>
    </w:p>
    <w:p>
      <w:pPr>
        <w:spacing w:line="276" w:lineRule="auto"/>
      </w:pPr>
      <w:r>
        <w:t>2. **Producteurs fruits/arboriculture** (8 500 fermes, 35.7 M€) — élevé stress hydrique, élevé ROI eau</w:t>
      </w:r>
    </w:p>
    <w:p>
      <w:pPr>
        <w:spacing w:line="276" w:lineRule="auto"/>
      </w:pPr>
      <w:r>
        <w:t>3. **Maraîchers** (12 000 fermes, 50.4 M€) — segments secondaires mais rentables</w:t>
      </w:r>
    </w:p>
    <w:p>
      <w:pPr>
        <w:spacing w:line="276" w:lineRule="auto"/>
      </w:pPr>
      <w:r>
        <w:t>4. **Viticulteurs** (4 200 fermes) — segment tertiaire à moyen terme</w:t>
      </w:r>
    </w:p>
    <w:p>
      <w:pPr>
        <w:spacing w:line="276" w:lineRule="auto"/>
      </w:pPr>
      <w:r>
        <w:t>**Persona clés :**</w:t>
      </w:r>
    </w:p>
    <w:p>
      <w:pPr>
        <w:pStyle w:val="ListBullet"/>
      </w:pPr>
      <w:r>
        <w:t>Exploitant agricole de 50–500 ha, âge 35–60, réceptif à l'innovation</w:t>
      </w:r>
    </w:p>
    <w:p>
      <w:pPr>
        <w:pStyle w:val="ListBullet"/>
      </w:pPr>
      <w:r>
        <w:t>Directeur technique de coopérative agricole</w:t>
      </w:r>
    </w:p>
    <w:p>
      <w:pPr>
        <w:pStyle w:val="ListBullet"/>
      </w:pPr>
      <w:r>
        <w:t>Responsable d'irrigation en grand groupe agricole</w:t>
      </w:r>
    </w:p>
    <w:p>
      <w:pPr>
        <w:pStyle w:val="Heading2"/>
      </w:pPr>
      <w:r>
        <w:rPr>
          <w:b/>
          <w:sz w:val="28"/>
        </w:rPr>
        <w:t>1.4 Plan de développement</w:t>
      </w:r>
    </w:p>
    <w:p>
      <w:pPr>
        <w:spacing w:line="276" w:lineRule="auto"/>
      </w:pPr>
      <w:r>
        <w:t>**Phase 1 (T1 2026) :** Déploiement MVP auprès de 50–100 pilotes, validation capteurs et feedback client, construction de success stories.</w:t>
      </w:r>
    </w:p>
    <w:p>
      <w:pPr>
        <w:spacing w:line="276" w:lineRule="auto"/>
      </w:pPr>
      <w:r>
        <w:t>**Phase 2 (T2 2026) :** Lancement commercial officiel, signature des premiers accords de distribution via coopératives et chambres d'agriculture.</w:t>
      </w:r>
    </w:p>
    <w:p>
      <w:pPr>
        <w:spacing w:line="276" w:lineRule="auto"/>
      </w:pPr>
      <w:r>
        <w:t>**Phase 3 (T3–T4 2026) :** Montée en charge commerciale, levée de fonds Series A, accélération des partenariats.</w:t>
      </w:r>
    </w:p>
    <w:p>
      <w:pPr>
        <w:spacing w:line="276" w:lineRule="auto"/>
      </w:pPr>
      <w:r>
        <w:t>**Phase 4 (2027–2028) :** Expansion européenne (Espagne, Italie, Portugal), consolidation du leadership français.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2. ÉTUDE DE MARCHÉ ET ENVIRONNEMENT</w:t>
      </w:r>
    </w:p>
    <w:p>
      <w:pPr>
        <w:pStyle w:val="Heading2"/>
      </w:pPr>
      <w:r>
        <w:rPr>
          <w:b/>
          <w:sz w:val="28"/>
        </w:rPr>
        <w:t>2.1 Taille du marché (TAM, SAM, SOM)</w:t>
      </w:r>
    </w:p>
    <w:p>
      <w:pPr>
        <w:spacing w:line="276" w:lineRule="auto"/>
      </w:pPr>
      <w:r>
        <w:t>**TAM (Total Addressable Market) :** 284.5 M€ par an</w:t>
      </w:r>
    </w:p>
    <w:p>
      <w:pPr>
        <w:pStyle w:val="ListBullet"/>
      </w:pPr>
      <w:r>
        <w:t>54 400 exploitations avec irrigation en France</w:t>
      </w:r>
    </w:p>
    <w:p>
      <w:pPr>
        <w:pStyle w:val="ListBullet"/>
      </w:pPr>
      <w:r>
        <w:t>Investissement annuel moyen irrigation : 5 200 €/exploitation</w:t>
      </w:r>
    </w:p>
    <w:p>
      <w:pPr>
        <w:pStyle w:val="ListBullet"/>
      </w:pPr>
      <w:r>
        <w:t>Marché IoT irrigation (12 % du TAM en 2026) : 34.2 M€</w:t>
      </w:r>
    </w:p>
    <w:p>
      <w:pPr>
        <w:spacing w:line="276" w:lineRule="auto"/>
      </w:pPr>
      <w:r>
        <w:t>**SAM (Serviceable Addressable Market) :** 69 M€</w:t>
      </w:r>
    </w:p>
    <w:p>
      <w:pPr>
        <w:pStyle w:val="ListBullet"/>
      </w:pPr>
      <w:r>
        <w:t>Segment maïs + fruits : 36 500 exploitations, 153.7 M€ dépenses</w:t>
      </w:r>
    </w:p>
    <w:p>
      <w:pPr>
        <w:pStyle w:val="ListBullet"/>
      </w:pPr>
      <w:r>
        <w:t>Réceptivité technologie : 68 % → 24 820 exploitations</w:t>
      </w:r>
    </w:p>
    <w:p>
      <w:pPr>
        <w:pStyle w:val="ListBullet"/>
      </w:pPr>
      <w:r>
        <w:t>Avec budget IoT 2026 : 45 % → 11 169 exploitations = 69 M€</w:t>
      </w:r>
    </w:p>
    <w:p>
      <w:pPr>
        <w:spacing w:line="276" w:lineRule="auto"/>
      </w:pPr>
      <w:r>
        <w:t>**SOM (Serviceable Obtainable Market) :**</w:t>
      </w:r>
    </w:p>
    <w:p>
      <w:pPr>
        <w:pStyle w:val="ListBullet"/>
      </w:pPr>
      <w:r>
        <w:t>Année 1 (2026) : 2.8 M€ (56 clients fin Q2, accélération Q3–Q4)</w:t>
      </w:r>
    </w:p>
    <w:p>
      <w:pPr>
        <w:pStyle w:val="ListBullet"/>
      </w:pPr>
      <w:r>
        <w:t>Année 3 (2028) : 12.5 M€ (950 clients)</w:t>
      </w:r>
    </w:p>
    <w:p>
      <w:pPr>
        <w:pStyle w:val="ListBullet"/>
      </w:pPr>
      <w:r>
        <w:t>Année 5 (2030) : 35+ M€ (2 368 clients, 20 % marché)</w:t>
      </w:r>
    </w:p>
    <w:p>
      <w:pPr>
        <w:pStyle w:val="Heading2"/>
      </w:pPr>
      <w:r>
        <w:rPr>
          <w:b/>
          <w:sz w:val="28"/>
        </w:rPr>
        <w:t>2.2 Analyse de l'environnement (PESTEL)</w:t>
      </w:r>
    </w:p>
    <w:p>
      <w:pPr>
        <w:spacing w:line="276" w:lineRule="auto"/>
      </w:pPr>
      <w:r>
        <w:t>**Politique :** Stratégie nationale eau 2030 imposant réduction -20 % consommation ; Plan Résilience Agricole (100 M€ subventions) ; Obligation traçabilité eau à partir 2027.</w:t>
      </w:r>
    </w:p>
    <w:p>
      <w:pPr>
        <w:spacing w:line="276" w:lineRule="auto"/>
      </w:pPr>
      <w:r>
        <w:t>**Économique :** Coûts eau/énergie +15–30 % (2026–2028) ; volatilité prix céréales ; surendettement 54 % exploitations crée forte pression ROI.</w:t>
      </w:r>
    </w:p>
    <w:p>
      <w:pPr>
        <w:spacing w:line="276" w:lineRule="auto"/>
      </w:pPr>
      <w:r>
        <w:t>**Socioculturel :** Agriculture vieillissante (âge moyen 51 ans) ; acceptation tech hétérogène requiert UX très simple et support humain local.</w:t>
      </w:r>
    </w:p>
    <w:p>
      <w:pPr>
        <w:spacing w:line="276" w:lineRule="auto"/>
      </w:pPr>
      <w:r>
        <w:t>**Technologique :** IoT en croissance exponentielle ; IA prescriptive est facteur de différenciation clé ; edge computing réduit latence et augmente fiabilité.</w:t>
      </w:r>
    </w:p>
    <w:p>
      <w:pPr>
        <w:spacing w:line="276" w:lineRule="auto"/>
      </w:pPr>
      <w:r>
        <w:t>**Environnemental :** Stress hydrique chronique (78 % zones affectées) ; sécheresses 2–3 fois par an (scénario GIEC) ; demande de traçabilité carbone irrigation.</w:t>
      </w:r>
    </w:p>
    <w:p>
      <w:pPr>
        <w:spacing w:line="276" w:lineRule="auto"/>
      </w:pPr>
      <w:r>
        <w:t>**Légal :** Directive UE 2024–2025 sur réduction eau ; RGPD renforcé ; normes data agricoles émergentes ; responsabilité civile sur recommandations.</w:t>
      </w:r>
    </w:p>
    <w:p>
      <w:pPr>
        <w:spacing w:line="276" w:lineRule="auto"/>
      </w:pPr>
      <w:r>
        <w:t>**Synthèse :** Fenêtre d'opportunité 2026–2028 en raison de réglementation et stress hydrique ; exécution rapide et preuves ROI essentielles.</w:t>
      </w:r>
    </w:p>
    <w:p>
      <w:pPr>
        <w:pStyle w:val="Heading2"/>
      </w:pPr>
      <w:r>
        <w:rPr>
          <w:b/>
          <w:sz w:val="28"/>
        </w:rPr>
        <w:t>2.3 Analyse SWOT</w:t>
      </w:r>
    </w:p>
    <w:p>
      <w:pPr>
        <w:spacing w:line="276" w:lineRule="auto"/>
      </w:pPr>
      <w:r>
        <w:t>**Forces :**</w:t>
      </w:r>
    </w:p>
    <w:p>
      <w:pPr>
        <w:pStyle w:val="ListBullet"/>
      </w:pPr>
      <w:r>
        <w:t>IA propriétaire brevetable (94 % précision vs 78 % concurrents)</w:t>
      </w:r>
    </w:p>
    <w:p>
      <w:pPr>
        <w:pStyle w:val="ListBullet"/>
      </w:pPr>
      <w:r>
        <w:t>Contexte français (partenariats Chambres agri, Arvalis, SMAG)</w:t>
      </w:r>
    </w:p>
    <w:p>
      <w:pPr>
        <w:pStyle w:val="ListBullet"/>
      </w:pPr>
      <w:r>
        <w:t>Prix -35 % vs solutions globales</w:t>
      </w:r>
    </w:p>
    <w:p>
      <w:pPr>
        <w:pStyle w:val="ListBullet"/>
      </w:pPr>
      <w:r>
        <w:t>Unit economics excellentes (LTV/CAC &gt; 50)</w:t>
      </w:r>
    </w:p>
    <w:p>
      <w:pPr>
        <w:pStyle w:val="ListBullet"/>
      </w:pPr>
      <w:r>
        <w:t>Support relationnel en français</w:t>
      </w:r>
    </w:p>
    <w:p>
      <w:pPr>
        <w:spacing w:line="276" w:lineRule="auto"/>
      </w:pPr>
      <w:r>
        <w:t>**Faiblesses :**</w:t>
      </w:r>
    </w:p>
    <w:p>
      <w:pPr>
        <w:pStyle w:val="ListBullet"/>
      </w:pPr>
      <w:r>
        <w:t>Jeune entreprise (peu de références longue durée)</w:t>
      </w:r>
    </w:p>
    <w:p>
      <w:pPr>
        <w:pStyle w:val="ListBullet"/>
      </w:pPr>
      <w:r>
        <w:t>Ressources R&amp;D limitées vs géants globaux</w:t>
      </w:r>
    </w:p>
    <w:p>
      <w:pPr>
        <w:pStyle w:val="ListBullet"/>
      </w:pPr>
      <w:r>
        <w:t>Dépendance partenaires pour distribution terrain</w:t>
      </w:r>
    </w:p>
    <w:p>
      <w:pPr>
        <w:pStyle w:val="ListBullet"/>
      </w:pPr>
      <w:r>
        <w:t>Capital initial limité pour marketing de masse</w:t>
      </w:r>
    </w:p>
    <w:p>
      <w:pPr>
        <w:spacing w:line="276" w:lineRule="auto"/>
      </w:pPr>
      <w:r>
        <w:t>**Opportunités :**</w:t>
      </w:r>
    </w:p>
    <w:p>
      <w:pPr>
        <w:pStyle w:val="ListBullet"/>
      </w:pPr>
      <w:r>
        <w:t>Fenêtre réglementaire 2–3 ans critique</w:t>
      </w:r>
    </w:p>
    <w:p>
      <w:pPr>
        <w:pStyle w:val="ListBullet"/>
      </w:pPr>
      <w:r>
        <w:t>Subventions publiques (CAP, Plans Résilience)</w:t>
      </w:r>
    </w:p>
    <w:p>
      <w:pPr>
        <w:pStyle w:val="ListBullet"/>
      </w:pPr>
      <w:r>
        <w:t>Consolidation marché fragmenté (300+ acteurs petits)</w:t>
      </w:r>
    </w:p>
    <w:p>
      <w:pPr>
        <w:pStyle w:val="ListBullet"/>
      </w:pPr>
      <w:r>
        <w:t>Expansion Europe (même dynamiques régulation)</w:t>
      </w:r>
    </w:p>
    <w:p>
      <w:pPr>
        <w:spacing w:line="276" w:lineRule="auto"/>
      </w:pPr>
      <w:r>
        <w:t>**Menaces :**</w:t>
      </w:r>
    </w:p>
    <w:p>
      <w:pPr>
        <w:pStyle w:val="ListBullet"/>
      </w:pPr>
      <w:r>
        <w:t>Entrée de géants globales (Monsanto/Bayer, BASF) si marché se concentre</w:t>
      </w:r>
    </w:p>
    <w:p>
      <w:pPr>
        <w:pStyle w:val="ListBullet"/>
      </w:pPr>
      <w:r>
        <w:t>Concurrence prix agressive (USA, Israël)</w:t>
      </w:r>
    </w:p>
    <w:p>
      <w:pPr>
        <w:pStyle w:val="ListBullet"/>
      </w:pPr>
      <w:r>
        <w:t>Adoption lente si perception complexité UX</w:t>
      </w:r>
    </w:p>
    <w:p>
      <w:pPr>
        <w:pStyle w:val="ListBullet"/>
      </w:pPr>
      <w:r>
        <w:t>Réglementation data agricole plus stricte que prévu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3. ANALYSE CONCURRENTIELLE</w:t>
      </w:r>
    </w:p>
    <w:p>
      <w:pPr>
        <w:pStyle w:val="Heading2"/>
      </w:pPr>
      <w:r>
        <w:rPr>
          <w:b/>
          <w:sz w:val="28"/>
        </w:rPr>
        <w:t>3.1 Competitive landscape</w:t>
      </w:r>
    </w:p>
    <w:p>
      <w:pPr>
        <w:spacing w:line="276" w:lineRule="auto"/>
      </w:pPr>
      <w:r>
        <w:t>**Concurrents directs globaux :**</w:t>
      </w:r>
    </w:p>
    <w:p>
      <w:pPr>
        <w:pStyle w:val="ListBullet"/>
      </w:pPr>
      <w:r>
        <w:t>**Irrigatiom (USA)** : tech établie, tarification 400 €/mois, support anglophone, faible contexte France</w:t>
      </w:r>
    </w:p>
    <w:p>
      <w:pPr>
        <w:pStyle w:val="ListBullet"/>
      </w:pPr>
      <w:r>
        <w:t>**Nexus (Israël)** : hydrosensors, données PTF, tarification 550 €/mois, support lent</w:t>
      </w:r>
    </w:p>
    <w:p>
      <w:pPr>
        <w:spacing w:line="276" w:lineRule="auto"/>
      </w:pPr>
      <w:r>
        <w:t>**Concurrents indirects :**</w:t>
      </w:r>
    </w:p>
    <w:p>
      <w:pPr>
        <w:pStyle w:val="ListBullet"/>
      </w:pPr>
      <w:r>
        <w:t>Capteurs seuls (Decagon, Irrometer) : pas de logiciel ; clients bricolent solutions</w:t>
      </w:r>
    </w:p>
    <w:p>
      <w:pPr>
        <w:pStyle w:val="ListBullet"/>
      </w:pPr>
      <w:r>
        <w:t>Logiciels irrigation génériques : pas d'IA prescriptive, peu d'IoT</w:t>
      </w:r>
    </w:p>
    <w:p>
      <w:pPr>
        <w:spacing w:line="276" w:lineRule="auto"/>
      </w:pPr>
      <w:r>
        <w:t>**Position WaterSense :** leader attendu sur segment France premium (IA + support + contexte).</w:t>
      </w:r>
    </w:p>
    <w:p>
      <w:pPr>
        <w:pStyle w:val="Heading2"/>
      </w:pPr>
      <w:r>
        <w:rPr>
          <w:b/>
          <w:sz w:val="28"/>
        </w:rPr>
        <w:t>3.2 Avantage concurrentiel durable</w:t>
      </w:r>
    </w:p>
    <w:p>
      <w:pPr>
        <w:spacing w:line="276" w:lineRule="auto"/>
      </w:pPr>
      <w:r>
        <w:t>1. **Algorithmes propriétaires IA** — 4–5 ans pour reproduire (brevet)</w:t>
      </w:r>
    </w:p>
    <w:p>
      <w:pPr>
        <w:spacing w:line="276" w:lineRule="auto"/>
      </w:pPr>
      <w:r>
        <w:t>2. **Partenariats écosystème France** — accès exclusif données régionales + canal distribution</w:t>
      </w:r>
    </w:p>
    <w:p>
      <w:pPr>
        <w:spacing w:line="276" w:lineRule="auto"/>
      </w:pPr>
      <w:r>
        <w:t>3. **Contexte agronomique français** — variétés locales, sols, climat région</w:t>
      </w:r>
    </w:p>
    <w:p>
      <w:pPr>
        <w:spacing w:line="276" w:lineRule="auto"/>
      </w:pPr>
      <w:r>
        <w:t>4. **TCO 60 % inférieur vs USA/Israël** — sur 3 ans (prix + support local)</w:t>
      </w:r>
    </w:p>
    <w:p>
      <w:pPr>
        <w:spacing w:line="276" w:lineRule="auto"/>
      </w:pPr>
      <w:r>
        <w:t>5. **Recommandations explicables** — agriculteurs acceptent = adoption &gt;70 %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4. MARKETING MIX</w:t>
      </w:r>
    </w:p>
    <w:p>
      <w:pPr>
        <w:pStyle w:val="Heading2"/>
      </w:pPr>
      <w:r>
        <w:rPr>
          <w:b/>
          <w:sz w:val="28"/>
        </w:rPr>
        <w:t>4.1 Politique du produit</w:t>
      </w:r>
    </w:p>
    <w:p>
      <w:pPr>
        <w:spacing w:line="276" w:lineRule="auto"/>
      </w:pPr>
      <w:r>
        <w:t>**Niveaux de service (tiering) :**</w:t>
      </w:r>
    </w:p>
    <w:p>
      <w:pPr>
        <w:pStyle w:val="ListBullet"/>
      </w:pPr>
      <w:r>
        <w:t>**Essential (3 capteurs)** : 49 €/mois → PME, cultures extensives</w:t>
      </w:r>
    </w:p>
    <w:p>
      <w:pPr>
        <w:pStyle w:val="ListBullet"/>
      </w:pPr>
      <w:r>
        <w:t>**Standard (8 capteurs)** : 129 €/mois → Exploitations moyennes</w:t>
      </w:r>
    </w:p>
    <w:p>
      <w:pPr>
        <w:pStyle w:val="ListBullet"/>
      </w:pPr>
      <w:r>
        <w:t>**Premium (25+ capteurs)** : 299 €/mois → Grandes exploitations</w:t>
      </w:r>
    </w:p>
    <w:p>
      <w:pPr>
        <w:spacing w:line="276" w:lineRule="auto"/>
      </w:pPr>
      <w:r>
        <w:t>**Composantes produit :**</w:t>
      </w:r>
    </w:p>
    <w:p>
      <w:pPr>
        <w:pStyle w:val="ListBullet"/>
      </w:pPr>
      <w:r>
        <w:t>Capteurs IoT (IP65, batterie 12 mois, solaire)</w:t>
      </w:r>
    </w:p>
    <w:p>
      <w:pPr>
        <w:pStyle w:val="ListBullet"/>
      </w:pPr>
      <w:r>
        <w:t>Dashboard web + mobile responsive</w:t>
      </w:r>
    </w:p>
    <w:p>
      <w:pPr>
        <w:pStyle w:val="ListBullet"/>
      </w:pPr>
      <w:r>
        <w:t>Alertes temps réel (push)</w:t>
      </w:r>
    </w:p>
    <w:p>
      <w:pPr>
        <w:pStyle w:val="ListBullet"/>
      </w:pPr>
      <w:r>
        <w:t>Recommandations IA prescriptives</w:t>
      </w:r>
    </w:p>
    <w:p>
      <w:pPr>
        <w:pStyle w:val="ListBullet"/>
      </w:pPr>
      <w:r>
        <w:t>Rapports mensuels PDF automatiques</w:t>
      </w:r>
    </w:p>
    <w:p>
      <w:pPr>
        <w:pStyle w:val="ListBullet"/>
      </w:pPr>
      <w:r>
        <w:t>Support chat + email (français)</w:t>
      </w:r>
    </w:p>
    <w:p>
      <w:pPr>
        <w:pStyle w:val="ListBullet"/>
      </w:pPr>
      <w:r>
        <w:t>Intégrations partenaires (météo, données sol)</w:t>
      </w:r>
    </w:p>
    <w:p>
      <w:pPr>
        <w:spacing w:line="276" w:lineRule="auto"/>
      </w:pPr>
      <w:r>
        <w:t>**Roadmap produit :**</w:t>
      </w:r>
    </w:p>
    <w:p>
      <w:pPr>
        <w:pStyle w:val="ListBullet"/>
      </w:pPr>
      <w:r>
        <w:t>T1 2026 : MVP IA + 3 types capteurs</w:t>
      </w:r>
    </w:p>
    <w:p>
      <w:pPr>
        <w:pStyle w:val="ListBullet"/>
      </w:pPr>
      <w:r>
        <w:t>T2 2026 : Alertes prescriptives temps réel</w:t>
      </w:r>
    </w:p>
    <w:p>
      <w:pPr>
        <w:pStyle w:val="ListBullet"/>
      </w:pPr>
      <w:r>
        <w:t>T3 2026 : Prédictions multi‑jours + scénarios</w:t>
      </w:r>
    </w:p>
    <w:p>
      <w:pPr>
        <w:pStyle w:val="ListBullet"/>
      </w:pPr>
      <w:r>
        <w:t>T4 2026 : Benchmarking inter‑parcelles + IA avancée</w:t>
      </w:r>
    </w:p>
    <w:p>
      <w:pPr>
        <w:pStyle w:val="Heading2"/>
      </w:pPr>
      <w:r>
        <w:rPr>
          <w:b/>
          <w:sz w:val="28"/>
        </w:rPr>
        <w:t>4.2 Politique du prix</w:t>
      </w:r>
    </w:p>
    <w:p>
      <w:pPr>
        <w:spacing w:line="276" w:lineRule="auto"/>
      </w:pPr>
      <w:r>
        <w:t>**Stratégie prix :** Value-based (ROI 6–9 mois) + competitive (30 % sous USA).</w:t>
      </w:r>
    </w:p>
    <w:p>
      <w:pPr>
        <w:spacing w:line="276" w:lineRule="auto"/>
      </w:pPr>
      <w:r>
        <w:t>**ARPU cible :** 2 224 €/an (mix produits)</w:t>
      </w:r>
    </w:p>
    <w:p>
      <w:pPr>
        <w:spacing w:line="276" w:lineRule="auto"/>
      </w:pPr>
      <w:r>
        <w:t>**CAC budget :** 437 € (acquisition efficace)</w:t>
      </w:r>
    </w:p>
    <w:p>
      <w:pPr>
        <w:spacing w:line="276" w:lineRule="auto"/>
      </w:pPr>
      <w:r>
        <w:t>**LTV :** 24 542 € (rétention 87 % Y1, 5 ans horizon)</w:t>
      </w:r>
    </w:p>
    <w:p>
      <w:pPr>
        <w:spacing w:line="276" w:lineRule="auto"/>
      </w:pPr>
      <w:r>
        <w:t>**Modèle tarification :**</w:t>
      </w:r>
    </w:p>
    <w:p>
      <w:pPr>
        <w:pStyle w:val="ListBullet"/>
      </w:pPr>
      <w:r>
        <w:t>SaaS récurrent (mensuel, annuel -10 %)</w:t>
      </w:r>
    </w:p>
    <w:p>
      <w:pPr>
        <w:pStyle w:val="ListBullet"/>
      </w:pPr>
      <w:r>
        <w:t>Capteurs matériel (vente initiale + replacement)</w:t>
      </w:r>
    </w:p>
    <w:p>
      <w:pPr>
        <w:pStyle w:val="ListBullet"/>
      </w:pPr>
      <w:r>
        <w:t>Services professionnels optionnels (formations, audit, intégrations)</w:t>
      </w:r>
    </w:p>
    <w:p>
      <w:pPr>
        <w:spacing w:line="276" w:lineRule="auto"/>
      </w:pPr>
      <w:r>
        <w:t>**Garantie ROI :** Si économies &lt; 15 %, remboursement partiel T1 (construction de confiance).</w:t>
      </w:r>
    </w:p>
    <w:p>
      <w:pPr>
        <w:pStyle w:val="Heading2"/>
      </w:pPr>
      <w:r>
        <w:rPr>
          <w:b/>
          <w:sz w:val="28"/>
        </w:rPr>
        <w:t>4.3 Distribution</w:t>
      </w:r>
    </w:p>
    <w:p>
      <w:pPr>
        <w:spacing w:line="276" w:lineRule="auto"/>
      </w:pPr>
      <w:r>
        <w:t>**Canaux primaires (2026) :**</w:t>
      </w:r>
    </w:p>
    <w:p>
      <w:pPr>
        <w:spacing w:line="276" w:lineRule="auto"/>
      </w:pPr>
      <w:r>
        <w:t>1. **Partenariats coopératives agricoles** (150+ coops en France) — reach 80 % exploitants, légitimité</w:t>
      </w:r>
    </w:p>
    <w:p>
      <w:pPr>
        <w:spacing w:line="276" w:lineRule="auto"/>
      </w:pPr>
      <w:r>
        <w:t>2. **Chambres d'agriculture régionales** (94 chambres) — conseil, formation, dossiers aides</w:t>
      </w:r>
    </w:p>
    <w:p>
      <w:pPr>
        <w:spacing w:line="276" w:lineRule="auto"/>
      </w:pPr>
      <w:r>
        <w:t>3. **Distributeurs agrofournitures** (AGCO, Claas) — équipements irrigation</w:t>
      </w:r>
    </w:p>
    <w:p>
      <w:pPr>
        <w:spacing w:line="276" w:lineRule="auto"/>
      </w:pPr>
      <w:r>
        <w:t>**Canaux secondaires (2027+) :**</w:t>
      </w:r>
    </w:p>
    <w:p>
      <w:pPr>
        <w:pStyle w:val="ListBullet"/>
      </w:pPr>
      <w:r>
        <w:t>Vente directe B2B (grandes exploitations, groupes agricoles)</w:t>
      </w:r>
    </w:p>
    <w:p>
      <w:pPr>
        <w:pStyle w:val="ListBullet"/>
      </w:pPr>
      <w:r>
        <w:t>Resellers spécialisés IoT agricole</w:t>
      </w:r>
    </w:p>
    <w:p>
      <w:pPr>
        <w:pStyle w:val="ListBullet"/>
      </w:pPr>
      <w:r>
        <w:t>E‑commerce direct (site web)</w:t>
      </w:r>
    </w:p>
    <w:p>
      <w:pPr>
        <w:spacing w:line="276" w:lineRule="auto"/>
      </w:pPr>
      <w:r>
        <w:t>**Modèle partenariats :**</w:t>
      </w:r>
    </w:p>
    <w:p>
      <w:pPr>
        <w:pStyle w:val="ListBullet"/>
      </w:pPr>
      <w:r>
        <w:t>Coopératives : commissions 15–20 % sur SaaS annuel</w:t>
      </w:r>
    </w:p>
    <w:p>
      <w:pPr>
        <w:pStyle w:val="ListBullet"/>
      </w:pPr>
      <w:r>
        <w:t>Chambres agri : subventions R&amp;D + programmes de démonstration</w:t>
      </w:r>
    </w:p>
    <w:p>
      <w:pPr>
        <w:pStyle w:val="ListBullet"/>
      </w:pPr>
      <w:r>
        <w:t>Distributeurs : marge 10–15 % capteurs + lead partage SaaS</w:t>
      </w:r>
    </w:p>
    <w:p>
      <w:pPr>
        <w:pStyle w:val="Heading2"/>
      </w:pPr>
      <w:r>
        <w:rPr>
          <w:b/>
          <w:sz w:val="28"/>
        </w:rPr>
        <w:t>4.4 Promotion et communication</w:t>
      </w:r>
    </w:p>
    <w:p>
      <w:pPr>
        <w:spacing w:line="276" w:lineRule="auto"/>
      </w:pPr>
      <w:r>
        <w:t>**Stratégie globale :** Crédibilité + ROI prouvé + proximité locale.</w:t>
      </w:r>
    </w:p>
    <w:p>
      <w:pPr>
        <w:spacing w:line="276" w:lineRule="auto"/>
      </w:pPr>
      <w:r>
        <w:t>**Leviers prioritaires :**</w:t>
      </w:r>
    </w:p>
    <w:p>
      <w:pPr>
        <w:spacing w:line="276" w:lineRule="auto"/>
      </w:pPr>
      <w:r>
        <w:t>1. **Cas clients &amp; témoignages** — Exploitants ambassadeurs (réduction 50 % Y1, référence contractée)</w:t>
      </w:r>
    </w:p>
    <w:p>
      <w:pPr>
        <w:spacing w:line="276" w:lineRule="auto"/>
      </w:pPr>
      <w:r>
        <w:t>2. **Démos terrain** — Parcelles pilotes chez coopératives (mai–septembre)</w:t>
      </w:r>
    </w:p>
    <w:p>
      <w:pPr>
        <w:spacing w:line="276" w:lineRule="auto"/>
      </w:pPr>
      <w:r>
        <w:t>3. **Contenu éducatif** — Webinaires (météo + irrigation), guides PDF, vidéos YouTube</w:t>
      </w:r>
    </w:p>
    <w:p>
      <w:pPr>
        <w:spacing w:line="276" w:lineRule="auto"/>
      </w:pPr>
      <w:r>
        <w:t>4. **Salons agricoles** — Présence TechAgro Paris (29–31 mai 2026), Sima, Agritechnica</w:t>
      </w:r>
    </w:p>
    <w:p>
      <w:pPr>
        <w:spacing w:line="276" w:lineRule="auto"/>
      </w:pPr>
      <w:r>
        <w:t>5. **Partenaires influenceurs** — Arvalis (publications), SMAG (webinairing)</w:t>
      </w:r>
    </w:p>
    <w:p>
      <w:pPr>
        <w:spacing w:line="276" w:lineRule="auto"/>
      </w:pPr>
      <w:r>
        <w:t>6. **Email marketing + CRM** — Nurturing lists exploitants (consentement RGPD)</w:t>
      </w:r>
    </w:p>
    <w:p>
      <w:pPr>
        <w:spacing w:line="276" w:lineRule="auto"/>
      </w:pPr>
      <w:r>
        <w:t>**Budget communication Y1 :** 180 k€ (15 % CA)</w:t>
      </w:r>
    </w:p>
    <w:p>
      <w:pPr>
        <w:pStyle w:val="ListBullet"/>
      </w:pPr>
      <w:r>
        <w:t>Contenu/webinaires : 40 k€</w:t>
      </w:r>
    </w:p>
    <w:p>
      <w:pPr>
        <w:pStyle w:val="ListBullet"/>
      </w:pPr>
      <w:r>
        <w:t>Salons/événements : 50 k€</w:t>
      </w:r>
    </w:p>
    <w:p>
      <w:pPr>
        <w:pStyle w:val="ListBullet"/>
      </w:pPr>
      <w:r>
        <w:t>Digital/SEM : 60 k€</w:t>
      </w:r>
    </w:p>
    <w:p>
      <w:pPr>
        <w:pStyle w:val="ListBullet"/>
      </w:pPr>
      <w:r>
        <w:t>PR/relations presse agri : 30 k€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5. ASPECTS COMMERCIAUX</w:t>
      </w:r>
    </w:p>
    <w:p>
      <w:pPr>
        <w:pStyle w:val="Heading2"/>
      </w:pPr>
      <w:r>
        <w:rPr>
          <w:b/>
          <w:sz w:val="28"/>
        </w:rPr>
        <w:t>5.1 Partenariats stratégiques</w:t>
      </w:r>
    </w:p>
    <w:p>
      <w:pPr>
        <w:spacing w:line="276" w:lineRule="auto"/>
      </w:pPr>
      <w:r>
        <w:t>**Partenaires clés signés (T1 2026) :**</w:t>
      </w:r>
    </w:p>
    <w:p>
      <w:pPr>
        <w:pStyle w:val="ListBullet"/>
      </w:pPr>
      <w:r>
        <w:t>**Coopératives agricoles** (CAGB, AGPB, AGORA) — distribution + légitimité</w:t>
      </w:r>
    </w:p>
    <w:p>
      <w:pPr>
        <w:pStyle w:val="ListBullet"/>
      </w:pPr>
      <w:r>
        <w:t>**Arvalis** — données météo fine + recommendations agro</w:t>
      </w:r>
    </w:p>
    <w:p>
      <w:pPr>
        <w:pStyle w:val="ListBullet"/>
      </w:pPr>
      <w:r>
        <w:t>**SMAG** — formation, support terrain</w:t>
      </w:r>
    </w:p>
    <w:p>
      <w:pPr>
        <w:pStyle w:val="ListBullet"/>
      </w:pPr>
      <w:r>
        <w:t>**Chambres d'agriculture Bassin Rhône** — dossiers aides + recommandations</w:t>
      </w:r>
    </w:p>
    <w:p>
      <w:pPr>
        <w:spacing w:line="276" w:lineRule="auto"/>
      </w:pPr>
      <w:r>
        <w:t>**Modèle de valeur partenaire :**</w:t>
      </w:r>
    </w:p>
    <w:p>
      <w:pPr>
        <w:pStyle w:val="ListBullet"/>
      </w:pPr>
      <w:r>
        <w:t>Coops : commissions 15–20 % SaaS annuel, formation gratuite, co-marketing</w:t>
      </w:r>
    </w:p>
    <w:p>
      <w:pPr>
        <w:pStyle w:val="ListBullet"/>
      </w:pPr>
      <w:r>
        <w:t>Arvalis : accès données exclusives, publications conjointes, webinaires</w:t>
      </w:r>
    </w:p>
    <w:p>
      <w:pPr>
        <w:pStyle w:val="ListBullet"/>
      </w:pPr>
      <w:r>
        <w:t>Chambres : subventions pilotes, visibilité auprès adhérents, dossiers CAP précomplétés</w:t>
      </w:r>
    </w:p>
    <w:p>
      <w:pPr>
        <w:spacing w:line="276" w:lineRule="auto"/>
      </w:pPr>
      <w:r>
        <w:t>**Objectif :** 8–10 partenaires maîtres signés fin T2 2026 ; 80 % des clients via partenaires.</w:t>
      </w:r>
    </w:p>
    <w:p>
      <w:pPr>
        <w:pStyle w:val="Heading2"/>
      </w:pPr>
      <w:r>
        <w:rPr>
          <w:b/>
          <w:sz w:val="28"/>
        </w:rPr>
        <w:t>5.2 Sous-traitance et prestataires</w:t>
      </w:r>
    </w:p>
    <w:p>
      <w:pPr>
        <w:spacing w:line="276" w:lineRule="auto"/>
      </w:pPr>
      <w:r>
        <w:t>**Prestataires critiques :**</w:t>
      </w:r>
    </w:p>
    <w:p>
      <w:pPr>
        <w:pStyle w:val="ListBullet"/>
      </w:pPr>
      <w:r>
        <w:t>**Hébergement cloud** : AWS/Azure multi‑zone (résilience)</w:t>
      </w:r>
    </w:p>
    <w:p>
      <w:pPr>
        <w:pStyle w:val="ListBullet"/>
      </w:pPr>
      <w:r>
        <w:t>**Capteurs IoT** : fabricant tier-1 certifié (calibration, supply chain)</w:t>
      </w:r>
    </w:p>
    <w:p>
      <w:pPr>
        <w:pStyle w:val="ListBullet"/>
      </w:pPr>
      <w:r>
        <w:t>**Maintenance terrain** : prestataires agronomie régionaux (déploiement + support)</w:t>
      </w:r>
    </w:p>
    <w:p>
      <w:pPr>
        <w:pStyle w:val="ListBullet"/>
      </w:pPr>
      <w:r>
        <w:t>**Support client** : centre d'appel français externalisé (scalabilité)</w:t>
      </w:r>
    </w:p>
    <w:p>
      <w:pPr>
        <w:spacing w:line="276" w:lineRule="auto"/>
      </w:pPr>
      <w:r>
        <w:t>**Stratégie supply chain :** dual-sourcing capteurs, contrats SLA strict (99.5 % dispo).</w:t>
      </w:r>
    </w:p>
    <w:p>
      <w:pPr>
        <w:pStyle w:val="Heading2"/>
      </w:pPr>
      <w:r>
        <w:rPr>
          <w:b/>
          <w:sz w:val="28"/>
        </w:rPr>
        <w:t>5.3 Modèle commercial à terme (2027+)</w:t>
      </w:r>
    </w:p>
    <w:p>
      <w:pPr>
        <w:spacing w:line="276" w:lineRule="auto"/>
      </w:pPr>
      <w:r>
        <w:t>**Expansion modèle :** Franchises techniques avec coopératives majeures (Europe du Sud) — opérateur local, logiciel WaterSense centralisé.</w:t>
      </w:r>
    </w:p>
    <w:p>
      <w:pPr>
        <w:spacing w:line="276" w:lineRule="auto"/>
      </w:pPr>
      <w:r>
        <w:t>**Objectif :** 20–30 % revenus internationaux fin 2028.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6. ASPECTS JURIDIQUES ET PROPRIÉTÉ INTELLECTUELLE</w:t>
      </w:r>
    </w:p>
    <w:p>
      <w:pPr>
        <w:pStyle w:val="Heading2"/>
      </w:pPr>
      <w:r>
        <w:rPr>
          <w:b/>
          <w:sz w:val="28"/>
        </w:rPr>
        <w:t>6.1 Propriété intellectuelle</w:t>
      </w:r>
    </w:p>
    <w:p>
      <w:pPr>
        <w:spacing w:line="276" w:lineRule="auto"/>
      </w:pPr>
      <w:r>
        <w:t>**Brevets en cours de dépôt (2026) :**</w:t>
      </w:r>
    </w:p>
    <w:p>
      <w:pPr>
        <w:pStyle w:val="ListBullet"/>
      </w:pPr>
      <w:r>
        <w:t>Méthode prescriptive IA (feedback loop + scoring hydrique) — INPI juin 2026 + extension PCT</w:t>
      </w:r>
    </w:p>
    <w:p>
      <w:pPr>
        <w:pStyle w:val="ListBullet"/>
      </w:pPr>
      <w:r>
        <w:t>Orchestration temps réel edge/cloud — INPI septembre 2026</w:t>
      </w:r>
    </w:p>
    <w:p>
      <w:pPr>
        <w:pStyle w:val="ListBullet"/>
      </w:pPr>
      <w:r>
        <w:t>Système d'explicabilité agricole — INPI novembre 2026</w:t>
      </w:r>
    </w:p>
    <w:p>
      <w:pPr>
        <w:spacing w:line="276" w:lineRule="auto"/>
      </w:pPr>
      <w:r>
        <w:t>**Marques :** WaterSense® déposée INPI + EUIPO (2024).</w:t>
      </w:r>
    </w:p>
    <w:p>
      <w:pPr>
        <w:spacing w:line="276" w:lineRule="auto"/>
      </w:pPr>
      <w:r>
        <w:t>**Logiciel :** Enregistrement AGENCE pour LE LOGICIEL (2025).</w:t>
      </w:r>
    </w:p>
    <w:p>
      <w:pPr>
        <w:spacing w:line="276" w:lineRule="auto"/>
      </w:pPr>
      <w:r>
        <w:t>**Data propriétaires :** Données de terrain + modèles calibrés = actif critique ; contrats confidentialité stricts avec partenaires.</w:t>
      </w:r>
    </w:p>
    <w:p>
      <w:pPr>
        <w:pStyle w:val="Heading2"/>
      </w:pPr>
      <w:r>
        <w:rPr>
          <w:b/>
          <w:sz w:val="28"/>
        </w:rPr>
        <w:t>6.2 Statut juridique et conformité</w:t>
      </w:r>
    </w:p>
    <w:p>
      <w:pPr>
        <w:spacing w:line="276" w:lineRule="auto"/>
      </w:pPr>
      <w:r>
        <w:t>**Statut :** SAS (Société par Actions Simplifiée), jeune entreprise innovante (JEI).</w:t>
      </w:r>
    </w:p>
    <w:p>
      <w:pPr>
        <w:spacing w:line="276" w:lineRule="auto"/>
      </w:pPr>
      <w:r>
        <w:t>**Conformité :** RGPD (DPO nommé), ISO 27001 (prévue T2 2026), normes données agricoles émergentes.</w:t>
      </w:r>
    </w:p>
    <w:p>
      <w:pPr>
        <w:spacing w:line="276" w:lineRule="auto"/>
      </w:pPr>
      <w:r>
        <w:t>**Assurance :** R&amp;C pros, cyber-insurance, assurance data breach.</w:t>
      </w:r>
    </w:p>
    <w:p>
      <w:pPr>
        <w:pStyle w:val="Heading2"/>
      </w:pPr>
      <w:r>
        <w:rPr>
          <w:b/>
          <w:sz w:val="28"/>
        </w:rPr>
        <w:t>6.3 Contrats type</w:t>
      </w:r>
    </w:p>
    <w:p>
      <w:pPr>
        <w:spacing w:line="276" w:lineRule="auto"/>
      </w:pPr>
      <w:r>
        <w:t>**Contrats clients :** SaaS standards (conditions générales d'utilisation, NDA, SLA 99.5 %, clauses responsabilité limitées).</w:t>
      </w:r>
    </w:p>
    <w:p>
      <w:pPr>
        <w:spacing w:line="276" w:lineRule="auto"/>
      </w:pPr>
      <w:r>
        <w:t>**Contrats partenaires :** Accords confidentialité, commissions, obligations de réserve commerciale.</w:t>
      </w:r>
    </w:p>
    <w:p>
      <w:pPr>
        <w:spacing w:line="276" w:lineRule="auto"/>
      </w:pPr>
      <w:r>
        <w:t>**Contrats employés :** Clauses IP assignation automatique à l'entreprise.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7. ASPECTS FINANCIERS</w:t>
      </w:r>
    </w:p>
    <w:p>
      <w:pPr>
        <w:pStyle w:val="Heading2"/>
      </w:pPr>
      <w:r>
        <w:rPr>
          <w:b/>
          <w:sz w:val="28"/>
        </w:rPr>
        <w:t>7.1 Modèle de revenu (Y1 2026)</w:t>
      </w:r>
    </w:p>
    <w:p>
      <w:pPr>
        <w:spacing w:line="276" w:lineRule="auto"/>
      </w:pPr>
      <w:r>
        <w:t>**Hypothèses commerciales :**</w:t>
      </w:r>
    </w:p>
    <w:p>
      <w:pPr>
        <w:pStyle w:val="ListBullet"/>
      </w:pPr>
      <w:r>
        <w:t>Q1 2026 : 0 € (prép commercial)</w:t>
      </w:r>
    </w:p>
    <w:p>
      <w:pPr>
        <w:pStyle w:val="ListBullet"/>
      </w:pPr>
      <w:r>
        <w:t>Q2 2026 : 50 k€ (déploiement pilotes)</w:t>
      </w:r>
    </w:p>
    <w:p>
      <w:pPr>
        <w:pStyle w:val="ListBullet"/>
      </w:pPr>
      <w:r>
        <w:t>Q3 2026 : 400 k€ (accélération lancement)</w:t>
      </w:r>
    </w:p>
    <w:p>
      <w:pPr>
        <w:pStyle w:val="ListBullet"/>
      </w:pPr>
      <w:r>
        <w:t>Q4 2026 : 1.25 M€ (fin d'année, momentum)</w:t>
      </w:r>
    </w:p>
    <w:p>
      <w:pPr>
        <w:pStyle w:val="ListBullet"/>
      </w:pPr>
      <w:r>
        <w:t>**Total Y1 2026 : 1.7 M€ CA**</w:t>
      </w:r>
    </w:p>
    <w:p>
      <w:pPr>
        <w:spacing w:line="276" w:lineRule="auto"/>
      </w:pPr>
      <w:r>
        <w:t>(Note : cible révisée 2.8 M€ si accélération partenaires Q2)</w:t>
      </w:r>
    </w:p>
    <w:p>
      <w:pPr>
        <w:spacing w:line="276" w:lineRule="auto"/>
      </w:pPr>
      <w:r>
        <w:t>**Mix revenus Y1 :**</w:t>
      </w:r>
    </w:p>
    <w:p>
      <w:pPr>
        <w:pStyle w:val="ListBullet"/>
      </w:pPr>
      <w:r>
        <w:t>SaaS abonnements : 48 % (816 k€)</w:t>
      </w:r>
    </w:p>
    <w:p>
      <w:pPr>
        <w:pStyle w:val="ListBullet"/>
      </w:pPr>
      <w:r>
        <w:t>Capteurs/hardware : 42 % (714 k€)</w:t>
      </w:r>
    </w:p>
    <w:p>
      <w:pPr>
        <w:pStyle w:val="ListBullet"/>
      </w:pPr>
      <w:r>
        <w:t>Services : 10 % (170 k€)</w:t>
      </w:r>
    </w:p>
    <w:p>
      <w:pPr>
        <w:pStyle w:val="Heading2"/>
      </w:pPr>
      <w:r>
        <w:rPr>
          <w:b/>
          <w:sz w:val="28"/>
        </w:rPr>
        <w:t>7.2 Coûts opérationnels Y1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Catégorie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Budget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COGS (capteurs, cloud)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350 k€</w:t>
            </w:r>
          </w:p>
        </w:tc>
      </w:tr>
      <w:tr>
        <w:tc>
          <w:tcPr>
            <w:tcW w:type="dxa" w:w="4680"/>
          </w:tcPr>
          <w:p>
            <w:r>
              <w:t>Équipe produit/tech</w:t>
            </w:r>
          </w:p>
        </w:tc>
        <w:tc>
          <w:tcPr>
            <w:tcW w:type="dxa" w:w="4680"/>
          </w:tcPr>
          <w:p>
            <w:r>
              <w:t>450 k€</w:t>
            </w:r>
          </w:p>
        </w:tc>
      </w:tr>
      <w:tr>
        <w:tc>
          <w:tcPr>
            <w:tcW w:type="dxa" w:w="4680"/>
          </w:tcPr>
          <w:p>
            <w:r>
              <w:t>Équipe sales/marketing</w:t>
            </w:r>
          </w:p>
        </w:tc>
        <w:tc>
          <w:tcPr>
            <w:tcW w:type="dxa" w:w="4680"/>
          </w:tcPr>
          <w:p>
            <w:r>
              <w:t>250 k€</w:t>
            </w:r>
          </w:p>
        </w:tc>
      </w:tr>
      <w:tr>
        <w:tc>
          <w:tcPr>
            <w:tcW w:type="dxa" w:w="4680"/>
          </w:tcPr>
          <w:p>
            <w:r>
              <w:t>Support/opérations</w:t>
            </w:r>
          </w:p>
        </w:tc>
        <w:tc>
          <w:tcPr>
            <w:tcW w:type="dxa" w:w="4680"/>
          </w:tcPr>
          <w:p>
            <w:r>
              <w:t>150 k€</w:t>
            </w:r>
          </w:p>
        </w:tc>
      </w:tr>
      <w:tr>
        <w:tc>
          <w:tcPr>
            <w:tcW w:type="dxa" w:w="4680"/>
          </w:tcPr>
          <w:p>
            <w:r>
              <w:t>Locaux, admin, autres</w:t>
            </w:r>
          </w:p>
        </w:tc>
        <w:tc>
          <w:tcPr>
            <w:tcW w:type="dxa" w:w="4680"/>
          </w:tcPr>
          <w:p>
            <w:r>
              <w:t>150 k€</w:t>
            </w:r>
          </w:p>
        </w:tc>
      </w:tr>
      <w:tr>
        <w:tc>
          <w:tcPr>
            <w:tcW w:type="dxa" w:w="4680"/>
          </w:tcPr>
          <w:p>
            <w:r>
              <w:t>**Total OpEx**</w:t>
            </w:r>
          </w:p>
        </w:tc>
        <w:tc>
          <w:tcPr>
            <w:tcW w:type="dxa" w:w="4680"/>
          </w:tcPr>
          <w:p>
            <w:r>
              <w:t>**1.35 M€**</w:t>
            </w:r>
          </w:p>
        </w:tc>
      </w:tr>
    </w:tbl>
    <w:p>
      <w:pPr>
        <w:spacing w:line="276" w:lineRule="auto"/>
      </w:pPr>
      <w:r>
        <w:t>**Gross Margin :** 77 % (SaaS standard).</w:t>
      </w:r>
    </w:p>
    <w:p>
      <w:pPr>
        <w:spacing w:line="276" w:lineRule="auto"/>
      </w:pPr>
      <w:r>
        <w:t>**EBITDA Y1 2026 :** -650 k€ (investment phase).</w:t>
      </w:r>
    </w:p>
    <w:p>
      <w:pPr>
        <w:pStyle w:val="Heading2"/>
      </w:pPr>
      <w:r>
        <w:rPr>
          <w:b/>
          <w:sz w:val="28"/>
        </w:rPr>
        <w:t>7.3 Projections financières (5 ans)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Année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Clients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Gross Margin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EBITDA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2026</w:t>
            </w:r>
          </w:p>
        </w:tc>
        <w:tc>
          <w:tcPr>
            <w:tcW w:type="dxa" w:w="1872"/>
          </w:tcPr>
          <w:p>
            <w:r>
              <w:rPr>
                <w:b/>
              </w:rPr>
              <w:t>56</w:t>
            </w:r>
          </w:p>
        </w:tc>
        <w:tc>
          <w:tcPr>
            <w:tcW w:type="dxa" w:w="1872"/>
          </w:tcPr>
          <w:p>
            <w:r>
              <w:rPr>
                <w:b/>
              </w:rPr>
              <w:t>1.7 M€</w:t>
            </w:r>
          </w:p>
        </w:tc>
        <w:tc>
          <w:tcPr>
            <w:tcW w:type="dxa" w:w="1872"/>
          </w:tcPr>
          <w:p>
            <w:r>
              <w:rPr>
                <w:b/>
              </w:rPr>
              <w:t>77 %</w:t>
            </w:r>
          </w:p>
        </w:tc>
        <w:tc>
          <w:tcPr>
            <w:tcW w:type="dxa" w:w="1872"/>
          </w:tcPr>
          <w:p>
            <w:r>
              <w:rPr>
                <w:b/>
              </w:rPr>
              <w:t>-650 k€</w:t>
            </w:r>
          </w:p>
        </w:tc>
      </w:tr>
      <w:tr>
        <w:tc>
          <w:tcPr>
            <w:tcW w:type="dxa" w:w="1872"/>
          </w:tcPr>
          <w:p>
            <w:r>
              <w:t>2027</w:t>
            </w:r>
          </w:p>
        </w:tc>
        <w:tc>
          <w:tcPr>
            <w:tcW w:type="dxa" w:w="1872"/>
          </w:tcPr>
          <w:p>
            <w:r>
              <w:t>356</w:t>
            </w:r>
          </w:p>
        </w:tc>
        <w:tc>
          <w:tcPr>
            <w:tcW w:type="dxa" w:w="1872"/>
          </w:tcPr>
          <w:p>
            <w:r>
              <w:t>5.5 M€</w:t>
            </w:r>
          </w:p>
        </w:tc>
        <w:tc>
          <w:tcPr>
            <w:tcW w:type="dxa" w:w="1872"/>
          </w:tcPr>
          <w:p>
            <w:r>
              <w:t>77 %</w:t>
            </w:r>
          </w:p>
        </w:tc>
        <w:tc>
          <w:tcPr>
            <w:tcW w:type="dxa" w:w="1872"/>
          </w:tcPr>
          <w:p>
            <w:r>
              <w:t>-100 k€</w:t>
            </w:r>
          </w:p>
        </w:tc>
      </w:tr>
      <w:tr>
        <w:tc>
          <w:tcPr>
            <w:tcW w:type="dxa" w:w="1872"/>
          </w:tcPr>
          <w:p>
            <w:r>
              <w:t>2028</w:t>
            </w:r>
          </w:p>
        </w:tc>
        <w:tc>
          <w:tcPr>
            <w:tcW w:type="dxa" w:w="1872"/>
          </w:tcPr>
          <w:p>
            <w:r>
              <w:t>950</w:t>
            </w:r>
          </w:p>
        </w:tc>
        <w:tc>
          <w:tcPr>
            <w:tcW w:type="dxa" w:w="1872"/>
          </w:tcPr>
          <w:p>
            <w:r>
              <w:t>12.5 M€</w:t>
            </w:r>
          </w:p>
        </w:tc>
        <w:tc>
          <w:tcPr>
            <w:tcW w:type="dxa" w:w="1872"/>
          </w:tcPr>
          <w:p>
            <w:r>
              <w:t>77 %</w:t>
            </w:r>
          </w:p>
        </w:tc>
        <w:tc>
          <w:tcPr>
            <w:tcW w:type="dxa" w:w="1872"/>
          </w:tcPr>
          <w:p>
            <w:r>
              <w:t>+1.2 M€</w:t>
            </w:r>
          </w:p>
        </w:tc>
      </w:tr>
      <w:tr>
        <w:tc>
          <w:tcPr>
            <w:tcW w:type="dxa" w:w="1872"/>
          </w:tcPr>
          <w:p>
            <w:r>
              <w:t>2029</w:t>
            </w:r>
          </w:p>
        </w:tc>
        <w:tc>
          <w:tcPr>
            <w:tcW w:type="dxa" w:w="1872"/>
          </w:tcPr>
          <w:p>
            <w:r>
              <w:t>1 700</w:t>
            </w:r>
          </w:p>
        </w:tc>
        <w:tc>
          <w:tcPr>
            <w:tcW w:type="dxa" w:w="1872"/>
          </w:tcPr>
          <w:p>
            <w:r>
              <w:t>21 M€</w:t>
            </w:r>
          </w:p>
        </w:tc>
        <w:tc>
          <w:tcPr>
            <w:tcW w:type="dxa" w:w="1872"/>
          </w:tcPr>
          <w:p>
            <w:r>
              <w:t>78 %</w:t>
            </w:r>
          </w:p>
        </w:tc>
        <w:tc>
          <w:tcPr>
            <w:tcW w:type="dxa" w:w="1872"/>
          </w:tcPr>
          <w:p>
            <w:r>
              <w:t>+3.8 M€</w:t>
            </w:r>
          </w:p>
        </w:tc>
      </w:tr>
      <w:tr>
        <w:tc>
          <w:tcPr>
            <w:tcW w:type="dxa" w:w="1872"/>
          </w:tcPr>
          <w:p>
            <w:r>
              <w:t>2030</w:t>
            </w:r>
          </w:p>
        </w:tc>
        <w:tc>
          <w:tcPr>
            <w:tcW w:type="dxa" w:w="1872"/>
          </w:tcPr>
          <w:p>
            <w:r>
              <w:t>2 368</w:t>
            </w:r>
          </w:p>
        </w:tc>
        <w:tc>
          <w:tcPr>
            <w:tcW w:type="dxa" w:w="1872"/>
          </w:tcPr>
          <w:p>
            <w:r>
              <w:t>35 M€</w:t>
            </w:r>
          </w:p>
        </w:tc>
        <w:tc>
          <w:tcPr>
            <w:tcW w:type="dxa" w:w="1872"/>
          </w:tcPr>
          <w:p>
            <w:r>
              <w:t>79 %</w:t>
            </w:r>
          </w:p>
        </w:tc>
        <w:tc>
          <w:tcPr>
            <w:tcW w:type="dxa" w:w="1872"/>
          </w:tcPr>
          <w:p>
            <w:r>
              <w:t>+7.2 M€</w:t>
            </w:r>
          </w:p>
        </w:tc>
      </w:tr>
    </w:tbl>
    <w:p>
      <w:pPr>
        <w:spacing w:line="276" w:lineRule="auto"/>
      </w:pPr>
      <w:r>
        <w:t>**Break-even :** Q4 2026 (EBITDA positif).</w:t>
      </w:r>
    </w:p>
    <w:p>
      <w:pPr>
        <w:spacing w:line="276" w:lineRule="auto"/>
      </w:pPr>
      <w:r>
        <w:t>**CAC payback :** 8–9 mois (excellent).</w:t>
      </w:r>
    </w:p>
    <w:p>
      <w:pPr>
        <w:spacing w:line="276" w:lineRule="auto"/>
      </w:pPr>
      <w:r>
        <w:t>**Rétention :** 87 % Y1 → 92 % Y3+ (effet network + intégration).</w:t>
      </w:r>
    </w:p>
    <w:p>
      <w:pPr>
        <w:pStyle w:val="Heading2"/>
      </w:pPr>
      <w:r>
        <w:rPr>
          <w:b/>
          <w:sz w:val="28"/>
        </w:rPr>
        <w:t>7.4 Levée de fonds</w:t>
      </w:r>
    </w:p>
    <w:p>
      <w:pPr>
        <w:spacing w:line="276" w:lineRule="auto"/>
      </w:pPr>
      <w:r>
        <w:t>**Tour actuel (Amorçage 2025) :** 500 k€ bootstrappé + business angels.</w:t>
      </w:r>
    </w:p>
    <w:p>
      <w:pPr>
        <w:spacing w:line="276" w:lineRule="auto"/>
      </w:pPr>
      <w:r>
        <w:t>**Series A (Q3 2026) :** Cible **2–3 M€**</w:t>
      </w:r>
    </w:p>
    <w:p>
      <w:pPr>
        <w:pStyle w:val="ListBullet"/>
      </w:pPr>
      <w:r>
        <w:t>Usage : 800 k€ R&amp;D IA, 600 k€ sales/marketing, 400 k€ opérations</w:t>
      </w:r>
    </w:p>
    <w:p>
      <w:pPr>
        <w:pStyle w:val="ListBullet"/>
      </w:pPr>
      <w:r>
        <w:t>Timeline : 6 mois levée, clôture septembre 2026</w:t>
      </w:r>
    </w:p>
    <w:p>
      <w:pPr>
        <w:spacing w:line="276" w:lineRule="auto"/>
      </w:pPr>
      <w:r>
        <w:t>**Investisseurs cibles :** VCs agritech (Idinvest, Serena), fonds public (Bpifrance), corporate farmers (Avril, Limagrain).</w:t>
      </w:r>
    </w:p>
    <w:p>
      <w:pPr>
        <w:spacing w:line="276" w:lineRule="auto"/>
      </w:pPr>
      <w:r>
        <w:t>**Critères diligence :** Traction clients (50+ pilotes), validation ROI, barrière IP (brevets), market timing (réglementation).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8. CONCLUSION</w:t>
      </w:r>
    </w:p>
    <w:p>
      <w:pPr>
        <w:pStyle w:val="Heading2"/>
      </w:pPr>
      <w:r>
        <w:rPr>
          <w:b/>
          <w:sz w:val="28"/>
        </w:rPr>
        <w:t>Synthèse générale</w:t>
      </w:r>
    </w:p>
    <w:p>
      <w:pPr>
        <w:spacing w:line="276" w:lineRule="auto"/>
      </w:pPr>
      <w:r>
        <w:t>WaterSense se positionne comme **le leader français de l'optimisation intelligente de l'irrigation**, avec une proposition de valeur claire : **économies d'eau et d'énergie mesurables (20–35 %), recommandations agronomiques précises, et support relationnel local**.</w:t>
      </w:r>
    </w:p>
    <w:p>
      <w:pPr>
        <w:pStyle w:val="Heading2"/>
      </w:pPr>
      <w:r>
        <w:rPr>
          <w:b/>
          <w:sz w:val="28"/>
        </w:rPr>
        <w:t>Rappel du produit et caractère innovant</w:t>
      </w:r>
    </w:p>
    <w:p>
      <w:pPr>
        <w:spacing w:line="276" w:lineRule="auto"/>
      </w:pPr>
      <w:r>
        <w:t>Le produit combine **IA prescriptive propriétaire** (brevet), **contexte agronomique français**, et **modèle SaaS économe** pour délivrer un ROI client en 6–9 mois. L'innovation tient à trois piliers :</w:t>
      </w:r>
    </w:p>
    <w:p>
      <w:pPr>
        <w:spacing w:line="276" w:lineRule="auto"/>
      </w:pPr>
      <w:r>
        <w:t>1. **Technologique :** IA brevetable, edge computing, boucle de feedback automatique</w:t>
      </w:r>
    </w:p>
    <w:p>
      <w:pPr>
        <w:spacing w:line="276" w:lineRule="auto"/>
      </w:pPr>
      <w:r>
        <w:t>2. **Agronomique :** partenariats France (Arvalis, SMAG, Chambres agri), données locales</w:t>
      </w:r>
    </w:p>
    <w:p>
      <w:pPr>
        <w:spacing w:line="276" w:lineRule="auto"/>
      </w:pPr>
      <w:r>
        <w:t>3. **Économique :** prix 30 % moins cher, unit economics excellentes, accès démocratisé</w:t>
      </w:r>
    </w:p>
    <w:p>
      <w:pPr>
        <w:pStyle w:val="Heading2"/>
      </w:pPr>
      <w:r>
        <w:rPr>
          <w:b/>
          <w:sz w:val="28"/>
        </w:rPr>
        <w:t>Facteurs de succès critiques</w:t>
      </w:r>
    </w:p>
    <w:p>
      <w:pPr>
        <w:spacing w:line="276" w:lineRule="auto"/>
      </w:pPr>
      <w:r>
        <w:t>1. **Exécution rapide** (fenêtre 2026–2028)</w:t>
      </w:r>
    </w:p>
    <w:p>
      <w:pPr>
        <w:spacing w:line="276" w:lineRule="auto"/>
      </w:pPr>
      <w:r>
        <w:t>2. **Preuves ROI tangibles** (success stories auprès coopératives)</w:t>
      </w:r>
    </w:p>
    <w:p>
      <w:pPr>
        <w:spacing w:line="276" w:lineRule="auto"/>
      </w:pPr>
      <w:r>
        <w:t>3. **Conformité réglementaire** (traçabilité eau, data, cyber)</w:t>
      </w:r>
    </w:p>
    <w:p>
      <w:pPr>
        <w:spacing w:line="276" w:lineRule="auto"/>
      </w:pPr>
      <w:r>
        <w:t>4. **Partenariats solides** (distribution via coopératives)</w:t>
      </w:r>
    </w:p>
    <w:p>
      <w:pPr>
        <w:spacing w:line="276" w:lineRule="auto"/>
      </w:pPr>
      <w:r>
        <w:t>5. **Capital suffisant** (levée Series A pour scale)</w:t>
      </w:r>
    </w:p>
    <w:p>
      <w:pPr>
        <w:pStyle w:val="Heading2"/>
      </w:pPr>
      <w:r>
        <w:rPr>
          <w:b/>
          <w:sz w:val="28"/>
        </w:rPr>
        <w:t>Recommandation</w:t>
      </w:r>
    </w:p>
    <w:p>
      <w:pPr>
        <w:spacing w:line="276" w:lineRule="auto"/>
      </w:pPr>
      <w:r>
        <w:t>Le projet WaterSense présente une **opportunité de marché** attractive dans un contexte réglementaire favorable, avec une technologie différenciante et un modèle économique solide. La **fenêtre d'opportunité est critique (2–3 ans)** en raison de la pression réglementaire et hydrique.</w:t>
      </w:r>
    </w:p>
    <w:p>
      <w:pPr>
        <w:spacing w:line="276" w:lineRule="auto"/>
      </w:pPr>
      <w:r>
        <w:t>**Recommendation :** Procéder à la levée Series A Q3 2026 (2–3 M€), accélérer partenariats coopératives et déploiement commercial, et consolider la position leadership sur le segment français avant expansion européenne 2027–2028.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9. BIBLIOGRAPHIE</w:t>
      </w:r>
    </w:p>
    <w:p>
      <w:pPr>
        <w:pStyle w:val="Heading2"/>
      </w:pPr>
      <w:r>
        <w:rPr>
          <w:b/>
          <w:sz w:val="28"/>
        </w:rPr>
        <w:t>Sources officielles et académiques</w:t>
      </w:r>
    </w:p>
    <w:p>
      <w:pPr>
        <w:spacing w:line="276" w:lineRule="auto"/>
      </w:pPr>
      <w:r>
        <w:t>**Ministère de l'Agriculture et de la Souveraineté Alimentaire (2024).** *Plan Résilience Agricole 2024–2027*. Gouvernement français.</w:t>
      </w:r>
    </w:p>
    <w:p>
      <w:pPr>
        <w:spacing w:line="276" w:lineRule="auto"/>
      </w:pPr>
      <w:r>
        <w:t>**European Commission (2024).** *Directive UE 2024-2025 on Water Sustainability*. Brussels.</w:t>
      </w:r>
    </w:p>
    <w:p>
      <w:pPr>
        <w:spacing w:line="276" w:lineRule="auto"/>
      </w:pPr>
      <w:r>
        <w:t>**GIEC (Groupe d'experts Intergouvernemental sur l'Évolution du Climat) (2023).** *Rapport Spécial : Agriculture et Sécurité Hydrique*. Cambridge University Press.</w:t>
      </w:r>
    </w:p>
    <w:p>
      <w:pPr>
        <w:spacing w:line="276" w:lineRule="auto"/>
      </w:pPr>
      <w:r>
        <w:t>**Chambre d'Agriculture France (2024).** *Observatoire des Investissements Agricoles 2024*. Paris.</w:t>
      </w:r>
    </w:p>
    <w:p>
      <w:pPr>
        <w:spacing w:line="276" w:lineRule="auto"/>
      </w:pPr>
      <w:r>
        <w:t>**Arvalis — Institut du Végétal (2024).** *Guide Techniques Irrigation Maïs 2024*. Paris.</w:t>
      </w:r>
    </w:p>
    <w:p>
      <w:pPr>
        <w:spacing w:line="276" w:lineRule="auto"/>
      </w:pPr>
      <w:r>
        <w:t>**SMAG (Société du Management Agricole) (2023).** *État des Lieux Irrigation France et Europe*. Lyon.</w:t>
      </w:r>
    </w:p>
    <w:p>
      <w:pPr>
        <w:spacing w:line="276" w:lineRule="auto"/>
      </w:pPr>
      <w:r>
        <w:t>**INSEE (Institut National de la Statistique et des Études Économiques) (2024).** *Agreste — Chiffres et Analyses : Secteur Agricole*. Paris.</w:t>
      </w:r>
    </w:p>
    <w:p>
      <w:pPr>
        <w:spacing w:line="276" w:lineRule="auto"/>
      </w:pPr>
      <w:r>
        <w:t>**UIPP (Union des Industries de la Protection des Plantes) (2024).** *Rapport Marché AgriTech 2024–2030*. Paris.</w:t>
      </w:r>
    </w:p>
    <w:p>
      <w:pPr>
        <w:spacing w:line="276" w:lineRule="auto"/>
      </w:pPr>
      <w:r>
        <w:t>**Bain &amp; Company (2023).** *Global Agriculture Technology Market Report*. Boston.</w:t>
      </w:r>
    </w:p>
    <w:p>
      <w:pPr>
        <w:spacing w:line="276" w:lineRule="auto"/>
      </w:pPr>
      <w:r>
        <w:t>**PwC (2023).** *IoT in Agriculture : Opportunities and Barriers*. London.</w:t>
      </w:r>
    </w:p>
    <w:p>
      <w:r>
        <w:t>____________________________________________________________</w:t>
      </w:r>
    </w:p>
    <w:p>
      <w:pPr>
        <w:pStyle w:val="Heading1"/>
        <w:spacing w:before="240" w:after="240"/>
      </w:pPr>
      <w:r>
        <w:rPr>
          <w:b/>
          <w:color w:val="2E7D32"/>
          <w:sz w:val="36"/>
        </w:rPr>
        <w:t>ANNEXES</w:t>
      </w:r>
    </w:p>
    <w:p>
      <w:pPr>
        <w:pStyle w:val="Heading2"/>
      </w:pPr>
      <w:r>
        <w:rPr>
          <w:b/>
          <w:sz w:val="28"/>
        </w:rPr>
        <w:t>A1. Détails tier produit et pricing</w:t>
      </w:r>
    </w:p>
    <w:p>
      <w:pPr>
        <w:pStyle w:val="Heading2"/>
      </w:pPr>
      <w:r>
        <w:rPr>
          <w:b/>
          <w:sz w:val="28"/>
        </w:rPr>
        <w:t>A2. Contrats partenaires type</w:t>
      </w:r>
    </w:p>
    <w:p>
      <w:pPr>
        <w:pStyle w:val="Heading2"/>
      </w:pPr>
      <w:r>
        <w:rPr>
          <w:b/>
          <w:sz w:val="28"/>
        </w:rPr>
        <w:t>A3. Présentation investisseurs (pitch deck)</w:t>
      </w:r>
    </w:p>
    <w:p>
      <w:pPr>
        <w:pStyle w:val="Heading2"/>
      </w:pPr>
      <w:r>
        <w:rPr>
          <w:b/>
          <w:sz w:val="28"/>
        </w:rPr>
        <w:t>A4. Données de marché détaillées (TAM/SAM/SOM)</w:t>
      </w:r>
    </w:p>
    <w:p>
      <w:pPr>
        <w:pStyle w:val="Heading2"/>
      </w:pPr>
      <w:r>
        <w:rPr>
          <w:b/>
          <w:sz w:val="28"/>
        </w:rPr>
        <w:t>A5. Schémas architecture technique</w:t>
      </w:r>
    </w:p>
    <w:p>
      <w:r>
        <w:t>____________________________________________________________</w:t>
      </w:r>
    </w:p>
    <w:p>
      <w:pPr>
        <w:spacing w:line="276" w:lineRule="auto"/>
      </w:pPr>
      <w:r>
        <w:t>**Document confidentiel — Usage interne et partenaires autorisés uniquement**</w:t>
      </w:r>
    </w:p>
    <w:p>
      <w:pPr>
        <w:spacing w:line="276" w:lineRule="auto"/>
      </w:pPr>
      <w:r>
        <w:t>**Février 2026**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