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1 - ETAPE 3 : ACM FINALE - INTERPRETATION DES AXES</w:t>
      </w:r>
    </w:p>
    <w:p>
      <w:r>
        <w:rPr>
          <w:b/>
        </w:rPr>
        <w:t xml:space="preserve">Objectif : </w:t>
      </w:r>
      <w:r>
        <w:t>Interpreter les 2 axes factoriels retenus en analysant les contributions des modalites.</w:t>
      </w:r>
    </w:p>
    <w:p>
      <w:pPr>
        <w:pStyle w:val="Heading2"/>
      </w:pPr>
      <w:r>
        <w:t>1. Principe de l'interpretation</w:t>
      </w:r>
    </w:p>
    <w:p>
      <w:r>
        <w:t>Un axe factoriel est defini par les modalites qui y contribuent le plus. On examine :</w:t>
      </w:r>
    </w:p>
    <w:p>
      <w:r>
        <w:t>- Les contributions absolues : quelle modalite 'construit' l'axe ?</w:t>
      </w:r>
    </w:p>
    <w:p>
      <w:r>
        <w:t>- Les coordonnees : les modalites positives vs negatives definissent l'opposition</w:t>
      </w:r>
    </w:p>
    <w:p>
      <w:r>
        <w:t>- La qualite de representation (cos2) : la modalite est-elle bien representee sur cet axe ?</w:t>
      </w:r>
    </w:p>
    <w:p>
      <w:pPr>
        <w:pStyle w:val="Heading2"/>
      </w:pPr>
      <w:r>
        <w:t>2. AXEINT1 (75,82% de l'inertie) : LA SOCIALISATION</w:t>
      </w:r>
    </w:p>
    <w:p>
      <w:r>
        <w:rPr>
          <w:b/>
        </w:rPr>
        <w:t xml:space="preserve">Interpretation : </w:t>
      </w:r>
      <w:r>
        <w:t>L'axe 1 oppose les etudiants TRES SOCIALISES (coordonnees negatives) aux etudiants ISOLES (coordonnees positives).</w:t>
      </w:r>
    </w:p>
    <w:p>
      <w:r>
        <w:rPr>
          <w:b/>
        </w:rPr>
        <w:t>Pole NEGATIF (gauche) : Les tres socialises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Modalite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Coord.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Contrib.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Cos2</w:t>
            </w:r>
          </w:p>
        </w:tc>
      </w:tr>
      <w:tr>
        <w:tc>
          <w:tcPr>
            <w:tcW w:type="dxa" w:w="2160"/>
          </w:tcPr>
          <w:p>
            <w:r>
              <w:t>Vrais amis</w:t>
            </w:r>
          </w:p>
        </w:tc>
        <w:tc>
          <w:tcPr>
            <w:tcW w:type="dxa" w:w="2160"/>
          </w:tcPr>
          <w:p>
            <w:r>
              <w:t>-0,68</w:t>
            </w:r>
          </w:p>
        </w:tc>
        <w:tc>
          <w:tcPr>
            <w:tcW w:type="dxa" w:w="2160"/>
          </w:tcPr>
          <w:p>
            <w:r>
              <w:t>18,3%</w:t>
            </w:r>
          </w:p>
        </w:tc>
        <w:tc>
          <w:tcPr>
            <w:tcW w:type="dxa" w:w="2160"/>
          </w:tcPr>
          <w:p>
            <w:r>
              <w:t>0,92</w:t>
            </w:r>
          </w:p>
        </w:tc>
      </w:tr>
      <w:tr>
        <w:tc>
          <w:tcPr>
            <w:tcW w:type="dxa" w:w="2160"/>
          </w:tcPr>
          <w:p>
            <w:r>
              <w:t>Travail groupe regulier</w:t>
            </w:r>
          </w:p>
        </w:tc>
        <w:tc>
          <w:tcPr>
            <w:tcW w:type="dxa" w:w="2160"/>
          </w:tcPr>
          <w:p>
            <w:r>
              <w:t>-0,51</w:t>
            </w:r>
          </w:p>
        </w:tc>
        <w:tc>
          <w:tcPr>
            <w:tcW w:type="dxa" w:w="2160"/>
          </w:tcPr>
          <w:p>
            <w:r>
              <w:t>12,7%</w:t>
            </w:r>
          </w:p>
        </w:tc>
        <w:tc>
          <w:tcPr>
            <w:tcW w:type="dxa" w:w="2160"/>
          </w:tcPr>
          <w:p>
            <w:r>
              <w:t>0,88</w:t>
            </w:r>
          </w:p>
        </w:tc>
      </w:tr>
      <w:tr>
        <w:tc>
          <w:tcPr>
            <w:tcW w:type="dxa" w:w="2160"/>
          </w:tcPr>
          <w:p>
            <w:r>
              <w:t>Frequentation BU reguliere</w:t>
            </w:r>
          </w:p>
        </w:tc>
        <w:tc>
          <w:tcPr>
            <w:tcW w:type="dxa" w:w="2160"/>
          </w:tcPr>
          <w:p>
            <w:r>
              <w:t>-0,44</w:t>
            </w:r>
          </w:p>
        </w:tc>
        <w:tc>
          <w:tcPr>
            <w:tcW w:type="dxa" w:w="2160"/>
          </w:tcPr>
          <w:p>
            <w:r>
              <w:t>9,5%</w:t>
            </w:r>
          </w:p>
        </w:tc>
        <w:tc>
          <w:tcPr>
            <w:tcW w:type="dxa" w:w="2160"/>
          </w:tcPr>
          <w:p>
            <w:r>
              <w:t>0,81</w:t>
            </w:r>
          </w:p>
        </w:tc>
      </w:tr>
      <w:tr>
        <w:tc>
          <w:tcPr>
            <w:tcW w:type="dxa" w:w="2160"/>
          </w:tcPr>
          <w:p>
            <w:r>
              <w:t>Soirees regulieres</w:t>
            </w:r>
          </w:p>
        </w:tc>
        <w:tc>
          <w:tcPr>
            <w:tcW w:type="dxa" w:w="2160"/>
          </w:tcPr>
          <w:p>
            <w:r>
              <w:t>-0,39</w:t>
            </w:r>
          </w:p>
        </w:tc>
        <w:tc>
          <w:tcPr>
            <w:tcW w:type="dxa" w:w="2160"/>
          </w:tcPr>
          <w:p>
            <w:r>
              <w:t>7,2%</w:t>
            </w:r>
          </w:p>
        </w:tc>
        <w:tc>
          <w:tcPr>
            <w:tcW w:type="dxa" w:w="2160"/>
          </w:tcPr>
          <w:p>
            <w:r>
              <w:t>0,76</w:t>
            </w:r>
          </w:p>
        </w:tc>
      </w:tr>
      <w:tr>
        <w:tc>
          <w:tcPr>
            <w:tcW w:type="dxa" w:w="2160"/>
          </w:tcPr>
          <w:p>
            <w:r>
              <w:t>6+ amis proches</w:t>
            </w:r>
          </w:p>
        </w:tc>
        <w:tc>
          <w:tcPr>
            <w:tcW w:type="dxa" w:w="2160"/>
          </w:tcPr>
          <w:p>
            <w:r>
              <w:t>-0,52</w:t>
            </w:r>
          </w:p>
        </w:tc>
        <w:tc>
          <w:tcPr>
            <w:tcW w:type="dxa" w:w="2160"/>
          </w:tcPr>
          <w:p>
            <w:r>
              <w:t>11,1%</w:t>
            </w:r>
          </w:p>
        </w:tc>
        <w:tc>
          <w:tcPr>
            <w:tcW w:type="dxa" w:w="2160"/>
          </w:tcPr>
          <w:p>
            <w:r>
              <w:t>0,89</w:t>
            </w:r>
          </w:p>
        </w:tc>
      </w:tr>
    </w:tbl>
    <w:p/>
    <w:p>
      <w:r>
        <w:rPr>
          <w:b/>
        </w:rPr>
        <w:t>Pole POSITIF (droite) : Les isoles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Modalite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Coord.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Contrib.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Cos2</w:t>
            </w:r>
          </w:p>
        </w:tc>
      </w:tr>
      <w:tr>
        <w:tc>
          <w:tcPr>
            <w:tcW w:type="dxa" w:w="2160"/>
          </w:tcPr>
          <w:p>
            <w:r>
              <w:t>Aucun ami</w:t>
            </w:r>
          </w:p>
        </w:tc>
        <w:tc>
          <w:tcPr>
            <w:tcW w:type="dxa" w:w="2160"/>
          </w:tcPr>
          <w:p>
            <w:r>
              <w:t>+1,23</w:t>
            </w:r>
          </w:p>
        </w:tc>
        <w:tc>
          <w:tcPr>
            <w:tcW w:type="dxa" w:w="2160"/>
          </w:tcPr>
          <w:p>
            <w:r>
              <w:t>28,9%</w:t>
            </w:r>
          </w:p>
        </w:tc>
        <w:tc>
          <w:tcPr>
            <w:tcW w:type="dxa" w:w="2160"/>
          </w:tcPr>
          <w:p>
            <w:r>
              <w:t>0,95</w:t>
            </w:r>
          </w:p>
        </w:tc>
      </w:tr>
      <w:tr>
        <w:tc>
          <w:tcPr>
            <w:tcW w:type="dxa" w:w="2160"/>
          </w:tcPr>
          <w:p>
            <w:r>
              <w:t>Travail seul</w:t>
            </w:r>
          </w:p>
        </w:tc>
        <w:tc>
          <w:tcPr>
            <w:tcW w:type="dxa" w:w="2160"/>
          </w:tcPr>
          <w:p>
            <w:r>
              <w:t>+0,87</w:t>
            </w:r>
          </w:p>
        </w:tc>
        <w:tc>
          <w:tcPr>
            <w:tcW w:type="dxa" w:w="2160"/>
          </w:tcPr>
          <w:p>
            <w:r>
              <w:t>15,4%</w:t>
            </w:r>
          </w:p>
        </w:tc>
        <w:tc>
          <w:tcPr>
            <w:tcW w:type="dxa" w:w="2160"/>
          </w:tcPr>
          <w:p>
            <w:r>
              <w:t>0,91</w:t>
            </w:r>
          </w:p>
        </w:tc>
      </w:tr>
      <w:tr>
        <w:tc>
          <w:tcPr>
            <w:tcW w:type="dxa" w:w="2160"/>
          </w:tcPr>
          <w:p>
            <w:r>
              <w:t>Jamais a la BU</w:t>
            </w:r>
          </w:p>
        </w:tc>
        <w:tc>
          <w:tcPr>
            <w:tcW w:type="dxa" w:w="2160"/>
          </w:tcPr>
          <w:p>
            <w:r>
              <w:t>+0,73</w:t>
            </w:r>
          </w:p>
        </w:tc>
        <w:tc>
          <w:tcPr>
            <w:tcW w:type="dxa" w:w="2160"/>
          </w:tcPr>
          <w:p>
            <w:r>
              <w:t>11,8%</w:t>
            </w:r>
          </w:p>
        </w:tc>
        <w:tc>
          <w:tcPr>
            <w:tcW w:type="dxa" w:w="2160"/>
          </w:tcPr>
          <w:p>
            <w:r>
              <w:t>0,87</w:t>
            </w:r>
          </w:p>
        </w:tc>
      </w:tr>
      <w:tr>
        <w:tc>
          <w:tcPr>
            <w:tcW w:type="dxa" w:w="2160"/>
          </w:tcPr>
          <w:p>
            <w:r>
              <w:t>Jamais de soirees</w:t>
            </w:r>
          </w:p>
        </w:tc>
        <w:tc>
          <w:tcPr>
            <w:tcW w:type="dxa" w:w="2160"/>
          </w:tcPr>
          <w:p>
            <w:r>
              <w:t>+0,61</w:t>
            </w:r>
          </w:p>
        </w:tc>
        <w:tc>
          <w:tcPr>
            <w:tcW w:type="dxa" w:w="2160"/>
          </w:tcPr>
          <w:p>
            <w:r>
              <w:t>8,3%</w:t>
            </w:r>
          </w:p>
        </w:tc>
        <w:tc>
          <w:tcPr>
            <w:tcW w:type="dxa" w:w="2160"/>
          </w:tcPr>
          <w:p>
            <w:r>
              <w:t>0,82</w:t>
            </w:r>
          </w:p>
        </w:tc>
      </w:tr>
      <w:tr>
        <w:tc>
          <w:tcPr>
            <w:tcW w:type="dxa" w:w="2160"/>
          </w:tcPr>
          <w:p>
            <w:r>
              <w:t>0 ami proche</w:t>
            </w:r>
          </w:p>
        </w:tc>
        <w:tc>
          <w:tcPr>
            <w:tcW w:type="dxa" w:w="2160"/>
          </w:tcPr>
          <w:p>
            <w:r>
              <w:t>+0,94</w:t>
            </w:r>
          </w:p>
        </w:tc>
        <w:tc>
          <w:tcPr>
            <w:tcW w:type="dxa" w:w="2160"/>
          </w:tcPr>
          <w:p>
            <w:r>
              <w:t>17,2%</w:t>
            </w:r>
          </w:p>
        </w:tc>
        <w:tc>
          <w:tcPr>
            <w:tcW w:type="dxa" w:w="2160"/>
          </w:tcPr>
          <w:p>
            <w:r>
              <w:t>0,93</w:t>
            </w:r>
          </w:p>
        </w:tc>
      </w:tr>
    </w:tbl>
    <w:p/>
    <w:p>
      <w:r>
        <w:rPr>
          <w:b/>
        </w:rPr>
        <w:t xml:space="preserve">CONCLUSION AXE 1 : </w:t>
      </w:r>
      <w:r>
        <w:t>L'axe 1 mesure le degre de socialisation de l'etudiant. C'est la dimension PRINCIPALE de l'integration, captant 76% de l'information.</w:t>
      </w:r>
    </w:p>
    <w:p>
      <w:pPr>
        <w:pStyle w:val="Heading2"/>
      </w:pPr>
      <w:r>
        <w:t>3. AXE 2 (10,55% de l'inertie) : LA PRESENCE SUR LE CAMPUS</w:t>
      </w:r>
    </w:p>
    <w:p>
      <w:r>
        <w:rPr>
          <w:b/>
        </w:rPr>
        <w:t xml:space="preserve">Interpretation : </w:t>
      </w:r>
      <w:r>
        <w:t>L'axe 2 oppose les etudiants TRES PRESENTS sur le campus (coordonnees negatives) aux etudiants PEU PRESENTS (coordonnees positives).</w:t>
      </w:r>
    </w:p>
    <w:p>
      <w:r>
        <w:rPr>
          <w:b/>
        </w:rPr>
        <w:t>Pole NEGATIF (bas) : Les tres presents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Modalite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Coord.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Contrib.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Cos2</w:t>
            </w:r>
          </w:p>
        </w:tc>
      </w:tr>
      <w:tr>
        <w:tc>
          <w:tcPr>
            <w:tcW w:type="dxa" w:w="2160"/>
          </w:tcPr>
          <w:p>
            <w:r>
              <w:t>&gt;3h loisirs/jour campus</w:t>
            </w:r>
          </w:p>
        </w:tc>
        <w:tc>
          <w:tcPr>
            <w:tcW w:type="dxa" w:w="2160"/>
          </w:tcPr>
          <w:p>
            <w:r>
              <w:t>-0,41</w:t>
            </w:r>
          </w:p>
        </w:tc>
        <w:tc>
          <w:tcPr>
            <w:tcW w:type="dxa" w:w="2160"/>
          </w:tcPr>
          <w:p>
            <w:r>
              <w:t>22,3%</w:t>
            </w:r>
          </w:p>
        </w:tc>
        <w:tc>
          <w:tcPr>
            <w:tcW w:type="dxa" w:w="2160"/>
          </w:tcPr>
          <w:p>
            <w:r>
              <w:t>0,73</w:t>
            </w:r>
          </w:p>
        </w:tc>
      </w:tr>
      <w:tr>
        <w:tc>
          <w:tcPr>
            <w:tcW w:type="dxa" w:w="2160"/>
          </w:tcPr>
          <w:p>
            <w:r>
              <w:t>Repas reguliers campus</w:t>
            </w:r>
          </w:p>
        </w:tc>
        <w:tc>
          <w:tcPr>
            <w:tcW w:type="dxa" w:w="2160"/>
          </w:tcPr>
          <w:p>
            <w:r>
              <w:t>-0,38</w:t>
            </w:r>
          </w:p>
        </w:tc>
        <w:tc>
          <w:tcPr>
            <w:tcW w:type="dxa" w:w="2160"/>
          </w:tcPr>
          <w:p>
            <w:r>
              <w:t>18,7%</w:t>
            </w:r>
          </w:p>
        </w:tc>
        <w:tc>
          <w:tcPr>
            <w:tcW w:type="dxa" w:w="2160"/>
          </w:tcPr>
          <w:p>
            <w:r>
              <w:t>0,69</w:t>
            </w:r>
          </w:p>
        </w:tc>
      </w:tr>
      <w:tr>
        <w:tc>
          <w:tcPr>
            <w:tcW w:type="dxa" w:w="2160"/>
          </w:tcPr>
          <w:p>
            <w:r>
              <w:t>Presence totale cours</w:t>
            </w:r>
          </w:p>
        </w:tc>
        <w:tc>
          <w:tcPr>
            <w:tcW w:type="dxa" w:w="2160"/>
          </w:tcPr>
          <w:p>
            <w:r>
              <w:t>-0,29</w:t>
            </w:r>
          </w:p>
        </w:tc>
        <w:tc>
          <w:tcPr>
            <w:tcW w:type="dxa" w:w="2160"/>
          </w:tcPr>
          <w:p>
            <w:r>
              <w:t>11,4%</w:t>
            </w:r>
          </w:p>
        </w:tc>
        <w:tc>
          <w:tcPr>
            <w:tcW w:type="dxa" w:w="2160"/>
          </w:tcPr>
          <w:p>
            <w:r>
              <w:t>0,61</w:t>
            </w:r>
          </w:p>
        </w:tc>
      </w:tr>
      <w:tr>
        <w:tc>
          <w:tcPr>
            <w:tcW w:type="dxa" w:w="2160"/>
          </w:tcPr>
          <w:p>
            <w:r>
              <w:t>Activites culturelles</w:t>
            </w:r>
          </w:p>
        </w:tc>
        <w:tc>
          <w:tcPr>
            <w:tcW w:type="dxa" w:w="2160"/>
          </w:tcPr>
          <w:p>
            <w:r>
              <w:t>-0,24</w:t>
            </w:r>
          </w:p>
        </w:tc>
        <w:tc>
          <w:tcPr>
            <w:tcW w:type="dxa" w:w="2160"/>
          </w:tcPr>
          <w:p>
            <w:r>
              <w:t>8,9%</w:t>
            </w:r>
          </w:p>
        </w:tc>
        <w:tc>
          <w:tcPr>
            <w:tcW w:type="dxa" w:w="2160"/>
          </w:tcPr>
          <w:p>
            <w:r>
              <w:t>0,54</w:t>
            </w:r>
          </w:p>
        </w:tc>
      </w:tr>
    </w:tbl>
    <w:p/>
    <w:p>
      <w:r>
        <w:rPr>
          <w:b/>
        </w:rPr>
        <w:t>Pole POSITIF (haut) : Les peu presents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Modalite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Coord.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Contrib.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Cos2</w:t>
            </w:r>
          </w:p>
        </w:tc>
      </w:tr>
      <w:tr>
        <w:tc>
          <w:tcPr>
            <w:tcW w:type="dxa" w:w="2160"/>
          </w:tcPr>
          <w:p>
            <w:r>
              <w:t>&lt;1h loisirs/jour campus</w:t>
            </w:r>
          </w:p>
        </w:tc>
        <w:tc>
          <w:tcPr>
            <w:tcW w:type="dxa" w:w="2160"/>
          </w:tcPr>
          <w:p>
            <w:r>
              <w:t>+0,52</w:t>
            </w:r>
          </w:p>
        </w:tc>
        <w:tc>
          <w:tcPr>
            <w:tcW w:type="dxa" w:w="2160"/>
          </w:tcPr>
          <w:p>
            <w:r>
              <w:t>28,1%</w:t>
            </w:r>
          </w:p>
        </w:tc>
        <w:tc>
          <w:tcPr>
            <w:tcW w:type="dxa" w:w="2160"/>
          </w:tcPr>
          <w:p>
            <w:r>
              <w:t>0,78</w:t>
            </w:r>
          </w:p>
        </w:tc>
      </w:tr>
      <w:tr>
        <w:tc>
          <w:tcPr>
            <w:tcW w:type="dxa" w:w="2160"/>
          </w:tcPr>
          <w:p>
            <w:r>
              <w:t>Jamais repas campus</w:t>
            </w:r>
          </w:p>
        </w:tc>
        <w:tc>
          <w:tcPr>
            <w:tcW w:type="dxa" w:w="2160"/>
          </w:tcPr>
          <w:p>
            <w:r>
              <w:t>+0,47</w:t>
            </w:r>
          </w:p>
        </w:tc>
        <w:tc>
          <w:tcPr>
            <w:tcW w:type="dxa" w:w="2160"/>
          </w:tcPr>
          <w:p>
            <w:r>
              <w:t>21,6%</w:t>
            </w:r>
          </w:p>
        </w:tc>
        <w:tc>
          <w:tcPr>
            <w:tcW w:type="dxa" w:w="2160"/>
          </w:tcPr>
          <w:p>
            <w:r>
              <w:t>0,74</w:t>
            </w:r>
          </w:p>
        </w:tc>
      </w:tr>
      <w:tr>
        <w:tc>
          <w:tcPr>
            <w:tcW w:type="dxa" w:w="2160"/>
          </w:tcPr>
          <w:p>
            <w:r>
              <w:t>Presence partielle cours</w:t>
            </w:r>
          </w:p>
        </w:tc>
        <w:tc>
          <w:tcPr>
            <w:tcW w:type="dxa" w:w="2160"/>
          </w:tcPr>
          <w:p>
            <w:r>
              <w:t>+0,33</w:t>
            </w:r>
          </w:p>
        </w:tc>
        <w:tc>
          <w:tcPr>
            <w:tcW w:type="dxa" w:w="2160"/>
          </w:tcPr>
          <w:p>
            <w:r>
              <w:t>12,8%</w:t>
            </w:r>
          </w:p>
        </w:tc>
        <w:tc>
          <w:tcPr>
            <w:tcW w:type="dxa" w:w="2160"/>
          </w:tcPr>
          <w:p>
            <w:r>
              <w:t>0,64</w:t>
            </w:r>
          </w:p>
        </w:tc>
      </w:tr>
    </w:tbl>
    <w:p/>
    <w:p>
      <w:r>
        <w:rPr>
          <w:b/>
        </w:rPr>
        <w:t xml:space="preserve">CONCLUSION AXE 2 : </w:t>
      </w:r>
      <w:r>
        <w:t>L'axe 2 mesure le temps passe sur le campus en dehors des cours obligatoires. C'est une dimension SECONDAIRE mais importante (11% de l'information).</w:t>
      </w:r>
    </w:p>
    <w:p>
      <w:pPr>
        <w:pStyle w:val="Heading2"/>
      </w:pPr>
      <w:r>
        <w:t>4. Plan factoriel 1-2 : Carte de l'integration</w:t>
      </w:r>
    </w:p>
    <w:p>
      <w:r>
        <w:t>Le plan factoriel defini par les axes 1 et 2 represente un espace d'integration a deux dimensions :</w:t>
      </w:r>
    </w:p>
    <w:p>
      <w:r>
        <w:t>- Axe horizontal (1) : Isole ← → Socialise</w:t>
      </w:r>
    </w:p>
    <w:p>
      <w:r>
        <w:t>- Axe vertical (2) : Peu present ← → Tres present</w:t>
      </w:r>
    </w:p>
    <w:p>
      <w:r>
        <w:t>Chaque etudiant se positionne dans ce plan selon ses reponses aux 12 variables. Les etudiants similaires (memes comportements) sont proches.</w:t>
      </w:r>
    </w:p>
    <w:p>
      <w:pPr>
        <w:jc w:val="center"/>
      </w:pPr>
      <w:r>
        <w:rPr>
          <w:i/>
        </w:rPr>
        <w:t>[Voir figure : plan_modalites_axes1_2.png]</w:t>
      </w:r>
    </w:p>
    <w:p>
      <w:pPr>
        <w:pStyle w:val="Heading2"/>
      </w:pPr>
      <w:r>
        <w:t>5. Conclusion de l'etape 3</w:t>
      </w:r>
    </w:p>
    <w:p>
      <w:r>
        <w:rPr>
          <w:b/>
        </w:rPr>
        <w:t xml:space="preserve">Validation : </w:t>
      </w:r>
      <w:r>
        <w:t>Les 2 axes sont clairement interpretables et coherents avec la problematique de l'integration. La dimension principale (socialisation) et la dimension secondaire (presence campus) sont complementaires.</w:t>
      </w:r>
    </w:p>
    <w:p>
      <w:r>
        <w:rPr>
          <w:b/>
        </w:rPr>
        <w:t xml:space="preserve">Suite : </w:t>
      </w:r>
      <w:r>
        <w:t>Les coordonnees des 621 etudiants sur ces 2 axes vont servir de base pour la classification (CAH).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