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D32"/>
          <w:sz w:val="72"/>
        </w:rPr>
        <w:t>ANALYSE SWOT EXHAUSTIVE</w:t>
      </w:r>
    </w:p>
    <w:p/>
    <w:p>
      <w:pPr>
        <w:jc w:val="center"/>
      </w:pPr>
      <w:r>
        <w:rPr>
          <w:b/>
          <w:color w:val="0D47A1"/>
          <w:sz w:val="64"/>
        </w:rPr>
        <w:t>WaterSense 2026</w:t>
      </w:r>
    </w:p>
    <w:p/>
    <w:p>
      <w:pPr>
        <w:jc w:val="center"/>
      </w:pPr>
      <w:r>
        <w:rPr>
          <w:i/>
          <w:color w:val="4CAF50"/>
          <w:sz w:val="28"/>
        </w:rPr>
        <w:t>Tableau 2x2 Visuel + Détails Complets par Item</w:t>
      </w:r>
    </w:p>
    <w:p/>
    <w:p>
      <w:pPr>
        <w:jc w:val="center"/>
      </w:pPr>
      <w:r>
        <w:rPr>
          <w:color w:val="646464"/>
          <w:sz w:val="20"/>
        </w:rPr>
        <w:t>20 Points Analysés • Descriptions • Impacts • Implications • Actions</w:t>
      </w:r>
    </w:p>
    <w:p/>
    <w:p>
      <w:pPr>
        <w:pStyle w:val="Heading2"/>
        <w:spacing w:before="240" w:after="240"/>
      </w:pPr>
      <w:r>
        <w:rPr>
          <w:b/>
          <w:color w:val="2E7D32"/>
          <w:sz w:val="36"/>
        </w:rPr>
        <w:t>1️⃣ MATRICE SWOT - 4 QUADRANTS VISUELS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rPr>
          <w:trHeight w:val="5040"/>
        </w:trPr>
        <w:tc>
          <w:tcPr>
            <w:tcW w:type="dxa" w:w="5472"/>
            <w:vAlign w:val="center"/>
            <w:shd w:fill="B3D9E8"/>
          </w:tcPr>
          <w:p>
            <w:r/>
          </w:p>
          <w:p>
            <w:pPr>
              <w:spacing w:after="120"/>
              <w:jc w:val="center"/>
            </w:pPr>
            <w:r>
              <w:rPr>
                <w:b/>
                <w:sz w:val="26"/>
              </w:rPr>
              <w:t>STRENGTHS (S)</w:t>
            </w:r>
          </w:p>
          <w:p>
            <w:pPr>
              <w:spacing w:after="60"/>
            </w:pPr>
            <w:r>
              <w:rPr>
                <w:sz w:val="17"/>
              </w:rPr>
              <w:t>✓ Technologie IA Propriétaire</w:t>
            </w:r>
          </w:p>
          <w:p>
            <w:pPr>
              <w:spacing w:after="60"/>
            </w:pPr>
            <w:r>
              <w:rPr>
                <w:sz w:val="17"/>
              </w:rPr>
              <w:t>✓ Équipe expérimentée</w:t>
            </w:r>
          </w:p>
          <w:p>
            <w:pPr>
              <w:spacing w:after="60"/>
            </w:pPr>
            <w:r>
              <w:rPr>
                <w:sz w:val="17"/>
              </w:rPr>
              <w:t>✓ LTV/CAC 56:1</w:t>
            </w:r>
          </w:p>
          <w:p>
            <w:pPr>
              <w:spacing w:after="60"/>
            </w:pPr>
            <w:r>
              <w:rPr>
                <w:sz w:val="17"/>
              </w:rPr>
              <w:t>✓ Modèle SaaS rentable</w:t>
            </w:r>
          </w:p>
          <w:p>
            <w:pPr>
              <w:spacing w:after="60"/>
            </w:pPr>
            <w:r>
              <w:rPr>
                <w:sz w:val="17"/>
              </w:rPr>
              <w:t>✓ ISO 27001 &amp; RGPD</w:t>
            </w:r>
          </w:p>
        </w:tc>
        <w:tc>
          <w:tcPr>
            <w:tcW w:type="dxa" w:w="5472"/>
            <w:vAlign w:val="center"/>
            <w:shd w:fill="F5D5B8"/>
          </w:tcPr>
          <w:p>
            <w:r/>
          </w:p>
          <w:p>
            <w:pPr>
              <w:spacing w:after="120"/>
              <w:jc w:val="center"/>
            </w:pPr>
            <w:r>
              <w:rPr>
                <w:b/>
                <w:sz w:val="26"/>
              </w:rPr>
              <w:t>WEAKNESSES (W)</w:t>
            </w:r>
          </w:p>
          <w:p>
            <w:pPr>
              <w:spacing w:after="60"/>
            </w:pPr>
            <w:r>
              <w:rPr>
                <w:sz w:val="17"/>
              </w:rPr>
              <w:t>✗ Startup jeune, poco brand</w:t>
            </w:r>
          </w:p>
          <w:p>
            <w:pPr>
              <w:spacing w:after="60"/>
            </w:pPr>
            <w:r>
              <w:rPr>
                <w:sz w:val="17"/>
              </w:rPr>
              <w:t>✗ Capital limité</w:t>
            </w:r>
          </w:p>
          <w:p>
            <w:pPr>
              <w:spacing w:after="60"/>
            </w:pPr>
            <w:r>
              <w:rPr>
                <w:sz w:val="17"/>
              </w:rPr>
              <w:t>✗ Réseau partenaires limité</w:t>
            </w:r>
          </w:p>
          <w:p>
            <w:pPr>
              <w:spacing w:after="60"/>
            </w:pPr>
            <w:r>
              <w:rPr>
                <w:sz w:val="17"/>
              </w:rPr>
              <w:t>✗ Capacité production démarrage</w:t>
            </w:r>
          </w:p>
          <w:p>
            <w:pPr>
              <w:spacing w:after="60"/>
            </w:pPr>
            <w:r>
              <w:rPr>
                <w:sz w:val="17"/>
              </w:rPr>
              <w:t>✗ Pas références commerciales</w:t>
            </w:r>
          </w:p>
        </w:tc>
      </w:tr>
      <w:tr>
        <w:trPr>
          <w:trHeight w:val="5040"/>
        </w:trPr>
        <w:tc>
          <w:tcPr>
            <w:tcW w:type="dxa" w:w="5472"/>
            <w:vAlign w:val="center"/>
            <w:shd w:fill="D4E8D4"/>
          </w:tcPr>
          <w:p>
            <w:r/>
          </w:p>
          <w:p>
            <w:pPr>
              <w:spacing w:after="120"/>
              <w:jc w:val="center"/>
            </w:pPr>
            <w:r>
              <w:rPr>
                <w:b/>
                <w:sz w:val="26"/>
              </w:rPr>
              <w:t>OPPORTUNITIES (O)</w:t>
            </w:r>
          </w:p>
          <w:p>
            <w:pPr>
              <w:spacing w:after="60"/>
            </w:pPr>
            <w:r>
              <w:rPr>
                <w:sz w:val="17"/>
              </w:rPr>
              <w:t>○ Pénurie eau accélère adoption</w:t>
            </w:r>
          </w:p>
          <w:p>
            <w:pPr>
              <w:spacing w:after="60"/>
            </w:pPr>
            <w:r>
              <w:rPr>
                <w:sz w:val="17"/>
              </w:rPr>
              <w:t>○ Subventions CAP +25%</w:t>
            </w:r>
          </w:p>
          <w:p>
            <w:pPr>
              <w:spacing w:after="60"/>
            </w:pPr>
            <w:r>
              <w:rPr>
                <w:sz w:val="17"/>
              </w:rPr>
              <w:t>○ Partenariats coopératives</w:t>
            </w:r>
          </w:p>
          <w:p>
            <w:pPr>
              <w:spacing w:after="60"/>
            </w:pPr>
            <w:r>
              <w:rPr>
                <w:sz w:val="17"/>
              </w:rPr>
              <w:t>○ Expansion Europe 2027</w:t>
            </w:r>
          </w:p>
          <w:p>
            <w:pPr>
              <w:spacing w:after="60"/>
            </w:pPr>
            <w:r>
              <w:rPr>
                <w:sz w:val="17"/>
              </w:rPr>
              <w:t>○ Acquisition gros players</w:t>
            </w:r>
          </w:p>
        </w:tc>
        <w:tc>
          <w:tcPr>
            <w:tcW w:type="dxa" w:w="5472"/>
            <w:vAlign w:val="center"/>
            <w:shd w:fill="F5D5D5"/>
          </w:tcPr>
          <w:p>
            <w:r/>
          </w:p>
          <w:p>
            <w:pPr>
              <w:spacing w:after="120"/>
              <w:jc w:val="center"/>
            </w:pPr>
            <w:r>
              <w:rPr>
                <w:b/>
                <w:sz w:val="26"/>
              </w:rPr>
              <w:t>THREATS (T)</w:t>
            </w:r>
          </w:p>
          <w:p>
            <w:pPr>
              <w:spacing w:after="60"/>
            </w:pPr>
            <w:r>
              <w:rPr>
                <w:sz w:val="17"/>
              </w:rPr>
              <w:t>● Irrigation Giants</w:t>
            </w:r>
          </w:p>
          <w:p>
            <w:pPr>
              <w:spacing w:after="60"/>
            </w:pPr>
            <w:r>
              <w:rPr>
                <w:sz w:val="17"/>
              </w:rPr>
              <w:t>● Startups VC-backed</w:t>
            </w:r>
          </w:p>
          <w:p>
            <w:pPr>
              <w:spacing w:after="60"/>
            </w:pPr>
            <w:r>
              <w:rPr>
                <w:sz w:val="17"/>
              </w:rPr>
              <w:t>● Régulation stricte</w:t>
            </w:r>
          </w:p>
          <w:p>
            <w:pPr>
              <w:spacing w:after="60"/>
            </w:pPr>
            <w:r>
              <w:rPr>
                <w:sz w:val="17"/>
              </w:rPr>
              <w:t>● Récession agriculture</w:t>
            </w:r>
          </w:p>
          <w:p>
            <w:pPr>
              <w:spacing w:after="60"/>
            </w:pPr>
            <w:r>
              <w:rPr>
                <w:sz w:val="17"/>
              </w:rPr>
              <w:t>● Consolidation M&amp;A</w:t>
            </w:r>
          </w:p>
        </w:tc>
      </w:tr>
    </w:tbl>
    <w:p>
      <w:r>
        <w:br w:type="page"/>
      </w:r>
    </w:p>
    <w:p>
      <w:pPr>
        <w:pStyle w:val="Heading2"/>
        <w:spacing w:before="240" w:after="240"/>
      </w:pPr>
      <w:r>
        <w:rPr>
          <w:b/>
          <w:color w:val="4682B4"/>
          <w:sz w:val="36"/>
        </w:rPr>
        <w:t>2️⃣ FICHES DÉTAILLÉES - STRENGTHS</w:t>
      </w:r>
    </w:p>
    <w:p>
      <w:pPr>
        <w:spacing w:after="60"/>
      </w:pPr>
      <w:r>
        <w:rPr>
          <w:b/>
          <w:color w:val="0066CC"/>
          <w:sz w:val="22"/>
        </w:rPr>
        <w:t>▶ Technologie IA Propriétaire (Brevet INPI 2025)</w:t>
      </w:r>
    </w:p>
    <w:p>
      <w:pPr>
        <w:spacing w:after="60"/>
        <w:ind w:left="397"/>
      </w:pPr>
      <w:r>
        <w:rPr>
          <w:b/>
          <w:sz w:val="19"/>
        </w:rPr>
        <w:t xml:space="preserve">Description: </w:t>
      </w:r>
      <w:r>
        <w:rPr>
          <w:sz w:val="19"/>
        </w:rPr>
        <w:t>Algorithme machine learning custom entraîné 3+ années avec 850+ années cumulées données capteurs terrain réels. Validation indépendante Université Montpellier 2024: précision 94% vs 78% concurrents (Netafim, Valmont). Protection IP via Brevet INPI déposé Q2 2024, valide 20 ans (jusqu'à 2044). Aucun concurrent peut reproduire performance sans 3-4 ans R&amp;D + 5M€+ investissement.</w:t>
      </w:r>
    </w:p>
    <w:p>
      <w:pPr>
        <w:spacing w:after="60"/>
        <w:ind w:left="397"/>
      </w:pPr>
      <w:r>
        <w:rPr>
          <w:b/>
          <w:sz w:val="19"/>
        </w:rPr>
        <w:t xml:space="preserve">📊 Impact Chiffré: </w:t>
      </w:r>
      <w:r>
        <w:rPr>
          <w:i/>
          <w:sz w:val="19"/>
        </w:rPr>
        <w:t>+72% ROI vs irrigation manuelle • +30% économie eau vs technologie concurrents • Barrier d'entrée 4-5 ans temps développement</w:t>
      </w:r>
    </w:p>
    <w:p>
      <w:pPr>
        <w:spacing w:after="60"/>
        <w:ind w:left="397"/>
      </w:pPr>
      <w:r>
        <w:rPr>
          <w:b/>
          <w:sz w:val="19"/>
        </w:rPr>
        <w:t xml:space="preserve">💡 Implication Stratégique: </w:t>
      </w:r>
      <w:r>
        <w:rPr>
          <w:sz w:val="19"/>
        </w:rPr>
        <w:t>Technologie = Moat stratégique irréplicable 5-10 ans. Permet pricing premium 15-20% vs concurrents sans cannibaliser margin. Defensibilité long-term justifie valuation exit 50-150M€.</w:t>
      </w:r>
    </w:p>
    <w:p>
      <w:pPr>
        <w:spacing w:after="160"/>
        <w:ind w:left="397"/>
      </w:pPr>
      <w:r>
        <w:rPr>
          <w:b/>
          <w:sz w:val="19"/>
        </w:rPr>
        <w:t xml:space="preserve">✅ Action Recommandée: </w:t>
      </w:r>
      <w:r>
        <w:rPr>
          <w:sz w:val="19"/>
        </w:rPr>
        <w:t>Breveter immédiatement dans UE + US + Chine (avant concurrents) • Publier cas d'usage université • Negotier licensing tech vers acquéreurs potentiels (exit optionality)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b/>
          <w:color w:val="0066CC"/>
          <w:sz w:val="22"/>
        </w:rPr>
        <w:t>▶ Équipe Fondatrice Expérimentée</w:t>
      </w:r>
    </w:p>
    <w:p>
      <w:pPr>
        <w:spacing w:after="60"/>
        <w:ind w:left="397"/>
      </w:pPr>
      <w:r>
        <w:rPr>
          <w:b/>
          <w:sz w:val="19"/>
        </w:rPr>
        <w:t xml:space="preserve">Description: </w:t>
      </w:r>
      <w:r>
        <w:rPr>
          <w:sz w:val="19"/>
        </w:rPr>
        <w:t>CTO 12 ans experience IoT/IA (ex-senior engineer SFR, Airbus). CEO 8 ans entrepreneuriat agritech (founded, grew, sold startup 2022 acquis 15M€). Head Agricultural Operations 15 ans terrain + innovation (ex-directeur innovation INRA). CFO 10 ans fintech (levées 50M€+ validées). Execution speed 2x vs startup typical (150 people startups avec expertise equals).</w:t>
      </w:r>
    </w:p>
    <w:p>
      <w:pPr>
        <w:spacing w:after="60"/>
        <w:ind w:left="397"/>
      </w:pPr>
      <w:r>
        <w:rPr>
          <w:b/>
          <w:sz w:val="19"/>
        </w:rPr>
        <w:t xml:space="preserve">📊 Impact Chiffré: </w:t>
      </w:r>
      <w:r>
        <w:rPr>
          <w:i/>
          <w:sz w:val="19"/>
        </w:rPr>
        <w:t>Execution velocity +100% vs peer startups • Time-to-market 6-12 mois vs 18-24 mois typical • Capital efficiency +40% (moins wasting)</w:t>
      </w:r>
    </w:p>
    <w:p>
      <w:pPr>
        <w:spacing w:after="60"/>
        <w:ind w:left="397"/>
      </w:pPr>
      <w:r>
        <w:rPr>
          <w:b/>
          <w:sz w:val="19"/>
        </w:rPr>
        <w:t xml:space="preserve">💡 Implication Stratégique: </w:t>
      </w:r>
      <w:r>
        <w:rPr>
          <w:sz w:val="19"/>
        </w:rPr>
        <w:t>Équipe éprouvée = réduction risque execution 60%. Acquéreurs premium (+30-40% valuation) cherchent founding teams avec track record exit. Retention équipe = clé survival.</w:t>
      </w:r>
    </w:p>
    <w:p>
      <w:pPr>
        <w:spacing w:after="160"/>
        <w:ind w:left="397"/>
      </w:pPr>
      <w:r>
        <w:rPr>
          <w:b/>
          <w:sz w:val="19"/>
        </w:rPr>
        <w:t xml:space="preserve">✅ Action Recommandée: </w:t>
      </w:r>
      <w:r>
        <w:rPr>
          <w:sz w:val="19"/>
        </w:rPr>
        <w:t>Build public profiles founders (LinkedIn articles, conférences agritech) • Document success metrics exit antérieur • Build advisory board +10 credibility (ex-executives)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b/>
          <w:color w:val="0066CC"/>
          <w:sz w:val="22"/>
        </w:rPr>
        <w:t>▶ Ratio LTV/CAC 56:1 (Excellent Unit Economics)</w:t>
      </w:r>
    </w:p>
    <w:p>
      <w:pPr>
        <w:spacing w:after="60"/>
        <w:ind w:left="397"/>
      </w:pPr>
      <w:r>
        <w:rPr>
          <w:b/>
          <w:sz w:val="19"/>
        </w:rPr>
        <w:t xml:space="preserve">Description: </w:t>
      </w:r>
      <w:r>
        <w:rPr>
          <w:sz w:val="19"/>
        </w:rPr>
        <w:t>LTV = 8,400€ (Life Time Value = revenu total 3 ans: 2,800€/an × 3 ans). CAC = 150€ (Customer Acquisition Cost via coopératives channel, leveraged). Payback period 2.7 mois (CAC recouvert très rapidement). Churn 3%/an (excellent vs 8-12% SaaS average). Comparable benchmarks: Salesforce 45:1, HubSpot 55:1, Box 50:1. WaterSense = tier 1 SaaS performance.</w:t>
      </w:r>
    </w:p>
    <w:p>
      <w:pPr>
        <w:spacing w:after="60"/>
        <w:ind w:left="397"/>
      </w:pPr>
      <w:r>
        <w:rPr>
          <w:b/>
          <w:sz w:val="19"/>
        </w:rPr>
        <w:t xml:space="preserve">📊 Impact Chiffré: </w:t>
      </w:r>
      <w:r>
        <w:rPr>
          <w:i/>
          <w:sz w:val="19"/>
        </w:rPr>
        <w:t>LTV/CAC 56:1 vs Netafim 8:1 • Profitabilité garantie scale • Valuation multiples 8-12x revenue (vs 3-5x SaaS typical)</w:t>
      </w:r>
    </w:p>
    <w:p>
      <w:pPr>
        <w:spacing w:after="60"/>
        <w:ind w:left="397"/>
      </w:pPr>
      <w:r>
        <w:rPr>
          <w:b/>
          <w:sz w:val="19"/>
        </w:rPr>
        <w:t xml:space="preserve">💡 Implication Stratégique: </w:t>
      </w:r>
      <w:r>
        <w:rPr>
          <w:sz w:val="19"/>
        </w:rPr>
        <w:t>Rentabilité inherente = moins dépendance levées futures. Attire VCs mega-funds (Accel, Sequoia) cherchant 'boring profitable companies'. Permet autonomie stratégique Q3-Q4 2026.</w:t>
      </w:r>
    </w:p>
    <w:p>
      <w:pPr>
        <w:spacing w:after="160"/>
        <w:ind w:left="397"/>
      </w:pPr>
      <w:r>
        <w:rPr>
          <w:b/>
          <w:sz w:val="19"/>
        </w:rPr>
        <w:t xml:space="preserve">✅ Action Recommandée: </w:t>
      </w:r>
      <w:r>
        <w:rPr>
          <w:sz w:val="19"/>
        </w:rPr>
        <w:t>Document LTV/CAC détail dans investor deck • Target acquisition partners valeur création • Prepare exit narrative 'cash flow positive SaaS ready for scale'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b/>
          <w:color w:val="0066CC"/>
          <w:sz w:val="22"/>
        </w:rPr>
        <w:t>▶ Modèle SaaS Récurrent Rentable</w:t>
      </w:r>
    </w:p>
    <w:p>
      <w:pPr>
        <w:spacing w:after="60"/>
        <w:ind w:left="397"/>
      </w:pPr>
      <w:r>
        <w:rPr>
          <w:b/>
          <w:sz w:val="19"/>
        </w:rPr>
        <w:t xml:space="preserve">Description: </w:t>
      </w:r>
      <w:r>
        <w:rPr>
          <w:sz w:val="19"/>
        </w:rPr>
        <w:t>Prix 2,800-3,200€/exploitation/an (premium agricole acceptable). Contrats 36+ mois (vs 12-24 mois typical SaaS). Marge brute 82% (infrastructure cloud AWS + minimal support COGS). Revenue recurring 94% (contrats auto-renew). Growth model = compounding: 100 clients Y1 → 350 clients Y2 → 1,200 clients Y3 → 3,500 clients Y4.</w:t>
      </w:r>
    </w:p>
    <w:p>
      <w:pPr>
        <w:spacing w:after="60"/>
        <w:ind w:left="397"/>
      </w:pPr>
      <w:r>
        <w:rPr>
          <w:b/>
          <w:sz w:val="19"/>
        </w:rPr>
        <w:t xml:space="preserve">📊 Impact Chiffré: </w:t>
      </w:r>
      <w:r>
        <w:rPr>
          <w:i/>
          <w:sz w:val="19"/>
        </w:rPr>
        <w:t>Revenue predictable +250% CAGR 2026-2028 • Profitability Q2 2026 (-500K€ path to +200K€ profit 2026) • Scale sans capital exponential</w:t>
      </w:r>
    </w:p>
    <w:p>
      <w:pPr>
        <w:spacing w:after="60"/>
        <w:ind w:left="397"/>
      </w:pPr>
      <w:r>
        <w:rPr>
          <w:b/>
          <w:sz w:val="19"/>
        </w:rPr>
        <w:t xml:space="preserve">💡 Implication Stratégique: </w:t>
      </w:r>
      <w:r>
        <w:rPr>
          <w:sz w:val="19"/>
        </w:rPr>
        <w:t>SaaS model = valuation multiples 8-12x revenue (vs 2-3x license/hardware). Recurring revenue = banker/investor preferred. Exit precedent: Ecorobotix 100M€ SaaS valuation.</w:t>
      </w:r>
    </w:p>
    <w:p>
      <w:pPr>
        <w:spacing w:after="160"/>
        <w:ind w:left="397"/>
      </w:pPr>
      <w:r>
        <w:rPr>
          <w:b/>
          <w:sz w:val="19"/>
        </w:rPr>
        <w:t xml:space="preserve">✅ Action Recommandée: </w:t>
      </w:r>
      <w:r>
        <w:rPr>
          <w:sz w:val="19"/>
        </w:rPr>
        <w:t>Optimize pricing tiers (SME vs large farm segments) • Expand international pricing (Espagne +15-20% vs France due higher water stress) • Lock 36-month deals Q1-Q2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b/>
          <w:color w:val="0066CC"/>
          <w:sz w:val="22"/>
        </w:rPr>
        <w:t>▶ ISO 27001 &amp; RGPD Compliant</w:t>
      </w:r>
    </w:p>
    <w:p>
      <w:pPr>
        <w:spacing w:after="60"/>
        <w:ind w:left="397"/>
      </w:pPr>
      <w:r>
        <w:rPr>
          <w:b/>
          <w:sz w:val="19"/>
        </w:rPr>
        <w:t xml:space="preserve">Description: </w:t>
      </w:r>
      <w:r>
        <w:rPr>
          <w:sz w:val="19"/>
        </w:rPr>
        <w:t>ISO 27001 certification audit externe PASSED Q1 2025 (Deloitte auditor independent). RGPD fully compliant: Data Processing Agreement in place, Data Privacy Officer nommé, données agriculture sensitives protéger. Infrastructure AWS eu-west-1 zone (RGPD mandated). Zero security incidents 2.5 ans history. Aucune amende CNIL/EU.</w:t>
      </w:r>
    </w:p>
    <w:p>
      <w:pPr>
        <w:spacing w:after="60"/>
        <w:ind w:left="397"/>
      </w:pPr>
      <w:r>
        <w:rPr>
          <w:b/>
          <w:sz w:val="19"/>
        </w:rPr>
        <w:t xml:space="preserve">📊 Impact Chiffré: </w:t>
      </w:r>
      <w:r>
        <w:rPr>
          <w:i/>
          <w:sz w:val="19"/>
        </w:rPr>
        <w:t>Reduces customer hesitation -50% (vs unsecured competitors) • Enterprise deals 3x faster (security pre-approved) • B2B credibility +40% vs non-certified</w:t>
      </w:r>
    </w:p>
    <w:p>
      <w:pPr>
        <w:spacing w:after="60"/>
        <w:ind w:left="397"/>
      </w:pPr>
      <w:r>
        <w:rPr>
          <w:b/>
          <w:sz w:val="19"/>
        </w:rPr>
        <w:t xml:space="preserve">💡 Implication Stratégique: </w:t>
      </w:r>
      <w:r>
        <w:rPr>
          <w:sz w:val="19"/>
        </w:rPr>
        <w:t>Certification = entry barrier procurement enterprise/government. Netafim/Valmont non-RGPD compliant (US companies). WaterSense = compliance edge unique 2026-2027.</w:t>
      </w:r>
    </w:p>
    <w:p>
      <w:pPr>
        <w:spacing w:after="160"/>
        <w:ind w:left="397"/>
      </w:pPr>
      <w:r>
        <w:rPr>
          <w:b/>
          <w:sz w:val="19"/>
        </w:rPr>
        <w:t xml:space="preserve">✅ Action Recommandée: </w:t>
      </w:r>
      <w:r>
        <w:rPr>
          <w:sz w:val="19"/>
        </w:rPr>
        <w:t>Marketing: Lead with certification (enterprise sales deck) • Partnerships: Audit coopératives agricoles (compliance requirement) • Expansion EU: Emphasize RGPD head-start vs US competitors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  <w:spacing w:before="240" w:after="240"/>
      </w:pPr>
      <w:r>
        <w:rPr>
          <w:b/>
          <w:color w:val="D28C50"/>
          <w:sz w:val="36"/>
        </w:rPr>
        <w:t>3️⃣ FICHES DÉTAILLÉES - WEAKNESSES</w:t>
      </w:r>
    </w:p>
    <w:p>
      <w:pPr>
        <w:spacing w:after="60"/>
      </w:pPr>
      <w:r>
        <w:rPr>
          <w:b/>
          <w:color w:val="0066CC"/>
          <w:sz w:val="22"/>
        </w:rPr>
        <w:t>▶ Startup Jeune (2.5 ans), Poco Brand Awareness</w:t>
      </w:r>
    </w:p>
    <w:p>
      <w:pPr>
        <w:spacing w:after="60"/>
        <w:ind w:left="397"/>
      </w:pPr>
      <w:r>
        <w:rPr>
          <w:b/>
          <w:sz w:val="19"/>
        </w:rPr>
        <w:t xml:space="preserve">Description: </w:t>
      </w:r>
      <w:r>
        <w:rPr>
          <w:sz w:val="19"/>
        </w:rPr>
        <w:t>WaterSense fondée juin 2023 (2.5 ans). Zero brand recognition parmi 300K exploitations agricoles France métropolitaine. Aucun historique marché vs Netafim 40+ ans (60M€ budget annual brand), Valmont 100+ ans (100M€+ brand investment). Agriculteurs = conservative: preferent established players (80% adoption concentration top 5 vendors). Startup stigma = risk perçu (faillite, support discontinuation, data security).</w:t>
      </w:r>
    </w:p>
    <w:p>
      <w:pPr>
        <w:spacing w:after="60"/>
        <w:ind w:left="397"/>
      </w:pPr>
      <w:r>
        <w:rPr>
          <w:b/>
          <w:sz w:val="19"/>
        </w:rPr>
        <w:t xml:space="preserve">📊 Impact Chiffré: </w:t>
      </w:r>
      <w:r>
        <w:rPr>
          <w:i/>
          <w:sz w:val="19"/>
        </w:rPr>
        <w:t>Brand search volume 120/mois vs Netafim 8,500/mois • Customer acquisition cost +60% vs established • Enterprise hesitation probability 60%</w:t>
      </w:r>
    </w:p>
    <w:p>
      <w:pPr>
        <w:spacing w:after="60"/>
        <w:ind w:left="397"/>
      </w:pPr>
      <w:r>
        <w:rPr>
          <w:b/>
          <w:sz w:val="19"/>
        </w:rPr>
        <w:t xml:space="preserve">💡 Implication Stratégique: </w:t>
      </w:r>
      <w:r>
        <w:rPr>
          <w:sz w:val="19"/>
        </w:rPr>
        <w:t>Brand building req 18-24 mois + 800K-1.5M€ budget (industry standard). Netafim+Valmont financial moat. WaterSense = must-do partnerships early (coopératives, distributors) to borrow credibility.</w:t>
      </w:r>
    </w:p>
    <w:p>
      <w:pPr>
        <w:spacing w:after="160"/>
        <w:ind w:left="397"/>
      </w:pPr>
      <w:r>
        <w:rPr>
          <w:b/>
          <w:sz w:val="19"/>
        </w:rPr>
        <w:t xml:space="preserve">✅ Action Recommandée: </w:t>
      </w:r>
      <w:r>
        <w:rPr>
          <w:sz w:val="19"/>
        </w:rPr>
        <w:t>Leverage partnerships brand: 'En partenariat avec FNSEA' (agriculture federation) • Create case studies video (agriculteur testimonials) • Target early-adopters innovateurs (5-8% market) less brand-sensitive • PR strategy (Agritech journals, French agricultural media)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b/>
          <w:color w:val="0066CC"/>
          <w:sz w:val="22"/>
        </w:rPr>
        <w:t>▶ Capital Limité vs Concurrents Majeurs</w:t>
      </w:r>
    </w:p>
    <w:p>
      <w:pPr>
        <w:spacing w:after="60"/>
        <w:ind w:left="397"/>
      </w:pPr>
      <w:r>
        <w:rPr>
          <w:b/>
          <w:sz w:val="19"/>
        </w:rPr>
        <w:t xml:space="preserve">Description: </w:t>
      </w:r>
      <w:r>
        <w:rPr>
          <w:sz w:val="19"/>
        </w:rPr>
        <w:t>Levée seed 500K€ (2024) vs Netafim 1B€+ (cumulative), Ecorobotix 100M€ ($), Agworld 50M€. WaterSense cash runway 18-24 mois (to breakeven Q4 2026 = tight). Marketing budget 60K€/an vs Netafim 5M€+/an (83x difference). R&amp;D investment 200K€/an vs competitors 10M€+/an (50x difference). Hiring constraint: 15 people target vs 100+ concurrents.</w:t>
      </w:r>
    </w:p>
    <w:p>
      <w:pPr>
        <w:spacing w:after="60"/>
        <w:ind w:left="397"/>
      </w:pPr>
      <w:r>
        <w:rPr>
          <w:b/>
          <w:sz w:val="19"/>
        </w:rPr>
        <w:t xml:space="preserve">📊 Impact Chiffré: </w:t>
      </w:r>
      <w:r>
        <w:rPr>
          <w:i/>
          <w:sz w:val="19"/>
        </w:rPr>
        <w:t>Talent war loss probability 40% (engineers recruited by Netafim/Valmont +50% salary) • R&amp;D gap widens -1-2% accuracy/year vs concurrents • Marketing share of voice &lt;1%</w:t>
      </w:r>
    </w:p>
    <w:p>
      <w:pPr>
        <w:spacing w:after="60"/>
        <w:ind w:left="397"/>
      </w:pPr>
      <w:r>
        <w:rPr>
          <w:b/>
          <w:sz w:val="19"/>
        </w:rPr>
        <w:t xml:space="preserve">💡 Implication Stratégique: </w:t>
      </w:r>
      <w:r>
        <w:rPr>
          <w:sz w:val="19"/>
        </w:rPr>
        <w:t>Capital raising essential 2026: Series A 3-5M€ needed (Q2-Q3 2026) vs going profitable alone = risk. VC path = dilution (founders 30-40% dilution) vs autonomous path = slower growth. Choice = strategic inflection point.</w:t>
      </w:r>
    </w:p>
    <w:p>
      <w:pPr>
        <w:spacing w:after="160"/>
        <w:ind w:left="397"/>
      </w:pPr>
      <w:r>
        <w:rPr>
          <w:b/>
          <w:sz w:val="19"/>
        </w:rPr>
        <w:t xml:space="preserve">✅ Action Recommandée: </w:t>
      </w:r>
      <w:r>
        <w:rPr>
          <w:sz w:val="19"/>
        </w:rPr>
        <w:t>Begin Series A fundraise Q1 2026 (not Q2) • Target agritech-focused VCs: Agritech Fund, Astanor, Agrify • Alternative: Strategic investments from coopératives/distributors (less dilution)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b/>
          <w:color w:val="0066CC"/>
          <w:sz w:val="22"/>
        </w:rPr>
        <w:t>▶ Réseau Partenaires Initial Très Limité</w:t>
      </w:r>
    </w:p>
    <w:p>
      <w:pPr>
        <w:spacing w:after="60"/>
        <w:ind w:left="397"/>
      </w:pPr>
      <w:r>
        <w:rPr>
          <w:b/>
          <w:sz w:val="19"/>
        </w:rPr>
        <w:t xml:space="preserve">Description: </w:t>
      </w:r>
      <w:r>
        <w:rPr>
          <w:sz w:val="19"/>
        </w:rPr>
        <w:t>Zero signed contracts coopératives agricoles (50 cibles identifiées, 0 closed). Zero distributors agritech partenaires. Zero accès 3,000 points vente établis (magasins agritech, coopératives retail). Growth entirely dependent direct-to-farmer acquisition (slow, expensive). Netafim/Valmont = 1,500+ distribution points établis (40+ ans relationship).</w:t>
      </w:r>
    </w:p>
    <w:p>
      <w:pPr>
        <w:spacing w:after="60"/>
        <w:ind w:left="397"/>
      </w:pPr>
      <w:r>
        <w:rPr>
          <w:b/>
          <w:sz w:val="19"/>
        </w:rPr>
        <w:t xml:space="preserve">📊 Impact Chiffré: </w:t>
      </w:r>
      <w:r>
        <w:rPr>
          <w:i/>
          <w:sz w:val="19"/>
        </w:rPr>
        <w:t>Customer acquisition cost direct +80% vs channel • Market penetration speed -60% vs partnered competitors • Revenue concentration risk (10-15 customers = 40% revenue dangerous)</w:t>
      </w:r>
    </w:p>
    <w:p>
      <w:pPr>
        <w:spacing w:after="60"/>
        <w:ind w:left="397"/>
      </w:pPr>
      <w:r>
        <w:rPr>
          <w:b/>
          <w:sz w:val="19"/>
        </w:rPr>
        <w:t xml:space="preserve">💡 Implication Stratégique: </w:t>
      </w:r>
      <w:r>
        <w:rPr>
          <w:sz w:val="19"/>
        </w:rPr>
        <w:t>Coopératives channel = critical dependency 2026. Single large partnership (e.g., AGPB 50K members) = 50% year growth realized. Channel model = scalability requirement.</w:t>
      </w:r>
    </w:p>
    <w:p>
      <w:pPr>
        <w:spacing w:after="160"/>
        <w:ind w:left="397"/>
      </w:pPr>
      <w:r>
        <w:rPr>
          <w:b/>
          <w:sz w:val="19"/>
        </w:rPr>
        <w:t xml:space="preserve">✅ Action Recommandée: </w:t>
      </w:r>
      <w:r>
        <w:rPr>
          <w:sz w:val="19"/>
        </w:rPr>
        <w:t>Accelerate partnership negotiations Q1 2026 (not ad-hoc) • Prepare partnership economics (25-30% margin coopérative) • Build dedicated partnership manager role (vs business dev hat)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b/>
          <w:color w:val="0066CC"/>
          <w:sz w:val="22"/>
        </w:rPr>
        <w:t>▶ Capacité Production/Support au Démarrage</w:t>
      </w:r>
    </w:p>
    <w:p>
      <w:pPr>
        <w:spacing w:after="60"/>
        <w:ind w:left="397"/>
      </w:pPr>
      <w:r>
        <w:rPr>
          <w:b/>
          <w:sz w:val="19"/>
        </w:rPr>
        <w:t xml:space="preserve">Description: </w:t>
      </w:r>
      <w:r>
        <w:rPr>
          <w:sz w:val="19"/>
        </w:rPr>
        <w:t>Infrastructure = single AWS region eu-west-1 (needs multi-region backup). Support team = 2 FTE pour potentially 500+ clients (insufficient). Onboarding time 8h/client (target 3h). SLA performance = 99.5% uptime réalisé vs 99.9% promis (risk contractual breach). Growth &gt;500 clients/year = infrastructure saturation.</w:t>
      </w:r>
    </w:p>
    <w:p>
      <w:pPr>
        <w:spacing w:after="60"/>
        <w:ind w:left="397"/>
      </w:pPr>
      <w:r>
        <w:rPr>
          <w:b/>
          <w:sz w:val="19"/>
        </w:rPr>
        <w:t xml:space="preserve">📊 Impact Chiffré: </w:t>
      </w:r>
      <w:r>
        <w:rPr>
          <w:i/>
          <w:sz w:val="19"/>
        </w:rPr>
        <w:t>Risk outage 1 day/quarter (vs 1 day/year typical SaaS) • Customer churn risk +15% due support delays • Enterprise deals rejection 30% (SLA misalignment)</w:t>
      </w:r>
    </w:p>
    <w:p>
      <w:pPr>
        <w:spacing w:after="60"/>
        <w:ind w:left="397"/>
      </w:pPr>
      <w:r>
        <w:rPr>
          <w:b/>
          <w:sz w:val="19"/>
        </w:rPr>
        <w:t xml:space="preserve">💡 Implication Stratégique: </w:t>
      </w:r>
      <w:r>
        <w:rPr>
          <w:sz w:val="19"/>
        </w:rPr>
        <w:t>Technology debt Q3 2026 if infrastructure not upgradé. Scaling from 100→500 clients needs: multi-region AWS, auto-scaling, support team +4 people, monitoring tools (DataDog, PagerDuty). Investment req 300K€.</w:t>
      </w:r>
    </w:p>
    <w:p>
      <w:pPr>
        <w:spacing w:after="160"/>
        <w:ind w:left="397"/>
      </w:pPr>
      <w:r>
        <w:rPr>
          <w:b/>
          <w:sz w:val="19"/>
        </w:rPr>
        <w:t xml:space="preserve">✅ Action Recommandée: </w:t>
      </w:r>
      <w:r>
        <w:rPr>
          <w:sz w:val="19"/>
        </w:rPr>
        <w:t>Complete infrastructure upgrade Q2 2026 (before Series A) • Hire support team +3 FTE Q1 2026 • Implement SLA monitoring/alerting (reduce SLA breach risk) • Document scaling architecture readiness (Series A requirement)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b/>
          <w:color w:val="0066CC"/>
          <w:sz w:val="22"/>
        </w:rPr>
        <w:t>▶ Pas Historique Commercial / Références</w:t>
      </w:r>
    </w:p>
    <w:p>
      <w:pPr>
        <w:spacing w:after="60"/>
        <w:ind w:left="397"/>
      </w:pPr>
      <w:r>
        <w:rPr>
          <w:b/>
          <w:sz w:val="19"/>
        </w:rPr>
        <w:t xml:space="preserve">Description: </w:t>
      </w:r>
      <w:r>
        <w:rPr>
          <w:sz w:val="19"/>
        </w:rPr>
        <w:t>10 pilots 2024-2025, aucun customer &gt;12 mois rétention (recent customers). Zero case studies publiés. Zero testimonials vidéo agriculteurs. Aucun reference enterprise clients disponible. Mid-market (5,000-100K€ contract potential) vs enterprise (100K€+) hesitant sans proof-of-concept.</w:t>
      </w:r>
    </w:p>
    <w:p>
      <w:pPr>
        <w:spacing w:after="60"/>
        <w:ind w:left="397"/>
      </w:pPr>
      <w:r>
        <w:rPr>
          <w:b/>
          <w:sz w:val="19"/>
        </w:rPr>
        <w:t xml:space="preserve">📊 Impact Chiffré: </w:t>
      </w:r>
      <w:r>
        <w:rPr>
          <w:i/>
          <w:sz w:val="19"/>
        </w:rPr>
        <w:t>Enterprise deal cycle +40% longer (extra validation cycles) • Pricing negotiation power -60% (demand risk reduction) • Reference ability zero = sales handicap vs Netafim</w:t>
      </w:r>
    </w:p>
    <w:p>
      <w:pPr>
        <w:spacing w:after="60"/>
        <w:ind w:left="397"/>
      </w:pPr>
      <w:r>
        <w:rPr>
          <w:b/>
          <w:sz w:val="19"/>
        </w:rPr>
        <w:t xml:space="preserve">💡 Implication Stratégique: </w:t>
      </w:r>
      <w:r>
        <w:rPr>
          <w:sz w:val="19"/>
        </w:rPr>
        <w:t>Social proof = critical 2026. Objective: 10-15 customers with 12+ months rétention par Q3 2026 (fuel case studies, testimonials). Enterprise references needed for 1M€+ TAM enterprise segment.</w:t>
      </w:r>
    </w:p>
    <w:p>
      <w:pPr>
        <w:spacing w:after="160"/>
        <w:ind w:left="397"/>
      </w:pPr>
      <w:r>
        <w:rPr>
          <w:b/>
          <w:sz w:val="19"/>
        </w:rPr>
        <w:t xml:space="preserve">✅ Action Recommandée: </w:t>
      </w:r>
      <w:r>
        <w:rPr>
          <w:sz w:val="19"/>
        </w:rPr>
        <w:t>Lock 3-5 pilot customers into 36-month contracts (with incentive -20%) • Publish case studies bi-monthly (Q1-Q2 2026) • Record video testimonials (target 5 videos Q1-Q2) • Build reference program (customer success metrics)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  <w:spacing w:before="240" w:after="240"/>
      </w:pPr>
      <w:r>
        <w:rPr>
          <w:b/>
          <w:color w:val="5AA05A"/>
          <w:sz w:val="36"/>
        </w:rPr>
        <w:t>4️⃣ FICHES DÉTAILLÉES - OPPORTUNITIES</w:t>
      </w:r>
    </w:p>
    <w:p>
      <w:pPr>
        <w:spacing w:after="60"/>
      </w:pPr>
      <w:r>
        <w:rPr>
          <w:b/>
          <w:color w:val="0066CC"/>
          <w:sz w:val="22"/>
        </w:rPr>
        <w:t>▶ Pénurie Eau Accélère Adoption Urgente</w:t>
      </w:r>
    </w:p>
    <w:p>
      <w:pPr>
        <w:spacing w:after="60"/>
        <w:ind w:left="397"/>
      </w:pPr>
      <w:r>
        <w:rPr>
          <w:b/>
          <w:sz w:val="19"/>
        </w:rPr>
        <w:t xml:space="preserve">Description: </w:t>
      </w:r>
      <w:r>
        <w:rPr>
          <w:sz w:val="19"/>
        </w:rPr>
        <w:t>Allocations eau régions méditerranéennes -40-60% 2026 (EU Directive 2000/60 enforcement strict par DREAL). Été 2025 = PIRE crise hydrique 60 ans documentée (météo records +2.3°C, 0 mm pluie juillet). Météo forecast 2026-2030 = continuation crises (+70% probability récurrentes). Agriculteurs perte 150-300€/jour production drop (cost inaction très élevé). ROI irrigation solution = &lt;12 mois TODAY vs hypothétique 2020.</w:t>
      </w:r>
    </w:p>
    <w:p>
      <w:pPr>
        <w:spacing w:after="60"/>
        <w:ind w:left="397"/>
      </w:pPr>
      <w:r>
        <w:rPr>
          <w:b/>
          <w:sz w:val="19"/>
        </w:rPr>
        <w:t xml:space="preserve">📊 Impact Chiffré: </w:t>
      </w:r>
      <w:r>
        <w:rPr>
          <w:i/>
          <w:sz w:val="19"/>
        </w:rPr>
        <w:t>Urgence adoption très élevé (crisis accelerant) • TAM compression -40% allocation mais ARPU +300% (prices high crisis) • Demand elasticity positive vs prior years</w:t>
      </w:r>
    </w:p>
    <w:p>
      <w:pPr>
        <w:spacing w:after="60"/>
        <w:ind w:left="397"/>
      </w:pPr>
      <w:r>
        <w:rPr>
          <w:b/>
          <w:sz w:val="19"/>
        </w:rPr>
        <w:t xml:space="preserve">💡 Implication Stratégique: </w:t>
      </w:r>
      <w:r>
        <w:rPr>
          <w:sz w:val="19"/>
        </w:rPr>
        <w:t>Market timing = exceptional 2026 (crisis momentum). Messaging = 'Résoudre la crise eau MAINTENANT'. Competition less prepared (Netafim focus Europe North historically, not South). First-mover advantage critical 2026.</w:t>
      </w:r>
    </w:p>
    <w:p>
      <w:pPr>
        <w:spacing w:after="160"/>
        <w:ind w:left="397"/>
      </w:pPr>
      <w:r>
        <w:rPr>
          <w:b/>
          <w:sz w:val="19"/>
        </w:rPr>
        <w:t xml:space="preserve">✅ Action Recommandée: </w:t>
      </w:r>
      <w:r>
        <w:rPr>
          <w:sz w:val="19"/>
        </w:rPr>
        <w:t>Launch aggressive crisis-focused messaging Q1 2026 • Target South France (Provence, Occitanie) -60% allocation • Accelerate partnership avec coopératives Sud France • Pricing: pass through +20-30% markup (crisis premium acceptable)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b/>
          <w:color w:val="0066CC"/>
          <w:sz w:val="22"/>
        </w:rPr>
        <w:t>▶ Subventions CAP 2023-2027 Disponibles (+25% bonus)</w:t>
      </w:r>
    </w:p>
    <w:p>
      <w:pPr>
        <w:spacing w:after="60"/>
        <w:ind w:left="397"/>
      </w:pPr>
      <w:r>
        <w:rPr>
          <w:b/>
          <w:sz w:val="19"/>
        </w:rPr>
        <w:t xml:space="preserve">Description: </w:t>
      </w:r>
      <w:r>
        <w:rPr>
          <w:sz w:val="19"/>
        </w:rPr>
        <w:t>Bonus subvention CAP +25% base (2.5K-6K€/exploitation) SI irrigation documented 'raisonnée' via technology certified. Critères CAP = data temps réel + optimization automation. WaterSense DÉJÀ conforme critères (IA optimization = raisonné par définition). Budget total enveloppe CAP irrigation 180M€ France (vs 8M€/an typical). Fenêtre timing critique 2026-2027 (antes CAP révision 2027 qui peut réduire enveloppe).</w:t>
      </w:r>
    </w:p>
    <w:p>
      <w:pPr>
        <w:spacing w:after="60"/>
        <w:ind w:left="397"/>
      </w:pPr>
      <w:r>
        <w:rPr>
          <w:b/>
          <w:sz w:val="19"/>
        </w:rPr>
        <w:t xml:space="preserve">📊 Impact Chiffré: </w:t>
      </w:r>
      <w:r>
        <w:rPr>
          <w:i/>
          <w:sz w:val="19"/>
        </w:rPr>
        <w:t>Adoption subsidy-driven = 35-40% TAM potential • Customer acquisition cost -50% (subvention covers majority price) • Market size expansion potential +200% if subvention messaging strong</w:t>
      </w:r>
    </w:p>
    <w:p>
      <w:pPr>
        <w:spacing w:after="60"/>
        <w:ind w:left="397"/>
      </w:pPr>
      <w:r>
        <w:rPr>
          <w:b/>
          <w:sz w:val="19"/>
        </w:rPr>
        <w:t xml:space="preserve">💡 Implication Stratégique: </w:t>
      </w:r>
      <w:r>
        <w:rPr>
          <w:sz w:val="19"/>
        </w:rPr>
        <w:t>Subvention = primary sales lever Q1-Q2 2026. Partner avec ASP (agricultural service providers) qui accompagnent farmers subvention administration (reduce customer burden). Message = 'Subvention gratuite + WaterSense bundled'.</w:t>
      </w:r>
    </w:p>
    <w:p>
      <w:pPr>
        <w:spacing w:after="160"/>
        <w:ind w:left="397"/>
      </w:pPr>
      <w:r>
        <w:rPr>
          <w:b/>
          <w:sz w:val="19"/>
        </w:rPr>
        <w:t xml:space="preserve">✅ Action Recommandée: </w:t>
      </w:r>
      <w:r>
        <w:rPr>
          <w:sz w:val="19"/>
        </w:rPr>
        <w:t>Partner with ASP network (50+ providers France) for subsidy-bundled sales • Create CAP documentation toolkit (automate compliance for customers) • Calculate ROI customer: subvention -25% + WaterSense = -18 mois payback • Launch subsidy marketing campaign Q1 2026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b/>
          <w:color w:val="0066CC"/>
          <w:sz w:val="22"/>
        </w:rPr>
        <w:t>▶ Partenariats Coopératives Agricoles (50 Cibles = 280K exploitations)</w:t>
      </w:r>
    </w:p>
    <w:p>
      <w:pPr>
        <w:spacing w:after="60"/>
        <w:ind w:left="397"/>
      </w:pPr>
      <w:r>
        <w:rPr>
          <w:b/>
          <w:sz w:val="19"/>
        </w:rPr>
        <w:t xml:space="preserve">Description: </w:t>
      </w:r>
      <w:r>
        <w:rPr>
          <w:sz w:val="19"/>
        </w:rPr>
        <w:t>50+ coopératives agricoles France = 280K exploitations adhérentes cumul. Single partnership with major coopérative (e.g., AGPB 40K members) = instant 3K-5K customers potential via distribution channel. Revenue share model typical: 20% coopérative / 80% WaterSense (vs direct 100%). Distribution cost très low vs direct sales (coopérative already trusted by farmers).</w:t>
      </w:r>
    </w:p>
    <w:p>
      <w:pPr>
        <w:spacing w:after="60"/>
        <w:ind w:left="397"/>
      </w:pPr>
      <w:r>
        <w:rPr>
          <w:b/>
          <w:sz w:val="19"/>
        </w:rPr>
        <w:t xml:space="preserve">📊 Impact Chiffré: </w:t>
      </w:r>
      <w:r>
        <w:rPr>
          <w:i/>
          <w:sz w:val="19"/>
        </w:rPr>
        <w:t>Revenue scale 10x potential single partnership • Customer acquisition cost -75% (via coopérative recommendation) • Market penetration 2-3 mois vs 12-18 mois direct</w:t>
      </w:r>
    </w:p>
    <w:p>
      <w:pPr>
        <w:spacing w:after="60"/>
        <w:ind w:left="397"/>
      </w:pPr>
      <w:r>
        <w:rPr>
          <w:b/>
          <w:sz w:val="19"/>
        </w:rPr>
        <w:t xml:space="preserve">💡 Implication Stratégique: </w:t>
      </w:r>
      <w:r>
        <w:rPr>
          <w:sz w:val="19"/>
        </w:rPr>
        <w:t>Coopératives = critical scaling lever. Single signature Q2 2026 = de-risked 3-year business model. Win/win: coopérative margin (20%) + farmer solution (irrigation efficiency). Precedent: precision agriculture adoption via coopératives reached 40% penetration 3 years.</w:t>
      </w:r>
    </w:p>
    <w:p>
      <w:pPr>
        <w:spacing w:after="160"/>
        <w:ind w:left="397"/>
      </w:pPr>
      <w:r>
        <w:rPr>
          <w:b/>
          <w:sz w:val="19"/>
        </w:rPr>
        <w:t xml:space="preserve">✅ Action Recommandée: </w:t>
      </w:r>
      <w:r>
        <w:rPr>
          <w:sz w:val="19"/>
        </w:rPr>
        <w:t>Launch partnership acceleration program Q1 2026 (dedicated partnership manager, + executive relationship building) • Target top 10 coopératives (60% of 280K market) for pilots Q1-Q2 • Prepare partnership operating manual (white-label branding support) • Lock 3-5 partnerships by Q3 2026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b/>
          <w:color w:val="0066CC"/>
          <w:sz w:val="22"/>
        </w:rPr>
        <w:t>▶ Expansion Europe 2027 (Espagne 3.5M ha + Italie 2.8M ha)</w:t>
      </w:r>
    </w:p>
    <w:p>
      <w:pPr>
        <w:spacing w:after="60"/>
        <w:ind w:left="397"/>
      </w:pPr>
      <w:r>
        <w:rPr>
          <w:b/>
          <w:sz w:val="19"/>
        </w:rPr>
        <w:t xml:space="preserve">Description: </w:t>
      </w:r>
      <w:r>
        <w:rPr>
          <w:sz w:val="19"/>
        </w:rPr>
        <w:t>Espagne irrigation TAM 3.5M hectares (vs France 1M ha = 3.5x) • Italie Po Valley 2.8M hectares intensif (3x France). Water stress identique/pire Espagne/Italie (Mediterranean climate). Same EU Directive 2000/60 régulation (allocations strictes 2026-2027). TAM Europe total = 6.3M ha = 850M€ addressable (vs France 285M€ only). Competitive intensity Espagne/Italie lower than France (Netafim focus traditionally France/Netherlands).</w:t>
      </w:r>
    </w:p>
    <w:p>
      <w:pPr>
        <w:spacing w:after="60"/>
        <w:ind w:left="397"/>
      </w:pPr>
      <w:r>
        <w:rPr>
          <w:b/>
          <w:sz w:val="19"/>
        </w:rPr>
        <w:t xml:space="preserve">📊 Impact Chiffré: </w:t>
      </w:r>
      <w:r>
        <w:rPr>
          <w:i/>
          <w:sz w:val="19"/>
        </w:rPr>
        <w:t>TAM 3x expansion Europe • Competition less entrenched Spain/Italy • New market entry cost -40% (technology transfer vs greenfield)</w:t>
      </w:r>
    </w:p>
    <w:p>
      <w:pPr>
        <w:spacing w:after="60"/>
        <w:ind w:left="397"/>
      </w:pPr>
      <w:r>
        <w:rPr>
          <w:b/>
          <w:sz w:val="19"/>
        </w:rPr>
        <w:t xml:space="preserve">💡 Implication Stratégique: </w:t>
      </w:r>
      <w:r>
        <w:rPr>
          <w:sz w:val="19"/>
        </w:rPr>
        <w:t>Europe expansion = critical growth driver 2027. Phase de: pivot from France-only to pan-European positioning. Hiring local teams Espagne/Italie Q4 2026-Q1 2027. Exit narratif: 'Fastest growing European agtech solution' (multi-country traction = valuation multiplier).</w:t>
      </w:r>
    </w:p>
    <w:p>
      <w:pPr>
        <w:spacing w:after="160"/>
        <w:ind w:left="397"/>
      </w:pPr>
      <w:r>
        <w:rPr>
          <w:b/>
          <w:sz w:val="19"/>
        </w:rPr>
        <w:t xml:space="preserve">✅ Action Recommandée: </w:t>
      </w:r>
      <w:r>
        <w:rPr>
          <w:sz w:val="19"/>
        </w:rPr>
        <w:t>Conduct market validation Espagne/Italie Q2 2026 (partnerships, pilot customers) • Prepare Spanish/Italian language versions Q2-Q3 2026 • Identify local partnerships/distributors by Q3 2026 • Plan expansion team hiring Q4 2026 (2 FTE per country)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b/>
          <w:color w:val="0066CC"/>
          <w:sz w:val="22"/>
        </w:rPr>
        <w:t>▶ Acquisition Gros Players (Exit Potentiel 50-150M€ 2027-2029)</w:t>
      </w:r>
    </w:p>
    <w:p>
      <w:pPr>
        <w:spacing w:after="60"/>
        <w:ind w:left="397"/>
      </w:pPr>
      <w:r>
        <w:rPr>
          <w:b/>
          <w:sz w:val="19"/>
        </w:rPr>
        <w:t xml:space="preserve">Description: </w:t>
      </w:r>
      <w:r>
        <w:rPr>
          <w:sz w:val="19"/>
        </w:rPr>
        <w:t>Netafim (1.1B€ revenue, +12% growth acquisition strategy) • Valmont (3.8B€ revenue, precision ag investment priority) • BASF (agtech innovation fund 500M€) • John Deere (agricultural tech M&amp;A active) • Bayer (irrigation solutions gaps). WaterSense profil attractif per acquéreur: proprietary tech IP + exceptional LTV/CAC + founding team track record + European foothold + exit-ready metrics. Comparable exits: Sentera 50M€ + Indigo Agriculture Series E 200M€ valuation + Apptis 30M€.</w:t>
      </w:r>
    </w:p>
    <w:p>
      <w:pPr>
        <w:spacing w:after="60"/>
        <w:ind w:left="397"/>
      </w:pPr>
      <w:r>
        <w:rPr>
          <w:b/>
          <w:sz w:val="19"/>
        </w:rPr>
        <w:t xml:space="preserve">📊 Impact Chiffré: </w:t>
      </w:r>
      <w:r>
        <w:rPr>
          <w:i/>
          <w:sz w:val="19"/>
        </w:rPr>
        <w:t>Valuation 50-150M€ realistic 2027-2029 if CAGR 3x+ achieved • Strategic buyer premium +40-60% vs VC valuation • Exit timing critical (post-profitability or Series B funding) = strategic optionality</w:t>
      </w:r>
    </w:p>
    <w:p>
      <w:pPr>
        <w:spacing w:after="60"/>
        <w:ind w:left="397"/>
      </w:pPr>
      <w:r>
        <w:rPr>
          <w:b/>
          <w:sz w:val="19"/>
        </w:rPr>
        <w:t xml:space="preserve">💡 Implication Stratégique: </w:t>
      </w:r>
      <w:r>
        <w:rPr>
          <w:sz w:val="19"/>
        </w:rPr>
        <w:t>Exit optionality = shareholder upside narrative (seed investors, team equity). Begin acquirer relationship building 2026 (partnerships first, acquisition conversations 2027-2028). Preparation: document defensibility technology, build revenue scale &gt;5M€ ARR, expand team &gt;30 people (acquirer appetite typically needs established team).</w:t>
      </w:r>
    </w:p>
    <w:p>
      <w:pPr>
        <w:spacing w:after="160"/>
        <w:ind w:left="397"/>
      </w:pPr>
      <w:r>
        <w:rPr>
          <w:b/>
          <w:sz w:val="19"/>
        </w:rPr>
        <w:t xml:space="preserve">✅ Action Recommandée: </w:t>
      </w:r>
      <w:r>
        <w:rPr>
          <w:sz w:val="19"/>
        </w:rPr>
        <w:t>Identify top 5 acquirers strategic fit (Netafim, Valmont, John Deere) • Build relationships via partnerships (not just M&amp;A outreach) • Prepare M&amp;A ready documentation (IP assessments, customer contracts, team agreements) • Communicate exit optionality to investors/team (motivate long-term commitment)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  <w:spacing w:before="240" w:after="240"/>
      </w:pPr>
      <w:r>
        <w:rPr>
          <w:b/>
          <w:color w:val="C86464"/>
          <w:sz w:val="36"/>
        </w:rPr>
        <w:t>5️⃣ FICHES DÉTAILLÉES - THREATS</w:t>
      </w:r>
    </w:p>
    <w:p>
      <w:pPr>
        <w:spacing w:after="60"/>
      </w:pPr>
      <w:r>
        <w:rPr>
          <w:b/>
          <w:color w:val="0066CC"/>
          <w:sz w:val="22"/>
        </w:rPr>
        <w:t>▶ Irrigation Equipment Giants (Netafim, Valmont, Rain)</w:t>
      </w:r>
    </w:p>
    <w:p>
      <w:pPr>
        <w:spacing w:after="60"/>
        <w:ind w:left="397"/>
      </w:pPr>
      <w:r>
        <w:rPr>
          <w:b/>
          <w:sz w:val="19"/>
        </w:rPr>
        <w:t xml:space="preserve">Description: </w:t>
      </w:r>
      <w:r>
        <w:rPr>
          <w:sz w:val="19"/>
        </w:rPr>
        <w:t>Netafim = 1.1B€ revenue globally, 800+ employees, 40+ year history, 60M€+ brand investment. Valmont = 3.8B€ revenue globally, irrigation division 1.2B€+. Rain Bird = 500M€+ irrigation revenue. Possess 80-85% market share irrigation equipment Europe (drip systems, sprinklers, controllers). Can develop WaterSense equivalent 12-18 months internal R&amp;D (less competitive time barrier vs startup typical 3-4 years). Distribution channels entrenched 40+ years (3,000+ retail points, farmer relationships). Predatory pricing capability (cost structure 10x lower vs startup, margin swallow).</w:t>
      </w:r>
    </w:p>
    <w:p>
      <w:pPr>
        <w:spacing w:after="60"/>
        <w:ind w:left="397"/>
      </w:pPr>
      <w:r>
        <w:rPr>
          <w:b/>
          <w:sz w:val="19"/>
        </w:rPr>
        <w:t xml:space="preserve">📊 Impact Chiffré: </w:t>
      </w:r>
      <w:r>
        <w:rPr>
          <w:i/>
          <w:sz w:val="19"/>
        </w:rPr>
        <w:t>Market share consolidation probable -25% 2027-2029 • Pricing pressure from predatory competition -40% • Acquisition risk: hostile vs friendly • Technology licensing forced (disadvantageous terms)</w:t>
      </w:r>
    </w:p>
    <w:p>
      <w:pPr>
        <w:spacing w:after="60"/>
        <w:ind w:left="397"/>
      </w:pPr>
      <w:r>
        <w:rPr>
          <w:b/>
          <w:sz w:val="19"/>
        </w:rPr>
        <w:t xml:space="preserve">💡 Implication Stratégique: </w:t>
      </w:r>
      <w:r>
        <w:rPr>
          <w:sz w:val="19"/>
        </w:rPr>
        <w:t>Giants = existential threat long-term if scale achieved early (years 3-5). Short-term (2026) = advantage: Netafim/Valmont slow innovation cycles (bureaucracy, legacy business defend), not threat. Timing = CRITICAL: must reach 500-1000 customers + 5M€+ ARR before giants wake up (window 2026-2027 approximately). Exit 2027-2028 = strategic timing avoid head-to-head warfare.</w:t>
      </w:r>
    </w:p>
    <w:p>
      <w:pPr>
        <w:spacing w:after="160"/>
        <w:ind w:left="397"/>
      </w:pPr>
      <w:r>
        <w:rPr>
          <w:b/>
          <w:sz w:val="19"/>
        </w:rPr>
        <w:t xml:space="preserve">✅ Action Recommandée: </w:t>
      </w:r>
      <w:r>
        <w:rPr>
          <w:sz w:val="19"/>
        </w:rPr>
        <w:t>Accelerate product-market fit 2026 (vs 2027) • Target customers giants cannot serve profitably (small/mid farms &lt;50ha vs large farms &gt;500ha focus) • Build switching costs high (integrations, data historical, farmer workflow embedding) • Begin M&amp;A conversations acquisition giants Q4 2026-Q1 2027 (proactive exit vs reactive defense)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b/>
          <w:color w:val="0066CC"/>
          <w:sz w:val="22"/>
        </w:rPr>
        <w:t>▶ Startups VC-Backed (&gt;50M€ levées, 5-10x WaterSense capital)</w:t>
      </w:r>
    </w:p>
    <w:p>
      <w:pPr>
        <w:spacing w:after="60"/>
        <w:ind w:left="397"/>
      </w:pPr>
      <w:r>
        <w:rPr>
          <w:b/>
          <w:sz w:val="19"/>
        </w:rPr>
        <w:t xml:space="preserve">Description: </w:t>
      </w:r>
      <w:r>
        <w:rPr>
          <w:sz w:val="19"/>
        </w:rPr>
        <w:t>Ecorobotix (100M€ levée robotics irrigation) • Agworld (50M€ levée precision ag platform) • Encepta (20M€ levée biologics/soil) • Multiple stealth agritech startups financed $20-50M 2024-2025. VC backing = budget marketing/sales 5-10x WaterSense capacity. Talent hiring 2x WaterSense pace. R&amp;D investment 10x WaterSense resources. Funding runway 5-7 years (vs WaterSense 1.5 years). Competitive threat probability HIGH 2027-2029.</w:t>
      </w:r>
    </w:p>
    <w:p>
      <w:pPr>
        <w:spacing w:after="60"/>
        <w:ind w:left="397"/>
      </w:pPr>
      <w:r>
        <w:rPr>
          <w:b/>
          <w:sz w:val="19"/>
        </w:rPr>
        <w:t xml:space="preserve">📊 Impact Chiffré: </w:t>
      </w:r>
      <w:r>
        <w:rPr>
          <w:i/>
          <w:sz w:val="19"/>
        </w:rPr>
        <w:t>Market share competition intense 2027-2029 (-30-50% pricing pressure) • Talent war (engineer hiring loss -40% vs VC-backed) • Technology race: VC-backed may catch up 2 years • Consolidation risk: VC-backed may acquire smaller competitors consolidating market</w:t>
      </w:r>
    </w:p>
    <w:p>
      <w:pPr>
        <w:spacing w:after="60"/>
        <w:ind w:left="397"/>
      </w:pPr>
      <w:r>
        <w:rPr>
          <w:b/>
          <w:sz w:val="19"/>
        </w:rPr>
        <w:t xml:space="preserve">💡 Implication Stratégique: </w:t>
      </w:r>
      <w:r>
        <w:rPr>
          <w:sz w:val="19"/>
        </w:rPr>
        <w:t>VC-backed threat primarily 2027+ (not 2026). Advantage WaterSense = first-mover 18-24 months head start (technology lead, customer relationships, market validation). Window 2026 = maximum opportunity exploit before VC-backed flood. Exit or achieve breakeven 2026 = desirable de-risk strategic position.</w:t>
      </w:r>
    </w:p>
    <w:p>
      <w:pPr>
        <w:spacing w:after="160"/>
        <w:ind w:left="397"/>
      </w:pPr>
      <w:r>
        <w:rPr>
          <w:b/>
          <w:sz w:val="19"/>
        </w:rPr>
        <w:t xml:space="preserve">✅ Action Recommandée: </w:t>
      </w:r>
      <w:r>
        <w:rPr>
          <w:sz w:val="19"/>
        </w:rPr>
        <w:t>Lock 500+ customers 36-month contracts by Q4 2026 (switching costs high) • Build moat: partnerships coopératives, integrations with farmer software stack • Consider preemptive acquisition conversations top-funded competitors 2026 (consolidation partner vs competitor) • Prepare fundraise defensive Series A 2026 if needed (stay competitive)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b/>
          <w:color w:val="0066CC"/>
          <w:sz w:val="22"/>
        </w:rPr>
        <w:t>▶ Régulation Eau Risque (Allocation Stricte ou Tax)</w:t>
      </w:r>
    </w:p>
    <w:p>
      <w:pPr>
        <w:spacing w:after="60"/>
        <w:ind w:left="397"/>
      </w:pPr>
      <w:r>
        <w:rPr>
          <w:b/>
          <w:sz w:val="19"/>
        </w:rPr>
        <w:t xml:space="preserve">Description: </w:t>
      </w:r>
      <w:r>
        <w:rPr>
          <w:sz w:val="19"/>
        </w:rPr>
        <w:t>Scenario A: EU allocations eau strictes -50-70% 2027-2028 (probabilité 15%). Impact: irrigation marginal becomes unviable, TAM -40% (only large/critical crops remain). Scenario B: Taxe eau +300% 2027+ (probabilité 10%). Impact: farmer budget irrigation -30-50%, ROI tech solutions -40% stretched. Scenario C: Obligation temps réel data open-source (probabilities 8%). Impact: technology differentiation collapsed, SaaS pricing -50% (commoditized). Worst case: all 3 scenarios converge = TAM -60% + ARPU -50% = revenue -75% vs base case.</w:t>
      </w:r>
    </w:p>
    <w:p>
      <w:pPr>
        <w:spacing w:after="60"/>
        <w:ind w:left="397"/>
      </w:pPr>
      <w:r>
        <w:rPr>
          <w:b/>
          <w:sz w:val="19"/>
        </w:rPr>
        <w:t xml:space="preserve">📊 Impact Chiffré: </w:t>
      </w:r>
      <w:r>
        <w:rPr>
          <w:i/>
          <w:sz w:val="19"/>
        </w:rPr>
        <w:t>Risk scenario probability combined 33% • Revenue impact worst-case -75% • Survival dependent optimization &lt; 2,000€/year cost base</w:t>
      </w:r>
    </w:p>
    <w:p>
      <w:pPr>
        <w:spacing w:after="60"/>
        <w:ind w:left="397"/>
      </w:pPr>
      <w:r>
        <w:rPr>
          <w:b/>
          <w:sz w:val="19"/>
        </w:rPr>
        <w:t xml:space="preserve">💡 Implication Stratégique: </w:t>
      </w:r>
      <w:r>
        <w:rPr>
          <w:sz w:val="19"/>
        </w:rPr>
        <w:t>Regulation risk = low-medium term (probabilities &lt;35% any scenario 2026-2027). Longer-term regulatory risk = hedging through Europe expansion (Spanish/Italian regulation potentially more favorable, or independently timed). Contingency planning needed Q2 2026 (scenario analysis, cost reduction plan).</w:t>
      </w:r>
    </w:p>
    <w:p>
      <w:pPr>
        <w:spacing w:after="160"/>
        <w:ind w:left="397"/>
      </w:pPr>
      <w:r>
        <w:rPr>
          <w:b/>
          <w:sz w:val="19"/>
        </w:rPr>
        <w:t xml:space="preserve">✅ Action Recommandée: </w:t>
      </w:r>
      <w:r>
        <w:rPr>
          <w:sz w:val="19"/>
        </w:rPr>
        <w:t>Monitor EU regulatory development closely (regulatory tracker subscription service) • Diversify revenue model: hardware sales, consulting, data licensing (not pure SaaS dependent) • Prepare contingency plan cost reduction Q2 2026 (if regulation threatens) • Consider licensing regulation-proof markets (US, Australia) Q3 2026 if needed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b/>
          <w:color w:val="0066CC"/>
          <w:sz w:val="22"/>
        </w:rPr>
        <w:t>▶ Récession Agriculture Possible (Commodity Price Cycle)</w:t>
      </w:r>
    </w:p>
    <w:p>
      <w:pPr>
        <w:spacing w:after="60"/>
        <w:ind w:left="397"/>
      </w:pPr>
      <w:r>
        <w:rPr>
          <w:b/>
          <w:sz w:val="19"/>
        </w:rPr>
        <w:t xml:space="preserve">Description: </w:t>
      </w:r>
      <w:r>
        <w:rPr>
          <w:sz w:val="19"/>
        </w:rPr>
        <w:t>Farm income stress 2024-2025 documented: maïs 210€/t (vs 310€/2022 peak = -32%). Feed costs high, commodity prices low = margin pressure -40% typical farm. 10% farm closures 2024-2025 realized (trend continuing). Budget technology = discretionary expense cut first in survival mode. Historical data: 2009 recession agriculture saw agritech spending -50% (2-year recovery lag). Probability recession cycle 2026-2027 = 25% (commodity price dependent, geopolitical risks).</w:t>
      </w:r>
    </w:p>
    <w:p>
      <w:pPr>
        <w:spacing w:after="60"/>
        <w:ind w:left="397"/>
      </w:pPr>
      <w:r>
        <w:rPr>
          <w:b/>
          <w:sz w:val="19"/>
        </w:rPr>
        <w:t xml:space="preserve">📊 Impact Chiffré: </w:t>
      </w:r>
      <w:r>
        <w:rPr>
          <w:i/>
          <w:sz w:val="19"/>
        </w:rPr>
        <w:t>Customer acquisition freeze probability 25% • Churn acceleration: customers cut SaaS spend -50% • Revenue decline potential -30-40% if recession materializes</w:t>
      </w:r>
    </w:p>
    <w:p>
      <w:pPr>
        <w:spacing w:after="60"/>
        <w:ind w:left="397"/>
      </w:pPr>
      <w:r>
        <w:rPr>
          <w:b/>
          <w:sz w:val="19"/>
        </w:rPr>
        <w:t xml:space="preserve">💡 Implication Stratégique: </w:t>
      </w:r>
      <w:r>
        <w:rPr>
          <w:sz w:val="19"/>
        </w:rPr>
        <w:t>Recession risk = medium term (not immediate 2026, but 2027 risk). Mitigation: target recession-resistant crops (vegetables, specialty crops maintain prices vs commodity grains). Build flexibility: offer temporary cost reduction packages (monthly vs annual contracts, feature reduction). Recession-proofing: customer diversification (scale beyond maize to polyculture farms).</w:t>
      </w:r>
    </w:p>
    <w:p>
      <w:pPr>
        <w:spacing w:after="160"/>
        <w:ind w:left="397"/>
      </w:pPr>
      <w:r>
        <w:rPr>
          <w:b/>
          <w:sz w:val="19"/>
        </w:rPr>
        <w:t xml:space="preserve">✅ Action Recommandée: </w:t>
      </w:r>
      <w:r>
        <w:rPr>
          <w:sz w:val="19"/>
        </w:rPr>
        <w:t>Segment customers by recession-resilience (high-value crops vs commodity) • Build flexible pricing options (monthly/quarterly vs annual contracts) • Diversify crop targeting (vegetables, fruits) vs maize only • Prepare customer retention program Q3-Q4 2026 (prevent churn if recession signals appear)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b/>
          <w:color w:val="0066CC"/>
          <w:sz w:val="22"/>
        </w:rPr>
        <w:t>▶ Consolidation Marché / M&amp;A Wave Agritech</w:t>
      </w:r>
    </w:p>
    <w:p>
      <w:pPr>
        <w:spacing w:after="60"/>
        <w:ind w:left="397"/>
      </w:pPr>
      <w:r>
        <w:rPr>
          <w:b/>
          <w:sz w:val="19"/>
        </w:rPr>
        <w:t xml:space="preserve">Description: </w:t>
      </w:r>
      <w:r>
        <w:rPr>
          <w:sz w:val="19"/>
        </w:rPr>
        <w:t>15+ acquisitions agritech 2022-2025 documented (SoilCare, Ekinops, Greenbelt, Soiltech, etc.). Netafim acquires ~3 startups/year average (strategic roll-up). Valmont, BASF, John Deere, Bayer all actively acquiring agritech (consolidation trend). Market dynamics: winners consolidate, medium players acquired, losers disappear. WaterSense valuation target 50-150M€ attractive acquisition price (vs $50-200M€ acquirers typical). Acquisition timing risk: acquirer consolidation wave Q3-Q4 2026 probable (post-funding season Q1-Q2). Competitive landscape may reshuffle if 2-3 competitors acquired = market concentration risk.</w:t>
      </w:r>
    </w:p>
    <w:p>
      <w:pPr>
        <w:spacing w:after="60"/>
        <w:ind w:left="397"/>
      </w:pPr>
      <w:r>
        <w:rPr>
          <w:b/>
          <w:sz w:val="19"/>
        </w:rPr>
        <w:t xml:space="preserve">📊 Impact Chiffré: </w:t>
      </w:r>
      <w:r>
        <w:rPr>
          <w:i/>
          <w:sz w:val="19"/>
        </w:rPr>
        <w:t>Acquisition activity may consolidate market -30-50% competitors • Pricing power shifts to consolidated acquirer-backed entity • Strategic partnership optionality lost if competitor acquired by giant first</w:t>
      </w:r>
    </w:p>
    <w:p>
      <w:pPr>
        <w:spacing w:after="60"/>
        <w:ind w:left="397"/>
      </w:pPr>
      <w:r>
        <w:rPr>
          <w:b/>
          <w:sz w:val="19"/>
        </w:rPr>
        <w:t xml:space="preserve">💡 Implication Stratégique: </w:t>
      </w:r>
      <w:r>
        <w:rPr>
          <w:sz w:val="19"/>
        </w:rPr>
        <w:t>Consolidation = normal market evolution, not necessarily threat (enables exit path). Probability 40-50% one competitor acquired Q3-Q4 2026. Risk: wrong competitor acquired by wrong acquirer = competitive imbalance unfavorable WaterSense. Mitigation: stay acquisition-ready (clean cap table, IP defensible, customer contracts transferable, team retainable).</w:t>
      </w:r>
    </w:p>
    <w:p>
      <w:pPr>
        <w:spacing w:after="160"/>
        <w:ind w:left="397"/>
      </w:pPr>
      <w:r>
        <w:rPr>
          <w:b/>
          <w:sz w:val="19"/>
        </w:rPr>
        <w:t xml:space="preserve">✅ Action Recommandée: </w:t>
      </w:r>
      <w:r>
        <w:rPr>
          <w:sz w:val="19"/>
        </w:rPr>
        <w:t>Prepare acquisition readiness documentation Q2 2026 (clean cap table, IP audit, customer contract review, team retention agreements) • Build strategic relationships multiple acquirers (vs single potential buyer) • Maintain optionality: stay independent if acquisition terms unfavorable • Monitor competitor M&amp;A news (industry intel, acquirer appetite signals)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  <w:spacing w:before="240" w:after="240"/>
      </w:pPr>
      <w:r>
        <w:rPr>
          <w:b/>
          <w:color w:val="2E7D32"/>
          <w:sz w:val="36"/>
        </w:rPr>
        <w:t>📊 RÉSUMÉ SWOT SCORING &amp;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702"/>
          </w:tcPr>
          <w:p>
            <w:r>
              <w:rPr>
                <w:b/>
              </w:rPr>
              <w:t>Items Positifs</w:t>
            </w:r>
          </w:p>
        </w:tc>
        <w:tc>
          <w:tcPr>
            <w:tcW w:type="dxa" w:w="3702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3702"/>
          </w:tcPr>
          <w:p>
            <w:r>
              <w:t>STRENGTHS (Forces)</w:t>
            </w:r>
          </w:p>
        </w:tc>
        <w:tc>
          <w:tcPr>
            <w:tcW w:type="dxa" w:w="3702"/>
          </w:tcPr>
          <w:p>
            <w:r>
              <w:t>5/5 items</w:t>
            </w:r>
          </w:p>
        </w:tc>
        <w:tc>
          <w:tcPr>
            <w:tcW w:type="dxa" w:w="3702"/>
          </w:tcPr>
          <w:p>
            <w:r>
              <w:t>+18</w:t>
            </w:r>
          </w:p>
        </w:tc>
      </w:tr>
      <w:tr>
        <w:tc>
          <w:tcPr>
            <w:tcW w:type="dxa" w:w="3702"/>
          </w:tcPr>
          <w:p>
            <w:r>
              <w:t>WEAKNESSES (Faiblesses)</w:t>
            </w:r>
          </w:p>
        </w:tc>
        <w:tc>
          <w:tcPr>
            <w:tcW w:type="dxa" w:w="3702"/>
          </w:tcPr>
          <w:p>
            <w:r>
              <w:t>5/5 items</w:t>
            </w:r>
          </w:p>
        </w:tc>
        <w:tc>
          <w:tcPr>
            <w:tcW w:type="dxa" w:w="3702"/>
          </w:tcPr>
          <w:p>
            <w:r>
              <w:t>-14</w:t>
            </w:r>
          </w:p>
        </w:tc>
      </w:tr>
      <w:tr>
        <w:tc>
          <w:tcPr>
            <w:tcW w:type="dxa" w:w="3702"/>
          </w:tcPr>
          <w:p>
            <w:r>
              <w:rPr>
                <w:b/>
                <w:color w:val="27AE60"/>
              </w:rPr>
              <w:t>Internal Balance</w:t>
            </w:r>
          </w:p>
        </w:tc>
        <w:tc>
          <w:tcPr>
            <w:tcW w:type="dxa" w:w="3702"/>
          </w:tcPr>
          <w:p>
            <w:r>
              <w:rPr>
                <w:b/>
                <w:color w:val="27AE60"/>
              </w:rPr>
              <w:t>S-W</w:t>
            </w:r>
          </w:p>
        </w:tc>
        <w:tc>
          <w:tcPr>
            <w:tcW w:type="dxa" w:w="3702"/>
          </w:tcPr>
          <w:p>
            <w:r>
              <w:rPr>
                <w:b/>
                <w:color w:val="27AE60"/>
              </w:rPr>
              <w:t>+4 ✅</w:t>
            </w:r>
          </w:p>
        </w:tc>
      </w:tr>
      <w:tr>
        <w:tc>
          <w:tcPr>
            <w:tcW w:type="dxa" w:w="3702"/>
          </w:tcPr>
          <w:p>
            <w:r>
              <w:t>OPPORTUNITIES (Opportunités)</w:t>
            </w:r>
          </w:p>
        </w:tc>
        <w:tc>
          <w:tcPr>
            <w:tcW w:type="dxa" w:w="3702"/>
          </w:tcPr>
          <w:p>
            <w:r>
              <w:t>5/5 items</w:t>
            </w:r>
          </w:p>
        </w:tc>
        <w:tc>
          <w:tcPr>
            <w:tcW w:type="dxa" w:w="3702"/>
          </w:tcPr>
          <w:p>
            <w:r>
              <w:t>+21</w:t>
            </w:r>
          </w:p>
        </w:tc>
      </w:tr>
      <w:tr>
        <w:tc>
          <w:tcPr>
            <w:tcW w:type="dxa" w:w="3702"/>
          </w:tcPr>
          <w:p>
            <w:r>
              <w:t>THREATS (Menaces)</w:t>
            </w:r>
          </w:p>
        </w:tc>
        <w:tc>
          <w:tcPr>
            <w:tcW w:type="dxa" w:w="3702"/>
          </w:tcPr>
          <w:p>
            <w:r>
              <w:t>5/5 items</w:t>
            </w:r>
          </w:p>
        </w:tc>
        <w:tc>
          <w:tcPr>
            <w:tcW w:type="dxa" w:w="3702"/>
          </w:tcPr>
          <w:p>
            <w:r>
              <w:t>-11</w:t>
            </w:r>
          </w:p>
        </w:tc>
      </w:tr>
      <w:tr>
        <w:tc>
          <w:tcPr>
            <w:tcW w:type="dxa" w:w="3702"/>
          </w:tcPr>
          <w:p>
            <w:r>
              <w:rPr>
                <w:b/>
                <w:color w:val="27AE60"/>
              </w:rPr>
              <w:t>External Balance</w:t>
            </w:r>
          </w:p>
        </w:tc>
        <w:tc>
          <w:tcPr>
            <w:tcW w:type="dxa" w:w="3702"/>
          </w:tcPr>
          <w:p>
            <w:r>
              <w:rPr>
                <w:b/>
                <w:color w:val="27AE60"/>
              </w:rPr>
              <w:t>O-T</w:t>
            </w:r>
          </w:p>
        </w:tc>
        <w:tc>
          <w:tcPr>
            <w:tcW w:type="dxa" w:w="3702"/>
          </w:tcPr>
          <w:p>
            <w:r>
              <w:rPr>
                <w:b/>
                <w:color w:val="27AE60"/>
              </w:rPr>
              <w:t>+10 ✅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vAlign w:val="center"/>
            <w:shd w:fill="D4E8D4"/>
          </w:tcPr>
          <w:p/>
          <w:p>
            <w:pPr>
              <w:jc w:val="center"/>
            </w:pPr>
            <w:r>
              <w:rPr>
                <w:b/>
                <w:color w:val="27AE60"/>
                <w:sz w:val="28"/>
              </w:rPr>
              <w:t>✅ VERDICT FINAL: POSITIF NET</w:t>
              <w:br/>
              <w:br/>
            </w:r>
            <w:r>
              <w:rPr>
                <w:sz w:val="22"/>
              </w:rPr>
              <w:t>Forces (+18) + Opportunités (+21) = +39</w:t>
              <w:br/>
              <w:t>Faiblesses (-14) + Menaces (-11) = -25</w:t>
              <w:br/>
              <w:t>SCORE TOTAL: +14 / 40 = 7.25/10</w:t>
              <w:br/>
              <w:br/>
              <w:t>✅ GO-TO-MARKET AGRESSIF Q1-Q2 2026</w:t>
              <w:br/>
              <w:t>✅ Financer Series A Q2 2026 (3-5M€)</w:t>
              <w:br/>
              <w:t>✅ Accélérer partenariats coopératives</w:t>
              <w:br/>
              <w:t>✅ Viser exit 50-150M€ horizon 2027-2029</w:t>
            </w:r>
          </w:p>
        </w:tc>
      </w:tr>
    </w:tbl>
    <w:sectPr w:rsidR="00FC693F" w:rsidRPr="0006063C" w:rsidSect="00034616">
      <w:pgSz w:w="12240" w:h="15840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