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ANALYSE SWOT EXHAUSTIVE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Tableau Structuré - Ultra-Détaillé - 20 Facteurs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TABLEAU SWOT COMPLET (20 FACTEURS)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c>
          <w:tcPr>
            <w:tcW w:type="dxa" w:w="3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</w:t>
            </w:r>
          </w:p>
        </w:tc>
        <w:tc>
          <w:tcPr>
            <w:tcW w:type="dxa" w:w="1247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Facteur</w:t>
            </w:r>
          </w:p>
        </w:tc>
        <w:tc>
          <w:tcPr>
            <w:tcW w:type="dxa" w:w="1417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Description Détaillée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Détails Clés</w:t>
            </w:r>
          </w:p>
        </w:tc>
        <w:tc>
          <w:tcPr>
            <w:tcW w:type="dxa" w:w="567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45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Prob</w:t>
            </w:r>
          </w:p>
        </w:tc>
        <w:tc>
          <w:tcPr>
            <w:tcW w:type="dxa" w:w="45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0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Implication WS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Action Prioritaire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Technologie Propriétaire IA (Brevet)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Brevet INPI 2025 déposé. Algorithme IA custom entraîné 3+ années données terrain. Barrière IP 20 ans.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Algo IA • Précision 94% • Prédiction &lt;2s • Propriété IP protégée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+4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Avantage concurrentiel durable vs Netafim/Valmont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Breveté, protégé légalement - no action needed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Équipe Fondatrice Expérimentée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CTO 12 ans IoT/IA. CEO 8 ans startup agritech (exit 2022). Head Ag 15 ans terrain. CFO 10 ans fintech.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Exécution rapide • Décisions quality • Network établi • 50M€+ levées antérieures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+4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Exécution 2x vs compétiteurs sans expérience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Maintenir cohésion équipe. Hiring Q2 2026 (5 FTE)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LTV/CAC Ratio 56:1 (Excellent)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LTV 8,400€ (3 ans @ 2,800€/an). CAC 150€ (partenaires coopératives). Payback 2.7 mois.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Churn 3%/an • COGS minimal • Revenu stable • Marges 82%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+4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Rentabilité garantie. Attractif investisseurs.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Modèle SaaS prêt. Scaling sans problème capital.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Modèle Récurrent Rentable (SaaS)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Prix 2,800-3,200€/exploitation/an. Marge brute 82%. Contrats 36+ mois prévisibles.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Revenue prévisible • No COGS lourd • Expansion verticale facile • Récurrence forte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+3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Croissance soutenable sans capital externe massif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Expansion features Q3 2026 (upsell +15%)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ISO 27001 &amp; RGPD Compliant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ISO 27001 audit external PASSED 2025. RGPD conforme complet. DPO nommé. Données AWS eu-west-1.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No amendes prévues • Data propriété client • Certification actualisée • Support contractuel clair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+3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Entrée marché sans frein réglementaire. Avantage startup non-compliant.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Audit compliance Q1 2026 (certification renew)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Startup Jeune, Brand Awareness Faible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WaterSense fondée 2023 (2.5 ans). 0% brand awareness parmi 300K exploitations France.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0 historique • 0 références publiques • Budget marketing limité • Cycle vente long 6-12 mois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-2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Frein acquisition mais mitigable via PR + marketing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Press release CAP subvention Q1 2026. 3 case studies Q2.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Capital Limité vs Concurrents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Levée 500K€ vs Netafim 1B€+, Ecorobotix 100M€. Budget marketing 60K€/an vs 5M€+ concurrents.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R&amp;D limité • Budget sales réduit • Pas acquisitions possibles • Dépendance financement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HAUT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-3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Constrains stratégies expansion rapide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Series A Q3 2026 (target 2M€). Partenariats vs capex.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Réseau Partenaires Initial Très Limité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0 contrats coopératives signés. 0 distributeurs agritech partenaires. Pas accès 3,000 points vente.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Distribution to-build • No channel established • Dépendance early-mover direct • Slow ramp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HAUT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-3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Croissance dépendant évangélisation directe vs channel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5 coopératives pilots Q2 2026. Accords revenue-share.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Capacité Production/Support Démarrage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Infrastructure AWS single region. Support 2 FTE pour 100+ clients. SLA 99.5% vs 99.9% promis.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No redundancy • Onboarding 8h/client (doit être 3h) • Monitoring semi-manuel • Risk outage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ÉLEVÉE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-2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Scaling opérationnel challenge si croissance &gt;500 clients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Hiring support +3 FTE Q2 2026. Infrastructure AWS multi-region.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Pas Historique Commercial/Références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10 pilotes court terme 2024-2025. 0 clients &gt;12 mois rétention. Aucun case studies publiés.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No testimonials vidéo • Proof-of-concept demand ralentit cycle • Mid-market risk-averse • Ref needed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MOYEN-HAUT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-2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Frein adoption mid-market conservateur. Enterprise hesitant.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Testimonials agrégés Q1 2026 (3 pilotes testimonies). Blog ROI study.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Pénurie Eau Accélère Adoption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Allocations eau -40-60% zones méditerranéennes 2026. Été 2025 = PIRE crise 60 ans. Probabilité crises récurrentes 70%+.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BESOIN #1 agriculteurs • Urgence maximale • Crises phénomène long-term • ROI eau critique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FORT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+5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Macro-trend accélère PMF. SWOT impact +3 vs baseline.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Marketing urgency narrative Q1 2026. 'Crise eau déjà là' positioning.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Subventions CAP 2023-2027 Disponibles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Bonus +25% subvention CAP (2.5K-6K€/exploitation) si irrigation 'raisonnée' documentée. WaterSense déjà conforme.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Budget total 180M€ irrigation • Critères: temps réel data + tech certifiée • Fenêtre 2026-2027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FORT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CERTAINE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+5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Direct ROI accelerator. Payoff 14 mois au lieu de 24.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CAP calculator tool Q1 2026. Marketing 'déverrouille bonus' Q2.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Partenariats Coopératives Agricoles (50 Cibles)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50+ coopératives existantes = 280K exploitations adhérentes. Accord partenaire unique = 3K-5K clients instantanés.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Distribution scale via coop • Revenue share 20/80 • Coopérative = reseller • 3+ mois deal cycle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FORT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ÉLEVÉE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+4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Distribution channel accélère croissance 10x. Acquisition cost reduced.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Pilot coopérative Beauce Q2 2026. 5 signatures Q3-Q4.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Expansion Europe 2027 (Espagne/Italie)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Espagne 3.5M ha + Italie 2.8M ha irrigation (vs France 1M). TAM Europe 850M€ vs France 285M€ (3x).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Même réglementation EU • Crises eau identiques • Moins tech competition • Localization Q3 2027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FORT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CROISSANTE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+4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International scaling 2027-2028. Revenue 3x potential.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Espagne market study Q3 2026. Pilot launch Q3 2027.</w:t>
            </w:r>
          </w:p>
        </w:tc>
      </w:tr>
      <w:tr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Acquisition Gros Players (Exit Potential)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Netafim, Valmont, John Deere cherchent tech irrigation innovation. WaterSense profil attractif acquisitions.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Comparable exits: Sentera $50M • Valuation 50-150M€ realistic • Exit timeline 2027-2029 • 5x-10x CAGR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MOYEN-HAUT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ÉLEVÉE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+3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Liquidity event 2027-2029. ROI shareholder significatif.</w:t>
            </w:r>
          </w:p>
        </w:tc>
        <w:tc>
          <w:tcPr>
            <w:tcW w:type="dxa" w:w="1259"/>
            <w:shd w:fill="E8F8F5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Growth 3x+ CAGR pour attractivité. Network with acquéreurs Q4 2026.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Irrigation Equipment Giants (Netafim, Valmont, Rain)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Netafim revenue 1.1B€, Valmont 3.8B€. Possèdent 80%+ marché hardware irrigation. R&amp;D 50M€+/an.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Can launch produit similaire 12-18 mois • Distribution entrenched • Brand 40+ ans • Predatory pricing risque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TRÈS FORT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ÉLEVÉE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-3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Menace existentielle si actif. Acquisition ou competition intensivé.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Coopératives partnerships rapide (before giants enter). Différenciation locale.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Startups Bien Financées (3+ Levées, &gt;50M€)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Ecorobotix $100M, Agworld $50M, Encepta $20M entrent marché irrigation. VC backing massif.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Budget marketing x5-10 vs WaterSense • Undercut pricing risque • Fast hiring • Partenaires coopératives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HAUT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ÉLEVÉE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-3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Compétition intensification. Pricing pressure. Talent poaching.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Hiring bonus Q2 2026. Coopératives lock-in (multi-year agreements). Differentiate local.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Réglementation Eau Plus Stricte (Improbable)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Scenario A: Taxes eau x3 possible 2027. Scenario B: Restrictions irrigation strictes. Probabilité 15-20%.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Budget farm réduit si recession • Moins urgent investissement tech • TAM -30% worst-case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BASSE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-1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Improbable mais high-impact si réalisé. Préparation contingency.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Monitor EU water policy Q1 2026. Flexible pricing models. Revenue diversification.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Récession Agriculture (Moins Investissement)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10% farm closures 2024-2025. Budget tech -40% si rentabilité margin &lt;5%. Cycle commodity prices.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Prix céréales &lt;200€/t risks • Faillites exploitations • Survival vs growth mode • De-prioritize tech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MOYEN-HAUT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MODÉRÉE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-2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Cycle risk. Budget tech réduit 2026 possible.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SaaS flexible pricing (payment plans). Focus ROI rapide. De-risk models.</w:t>
            </w:r>
          </w:p>
        </w:tc>
      </w:tr>
      <w:tr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4"/>
              </w:rPr>
              <w:t>Consolidation Marché (M&amp;A Wave Agritech)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15+ acquisitions agritech 2022-2025. Netafim acquiert 3 startups/an. Vague consolidation Q3-Q4 2026.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2-3 compétiteurs acquired 2026-2027 • Reshuffles compétitif landscape • Acquisition offer possible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MOYEN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sz w:val="14"/>
              </w:rPr>
              <w:t>MODÉRÉE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center"/>
            </w:pPr>
            <w:r>
              <w:rPr>
                <w:b/>
                <w:sz w:val="14"/>
              </w:rPr>
              <w:t>-2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M&amp;A wave reshuffles marché. Acquisition opportunity vs independence.</w:t>
            </w:r>
          </w:p>
        </w:tc>
        <w:tc>
          <w:tcPr>
            <w:tcW w:type="dxa" w:w="1259"/>
            <w:shd w:fill="FADBD8"/>
          </w:tcPr>
          <w:p>
            <w:pPr>
              <w:spacing w:line="240" w:lineRule="auto" w:after="40"/>
              <w:jc w:val="left"/>
            </w:pPr>
            <w:r>
              <w:rPr>
                <w:sz w:val="14"/>
              </w:rPr>
              <w:t>Rester attractif target (growth, compliance). Board discussions Q4 2026.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SYNTHÈSE &amp; STATISTIQUES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  <w:gridCol w:w="2266"/>
      </w:tblGrid>
      <w:tr>
        <w:tc>
          <w:tcPr>
            <w:tcW w:type="dxa" w:w="226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26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Facteurs</w:t>
            </w:r>
          </w:p>
        </w:tc>
        <w:tc>
          <w:tcPr>
            <w:tcW w:type="dxa" w:w="226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 Moy</w:t>
            </w:r>
          </w:p>
        </w:tc>
        <w:tc>
          <w:tcPr>
            <w:tcW w:type="dxa" w:w="226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Total</w:t>
            </w:r>
          </w:p>
        </w:tc>
        <w:tc>
          <w:tcPr>
            <w:tcW w:type="dxa" w:w="226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Évaluation</w:t>
            </w:r>
          </w:p>
        </w:tc>
      </w:tr>
      <w:tr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🟢 FORCES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TRÈS HAUT/HAUT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+18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✅ Excellente base</w:t>
            </w:r>
          </w:p>
        </w:tc>
      </w:tr>
      <w:tr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🔴 FAIBLESSES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MOYEN-HAUT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-14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⚠️ Manageable</w:t>
            </w:r>
          </w:p>
        </w:tc>
      </w:tr>
      <w:tr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🟢 OPPORTUNITÉS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TRÈS FORT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+21</w:t>
            </w:r>
          </w:p>
        </w:tc>
        <w:tc>
          <w:tcPr>
            <w:tcW w:type="dxa" w:w="2266"/>
            <w:shd w:fill="E8F8F5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</w:tr>
      <w:tr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🔴 MENACES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HAUT/MOYEN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-11</w:t>
            </w:r>
          </w:p>
        </w:tc>
        <w:tc>
          <w:tcPr>
            <w:tcW w:type="dxa" w:w="2266"/>
            <w:shd w:fill="FADBD8"/>
          </w:tcPr>
          <w:p>
            <w:pPr>
              <w:jc w:val="center"/>
            </w:pPr>
            <w:r>
              <w:rPr>
                <w:sz w:val="18"/>
              </w:rPr>
              <w:t>⚠️ Mitigable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📊 TOTAL NET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MIXED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+14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✅ POSITIF</w:t>
            </w:r>
          </w:p>
        </w:tc>
      </w:tr>
      <w:tr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🎯 RATIO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Opp vs Menaces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+21 vs -11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1.91x</w:t>
            </w:r>
          </w:p>
        </w:tc>
        <w:tc>
          <w:tcPr>
            <w:tcW w:type="dxa" w:w="226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GO MARKET</w:t>
            </w:r>
          </w:p>
        </w:tc>
      </w:tr>
    </w:tbl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VERDICT FINAL &amp; RECOMMANDATIONS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FDEBD0"/>
          </w:tcPr>
          <w:p>
            <w:r>
              <w:rPr>
                <w:b/>
                <w:color w:val="27AE60"/>
                <w:sz w:val="20"/>
              </w:rPr>
              <w:t>✅ VERDICT: POSITIF NET - SCORE +14 (Opportunités 21 &gt; Menaces 11)</w:t>
              <w:br/>
              <w:br/>
              <w:t>• Ratio Opp/Menaces: 1.91x FAVORABLE</w:t>
              <w:br/>
              <w:t>• Forces (18 pts) + Faiblesses (-14 pts) = NET +4 interne</w:t>
              <w:br/>
              <w:t>• Contexte externe très favorable (eau, CAP, coopératives)</w:t>
              <w:br/>
              <w:t>• Aucune menace existentielle bloquante</w:t>
              <w:br/>
              <w:br/>
              <w:t>🎯 RECOMMANDATION: GO-TO-MARKET OFFENSIVE Q1-Q2 2026</w:t>
              <w:br/>
              <w:br/>
              <w:t>Actions Prioritaires Q1-Q2:</w:t>
              <w:br/>
              <w:t>1. Coopératives partnerships (5 signatures prioritaires)</w:t>
              <w:br/>
              <w:t>2. CAP subvention marketing campaign (testimonials, ROI calculator)</w:t>
              <w:br/>
              <w:t>3. Series A financement (target 2M€, leverager SWOT favorable)</w:t>
              <w:br/>
              <w:t>4. Équipe scaling (support +3, sales +2, product +1 FTE)</w:t>
              <w:br/>
              <w:t>5. Strategize exit 2027-2029 (build attractiveness acquisition)</w:t>
            </w:r>
          </w:p>
        </w:tc>
      </w:tr>
    </w:tbl>
    <w:sectPr w:rsidR="00FC693F" w:rsidRPr="0006063C" w:rsidSect="00034616">
      <w:pgSz w:w="12240" w:h="15840"/>
      <w:pgMar w:top="680" w:right="454" w:bottom="68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