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Times New Roman" w:hAnsi="Times New Roman"/>
          <w:b/>
          <w:sz w:val="32"/>
        </w:rPr>
        <w:t>RAPPORT MARKETING STRATEGIQUE</w:t>
        <w:br/>
        <w:t>WATERSENSE 2026</w:t>
      </w:r>
    </w:p>
    <w:p/>
    <w:p/>
    <w:p/>
    <w:p/>
    <w:p/>
    <w:p/>
    <w:p>
      <w:pPr>
        <w:jc w:val="center"/>
      </w:pPr>
      <w:r>
        <w:rPr>
          <w:rFonts w:ascii="Times New Roman" w:hAnsi="Times New Roman"/>
          <w:sz w:val="22"/>
        </w:rPr>
        <w:t>Plateforme Intelligente de Gestion de l'Irrigation Agricole</w:t>
        <w:br/>
        <w:t>Plan Marketing Annuel | Document Confidentiel</w:t>
      </w:r>
    </w:p>
    <w:p>
      <w:r>
        <w:br w:type="page"/>
      </w:r>
    </w:p>
    <w:p>
      <w:pPr>
        <w:pStyle w:val="Heading1"/>
      </w:pPr>
      <w:r>
        <w:rPr>
          <w:rFonts w:ascii="Times New Roman" w:hAnsi="Times New Roman"/>
        </w:rPr>
        <w:t>TABLE DES MATIERES</w:t>
      </w:r>
    </w:p>
    <w:p>
      <w:pPr>
        <w:ind w:left="432"/>
      </w:pPr>
      <w:r>
        <w:rPr>
          <w:rFonts w:ascii="Times New Roman" w:hAnsi="Times New Roman"/>
        </w:rPr>
        <w:t>1. Introduction et Contexte</w:t>
      </w:r>
    </w:p>
    <w:p>
      <w:pPr>
        <w:ind w:left="432"/>
      </w:pPr>
      <w:r>
        <w:rPr>
          <w:rFonts w:ascii="Times New Roman" w:hAnsi="Times New Roman"/>
        </w:rPr>
        <w:t>2. Analyse de Situation Strategique</w:t>
      </w:r>
    </w:p>
    <w:p>
      <w:pPr>
        <w:ind w:left="432"/>
      </w:pPr>
      <w:r>
        <w:rPr>
          <w:rFonts w:ascii="Times New Roman" w:hAnsi="Times New Roman"/>
        </w:rPr>
        <w:t>3. Analyse PESTEL</w:t>
      </w:r>
    </w:p>
    <w:p>
      <w:pPr>
        <w:ind w:left="432"/>
      </w:pPr>
      <w:r>
        <w:rPr>
          <w:rFonts w:ascii="Times New Roman" w:hAnsi="Times New Roman"/>
        </w:rPr>
        <w:t>4. Analyse Competitive</w:t>
      </w:r>
    </w:p>
    <w:p>
      <w:pPr>
        <w:ind w:left="432"/>
      </w:pPr>
      <w:r>
        <w:rPr>
          <w:rFonts w:ascii="Times New Roman" w:hAnsi="Times New Roman"/>
        </w:rPr>
        <w:t>5. Segmentation du Marche</w:t>
      </w:r>
    </w:p>
    <w:p>
      <w:pPr>
        <w:ind w:left="432"/>
      </w:pPr>
      <w:r>
        <w:rPr>
          <w:rFonts w:ascii="Times New Roman" w:hAnsi="Times New Roman"/>
        </w:rPr>
        <w:t>6. Strategie 4P Detaillee</w:t>
      </w:r>
    </w:p>
    <w:p>
      <w:pPr>
        <w:ind w:left="432"/>
      </w:pPr>
      <w:r>
        <w:rPr>
          <w:rFonts w:ascii="Times New Roman" w:hAnsi="Times New Roman"/>
        </w:rPr>
        <w:t>7. Plan Marketing Operationnel</w:t>
      </w:r>
    </w:p>
    <w:p>
      <w:pPr>
        <w:ind w:left="432"/>
      </w:pPr>
      <w:r>
        <w:rPr>
          <w:rFonts w:ascii="Times New Roman" w:hAnsi="Times New Roman"/>
        </w:rPr>
        <w:t>8. Budget et Ressources</w:t>
      </w:r>
    </w:p>
    <w:p>
      <w:pPr>
        <w:ind w:left="432"/>
      </w:pPr>
      <w:r>
        <w:rPr>
          <w:rFonts w:ascii="Times New Roman" w:hAnsi="Times New Roman"/>
        </w:rPr>
        <w:t>9. Metriques KPI</w:t>
      </w:r>
    </w:p>
    <w:p>
      <w:pPr>
        <w:ind w:left="432"/>
      </w:pPr>
      <w:r>
        <w:rPr>
          <w:rFonts w:ascii="Times New Roman" w:hAnsi="Times New Roman"/>
        </w:rPr>
        <w:t>10. Chronogramme d'Execution</w:t>
      </w:r>
    </w:p>
    <w:p>
      <w:pPr>
        <w:ind w:left="432"/>
      </w:pPr>
      <w:r>
        <w:rPr>
          <w:rFonts w:ascii="Times New Roman" w:hAnsi="Times New Roman"/>
        </w:rPr>
        <w:t>11. Gestion des Risques</w:t>
      </w:r>
    </w:p>
    <w:p>
      <w:pPr>
        <w:ind w:left="432"/>
      </w:pPr>
      <w:r>
        <w:rPr>
          <w:rFonts w:ascii="Times New Roman" w:hAnsi="Times New Roman"/>
        </w:rPr>
        <w:t>12. Conclusion</w:t>
      </w:r>
    </w:p>
    <w:p>
      <w:pPr>
        <w:ind w:left="432"/>
      </w:pPr>
      <w:r>
        <w:rPr>
          <w:rFonts w:ascii="Times New Roman" w:hAnsi="Times New Roman"/>
        </w:rPr>
        <w:t>Annexes</w:t>
      </w:r>
    </w:p>
    <w:p>
      <w:r>
        <w:br w:type="page"/>
      </w:r>
    </w:p>
    <w:p>
      <w:pPr>
        <w:pStyle w:val="Heading1"/>
      </w:pPr>
      <w:r>
        <w:rPr>
          <w:rFonts w:ascii="Times New Roman" w:hAnsi="Times New Roman"/>
        </w:rPr>
        <w:t>1. INTRODUCTION ET CONTEXTE</w:t>
      </w:r>
    </w:p>
    <w:p>
      <w:pPr>
        <w:pStyle w:val="Heading2"/>
      </w:pPr>
      <w:r>
        <w:rPr>
          <w:rFonts w:ascii="Times New Roman" w:hAnsi="Times New Roman"/>
        </w:rPr>
        <w:t>1.1 Objet et objectifs du rapport</w:t>
      </w:r>
    </w:p>
    <w:p>
      <w:r>
        <w:rPr>
          <w:rFonts w:ascii="Times New Roman" w:hAnsi="Times New Roman"/>
        </w:rPr>
        <w:t>Le present rapport constitue le plan marketing strategique et operationnel pour l'annee 2026 de WaterSense. Il definit les orientations commerciales, les tactiques marketing, l'allocation budgetaire et les metriques de succes pour l'introduction de cette plateforme technologique sur le marche francais de l'irrigation agricole.</w:t>
      </w:r>
    </w:p>
    <w:p>
      <w:pPr>
        <w:pStyle w:val="Heading2"/>
      </w:pPr>
      <w:r>
        <w:rPr>
          <w:rFonts w:ascii="Times New Roman" w:hAnsi="Times New Roman"/>
        </w:rPr>
        <w:t>1.2 Contexte economique et agricole</w:t>
      </w:r>
    </w:p>
    <w:p>
      <w:pPr>
        <w:pStyle w:val="ListBullet"/>
      </w:pPr>
      <w:r>
        <w:rPr>
          <w:rFonts w:ascii="Times New Roman" w:hAnsi="Times New Roman"/>
        </w:rPr>
        <w:t>Surface irrigable France : 2,6 millions hectares</w:t>
      </w:r>
    </w:p>
    <w:p>
      <w:pPr>
        <w:pStyle w:val="ListBullet"/>
      </w:pPr>
      <w:r>
        <w:rPr>
          <w:rFonts w:ascii="Times New Roman" w:hAnsi="Times New Roman"/>
        </w:rPr>
        <w:t>Restrictions prefectorales 2024 : 68 departements affectes</w:t>
      </w:r>
    </w:p>
    <w:p>
      <w:pPr>
        <w:pStyle w:val="ListBullet"/>
      </w:pPr>
      <w:r>
        <w:rPr>
          <w:rFonts w:ascii="Times New Roman" w:hAnsi="Times New Roman"/>
        </w:rPr>
        <w:t>Hausse electricite agricole : +145% sur trois ans</w:t>
      </w:r>
    </w:p>
    <w:p>
      <w:pPr>
        <w:pStyle w:val="ListBullet"/>
      </w:pPr>
      <w:r>
        <w:rPr>
          <w:rFonts w:ascii="Times New Roman" w:hAnsi="Times New Roman"/>
        </w:rPr>
        <w:t>Marche technologie irrigation : 340M euros, croissance 22% TCAC</w:t>
      </w:r>
    </w:p>
    <w:p>
      <w:pPr>
        <w:pStyle w:val="ListBullet"/>
      </w:pPr>
      <w:r>
        <w:rPr>
          <w:rFonts w:ascii="Times New Roman" w:hAnsi="Times New Roman"/>
        </w:rPr>
        <w:t>Depenses irrigation : 3,2 milliards euros annuels</w:t>
      </w:r>
    </w:p>
    <w:p>
      <w:pPr>
        <w:pStyle w:val="Heading2"/>
      </w:pPr>
      <w:r>
        <w:rPr>
          <w:rFonts w:ascii="Times New Roman" w:hAnsi="Times New Roman"/>
        </w:rPr>
        <w:t>1.3 Positionnement WaterSense</w:t>
      </w:r>
    </w:p>
    <w:p>
      <w:r>
        <w:rPr>
          <w:rFonts w:ascii="Times New Roman" w:hAnsi="Times New Roman"/>
        </w:rPr>
        <w:t>WaterSense se positionne comme solution integree d'optimisation irrigation combinant capteurs IoT, Edge Computing local, et algorithmes IA proprietaires. Valeur centrale : recommandations prescriptives precises ("irriguer demain 4h15 pour 48 minutes") versus solutions concurrentes descriptives.</w:t>
      </w:r>
    </w:p>
    <w:p>
      <w:r>
        <w:br w:type="page"/>
      </w:r>
    </w:p>
    <w:p>
      <w:pPr>
        <w:pStyle w:val="Heading1"/>
      </w:pPr>
      <w:r>
        <w:rPr>
          <w:rFonts w:ascii="Times New Roman" w:hAnsi="Times New Roman"/>
        </w:rPr>
        <w:t>2. ANALYSE DE SITUATION STRATEGIQUE</w:t>
      </w:r>
    </w:p>
    <w:p>
      <w:pPr>
        <w:pStyle w:val="Heading2"/>
      </w:pPr>
      <w:r>
        <w:rPr>
          <w:rFonts w:ascii="Times New Roman" w:hAnsi="Times New Roman"/>
        </w:rPr>
        <w:t>2.1 Diagnostic du marche</w:t>
      </w:r>
    </w:p>
    <w:tbl>
      <w:tblPr>
        <w:tblStyle w:val="LightGrid"/>
        <w:tblW w:type="auto" w:w="0"/>
        <w:tblLook w:firstColumn="1" w:firstRow="1" w:lastColumn="0" w:lastRow="0" w:noHBand="0" w:noVBand="1" w:val="04A0"/>
      </w:tblPr>
      <w:tblGrid>
        <w:gridCol w:w="2880"/>
        <w:gridCol w:w="2880"/>
        <w:gridCol w:w="2880"/>
      </w:tblGrid>
      <w:tr>
        <w:tc>
          <w:tcPr>
            <w:tcW w:type="dxa" w:w="2880"/>
            <w:shd w:fill="D0CECE"/>
          </w:tcPr>
          <w:p>
            <w:r>
              <w:t>Dimension</w:t>
            </w:r>
          </w:p>
        </w:tc>
        <w:tc>
          <w:tcPr>
            <w:tcW w:type="dxa" w:w="2880"/>
            <w:shd w:fill="D0CECE"/>
          </w:tcPr>
          <w:p>
            <w:r>
              <w:t>Caracteristique</w:t>
            </w:r>
          </w:p>
        </w:tc>
        <w:tc>
          <w:tcPr>
            <w:tcW w:type="dxa" w:w="2880"/>
            <w:shd w:fill="D0CECE"/>
          </w:tcPr>
          <w:p>
            <w:r>
              <w:t>Implication</w:t>
            </w:r>
          </w:p>
        </w:tc>
      </w:tr>
      <w:tr>
        <w:tc>
          <w:tcPr>
            <w:tcW w:type="dxa" w:w="2880"/>
          </w:tcPr>
          <w:p>
            <w:r>
              <w:t>Taille marche</w:t>
            </w:r>
          </w:p>
        </w:tc>
        <w:tc>
          <w:tcPr>
            <w:tcW w:type="dxa" w:w="2880"/>
          </w:tcPr>
          <w:p>
            <w:r>
              <w:t>340M euros 2023, 22% TCAC</w:t>
            </w:r>
          </w:p>
        </w:tc>
        <w:tc>
          <w:tcPr>
            <w:tcW w:type="dxa" w:w="2880"/>
          </w:tcPr>
          <w:p>
            <w:r>
              <w:t>Marche croissance forte</w:t>
            </w:r>
          </w:p>
        </w:tc>
      </w:tr>
      <w:tr>
        <w:tc>
          <w:tcPr>
            <w:tcW w:type="dxa" w:w="2880"/>
          </w:tcPr>
          <w:p>
            <w:r>
              <w:t>Surface cible</w:t>
            </w:r>
          </w:p>
        </w:tc>
        <w:tc>
          <w:tcPr>
            <w:tcW w:type="dxa" w:w="2880"/>
          </w:tcPr>
          <w:p>
            <w:r>
              <w:t>2,6M ha irrigables</w:t>
            </w:r>
          </w:p>
        </w:tc>
        <w:tc>
          <w:tcPr>
            <w:tcW w:type="dxa" w:w="2880"/>
          </w:tcPr>
          <w:p>
            <w:r>
              <w:t>TAM significatif</w:t>
            </w:r>
          </w:p>
        </w:tc>
      </w:tr>
      <w:tr>
        <w:tc>
          <w:tcPr>
            <w:tcW w:type="dxa" w:w="2880"/>
          </w:tcPr>
          <w:p>
            <w:r>
              <w:t>Regulation</w:t>
            </w:r>
          </w:p>
        </w:tc>
        <w:tc>
          <w:tcPr>
            <w:tcW w:type="dxa" w:w="2880"/>
          </w:tcPr>
          <w:p>
            <w:r>
              <w:t>Reduction 20% eau 2030</w:t>
            </w:r>
          </w:p>
        </w:tc>
        <w:tc>
          <w:tcPr>
            <w:tcW w:type="dxa" w:w="2880"/>
          </w:tcPr>
          <w:p>
            <w:r>
              <w:t>Drivers favorables</w:t>
            </w:r>
          </w:p>
        </w:tc>
      </w:tr>
      <w:tr>
        <w:tc>
          <w:tcPr>
            <w:tcW w:type="dxa" w:w="2880"/>
          </w:tcPr>
          <w:p>
            <w:r>
              <w:t>Adoption tech</w:t>
            </w:r>
          </w:p>
        </w:tc>
        <w:tc>
          <w:tcPr>
            <w:tcW w:type="dxa" w:w="2880"/>
          </w:tcPr>
          <w:p>
            <w:r>
              <w:t>+18% digitalisation/an</w:t>
            </w:r>
          </w:p>
        </w:tc>
        <w:tc>
          <w:tcPr>
            <w:tcW w:type="dxa" w:w="2880"/>
          </w:tcPr>
          <w:p>
            <w:r>
              <w:t>Receptif innovations</w:t>
            </w:r>
          </w:p>
        </w:tc>
      </w:tr>
      <w:tr>
        <w:tc>
          <w:tcPr>
            <w:tcW w:type="dxa" w:w="2880"/>
          </w:tcPr>
          <w:p>
            <w:r>
              <w:t>Profitabilite</w:t>
            </w:r>
          </w:p>
        </w:tc>
        <w:tc>
          <w:tcPr>
            <w:tcW w:type="dxa" w:w="2880"/>
          </w:tcPr>
          <w:p>
            <w:r>
              <w:t>Marges compressees</w:t>
            </w:r>
          </w:p>
        </w:tc>
        <w:tc>
          <w:tcPr>
            <w:tcW w:type="dxa" w:w="2880"/>
          </w:tcPr>
          <w:p>
            <w:r>
              <w:t>ROI court terme critere</w:t>
            </w:r>
          </w:p>
        </w:tc>
      </w:tr>
    </w:tbl>
    <w:p>
      <w:pPr>
        <w:pStyle w:val="Heading2"/>
      </w:pPr>
      <w:r>
        <w:rPr>
          <w:rFonts w:ascii="Times New Roman" w:hAnsi="Times New Roman"/>
        </w:rPr>
        <w:t>2.2 Opportunites et defis</w:t>
      </w:r>
    </w:p>
    <w:p>
      <w:pPr>
        <w:pStyle w:val="ListBullet"/>
      </w:pPr>
      <w:r>
        <w:rPr>
          <w:rFonts w:ascii="Times New Roman" w:hAnsi="Times New Roman"/>
        </w:rPr>
        <w:t>Regulation croissante adoption obligatoire 2025-2027</w:t>
      </w:r>
    </w:p>
    <w:p>
      <w:pPr>
        <w:pStyle w:val="ListBullet"/>
      </w:pPr>
      <w:r>
        <w:rPr>
          <w:rFonts w:ascii="Times New Roman" w:hAnsi="Times New Roman"/>
        </w:rPr>
        <w:t>Marche technologie 22% TCAC offrant fenetre favorable</w:t>
      </w:r>
    </w:p>
    <w:p>
      <w:pPr>
        <w:pStyle w:val="ListBullet"/>
      </w:pPr>
      <w:r>
        <w:rPr>
          <w:rFonts w:ascii="Times New Roman" w:hAnsi="Times New Roman"/>
        </w:rPr>
        <w:t>Consolidation cooperatives creant points contact distribution efficaces</w:t>
      </w:r>
    </w:p>
    <w:p>
      <w:pPr>
        <w:pStyle w:val="ListBullet"/>
      </w:pPr>
      <w:r>
        <w:rPr>
          <w:rFonts w:ascii="Times New Roman" w:hAnsi="Times New Roman"/>
        </w:rPr>
        <w:t>Fenetre competitive : leaders peu positiones segment premium</w:t>
      </w:r>
    </w:p>
    <w:p>
      <w:pPr>
        <w:pStyle w:val="ListBullet"/>
      </w:pPr>
      <w:r>
        <w:rPr>
          <w:rFonts w:ascii="Times New Roman" w:hAnsi="Times New Roman"/>
        </w:rPr>
        <w:t>Donnees agronomiques devenant asset strategique</w:t>
      </w:r>
    </w:p>
    <w:p>
      <w:pPr>
        <w:pStyle w:val="ListBullet"/>
      </w:pPr>
      <w:r>
        <w:rPr>
          <w:rFonts w:ascii="Times New Roman" w:hAnsi="Times New Roman"/>
        </w:rPr>
        <w:t>Notoriete marque quasi-nulle</w:t>
      </w:r>
    </w:p>
    <w:p>
      <w:pPr>
        <w:pStyle w:val="ListBullet"/>
      </w:pPr>
      <w:r>
        <w:rPr>
          <w:rFonts w:ascii="Times New Roman" w:hAnsi="Times New Roman"/>
        </w:rPr>
        <w:t>Budget marketing limite 120k-150k euros</w:t>
      </w:r>
    </w:p>
    <w:p>
      <w:pPr>
        <w:pStyle w:val="ListBullet"/>
      </w:pPr>
      <w:r>
        <w:rPr>
          <w:rFonts w:ascii="Times New Roman" w:hAnsi="Times New Roman"/>
        </w:rPr>
        <w:t>Necessites preuves sociales exploitations pilotes</w:t>
      </w:r>
    </w:p>
    <w:p>
      <w:pPr>
        <w:pStyle w:val="ListBullet"/>
      </w:pPr>
      <w:r>
        <w:rPr>
          <w:rFonts w:ascii="Times New Roman" w:hAnsi="Times New Roman"/>
        </w:rPr>
        <w:t>Complexite chaine distribution agricole</w:t>
      </w:r>
    </w:p>
    <w:p>
      <w:pPr>
        <w:pStyle w:val="ListBullet"/>
      </w:pPr>
      <w:r>
        <w:rPr>
          <w:rFonts w:ascii="Times New Roman" w:hAnsi="Times New Roman"/>
        </w:rPr>
        <w:t>Risk perception startup stabilite financiere</w:t>
      </w:r>
    </w:p>
    <w:p>
      <w:pPr>
        <w:pStyle w:val="ListBullet"/>
      </w:pPr>
      <w:r>
        <w:rPr>
          <w:rFonts w:ascii="Times New Roman" w:hAnsi="Times New Roman"/>
        </w:rPr>
        <w:t>Price elasticity complexe agriculteurs</w:t>
      </w:r>
    </w:p>
    <w:p>
      <w:r>
        <w:br w:type="page"/>
      </w:r>
    </w:p>
    <w:p>
      <w:pPr>
        <w:pStyle w:val="Heading1"/>
      </w:pPr>
      <w:r>
        <w:rPr>
          <w:rFonts w:ascii="Times New Roman" w:hAnsi="Times New Roman"/>
        </w:rPr>
        <w:t>3. ANALYSE PESTEL</w:t>
      </w:r>
    </w:p>
    <w:p>
      <w:pPr>
        <w:pStyle w:val="Heading2"/>
      </w:pPr>
      <w:r>
        <w:rPr>
          <w:rFonts w:ascii="Times New Roman" w:hAnsi="Times New Roman"/>
        </w:rPr>
        <w:t>3.1 Facteurs Politiques</w:t>
      </w:r>
    </w:p>
    <w:p>
      <w:r>
        <w:rPr>
          <w:rFonts w:ascii="Times New Roman" w:hAnsi="Times New Roman"/>
        </w:rPr>
        <w:t>Contexte politique francais caracterise par soutien technologies agricoles durables. Plan France 2030 alloue 800M euros digitalisation agricole. PAC 2023-2027 conditionne 10% budgets a efficacite resource.</w:t>
      </w:r>
    </w:p>
    <w:p>
      <w:pPr>
        <w:pStyle w:val="Heading2"/>
      </w:pPr>
      <w:r>
        <w:rPr>
          <w:rFonts w:ascii="Times New Roman" w:hAnsi="Times New Roman"/>
        </w:rPr>
        <w:t>3.2 Facteurs Economiques</w:t>
      </w:r>
    </w:p>
    <w:tbl>
      <w:tblPr>
        <w:tblStyle w:val="Light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Volatilite prix commodites</w:t>
            </w:r>
          </w:p>
        </w:tc>
        <w:tc>
          <w:tcPr>
            <w:tcW w:type="dxa" w:w="4320"/>
          </w:tcPr>
          <w:p>
            <w:r>
              <w:t>Incertitude revenue impact budget</w:t>
            </w:r>
          </w:p>
        </w:tc>
      </w:tr>
      <w:tr>
        <w:tc>
          <w:tcPr>
            <w:tcW w:type="dxa" w:w="4320"/>
          </w:tcPr>
          <w:p>
            <w:r>
              <w:t>Taux interet croissants</w:t>
            </w:r>
          </w:p>
        </w:tc>
        <w:tc>
          <w:tcPr>
            <w:tcW w:type="dxa" w:w="4320"/>
          </w:tcPr>
          <w:p>
            <w:r>
              <w:t>Financement onereux, ROI court terme critere</w:t>
            </w:r>
          </w:p>
        </w:tc>
      </w:tr>
      <w:tr>
        <w:tc>
          <w:tcPr>
            <w:tcW w:type="dxa" w:w="4320"/>
          </w:tcPr>
          <w:p>
            <w:r>
              <w:t>Inflation input</w:t>
            </w:r>
          </w:p>
        </w:tc>
        <w:tc>
          <w:tcPr>
            <w:tcW w:type="dxa" w:w="4320"/>
          </w:tcPr>
          <w:p>
            <w:r>
              <w:t>Compression marge priorite reduction coûts</w:t>
            </w:r>
          </w:p>
        </w:tc>
      </w:tr>
      <w:tr>
        <w:tc>
          <w:tcPr>
            <w:tcW w:type="dxa" w:w="4320"/>
          </w:tcPr>
          <w:p>
            <w:r>
              <w:t>Profitabilite cyclique</w:t>
            </w:r>
          </w:p>
        </w:tc>
        <w:tc>
          <w:tcPr>
            <w:tcW w:type="dxa" w:w="4320"/>
          </w:tcPr>
          <w:p>
            <w:r>
              <w:t>Budget technologie annees fastes uniquement</w:t>
            </w:r>
          </w:p>
        </w:tc>
      </w:tr>
    </w:tbl>
    <w:p>
      <w:pPr>
        <w:pStyle w:val="Heading2"/>
      </w:pPr>
      <w:r>
        <w:rPr>
          <w:rFonts w:ascii="Times New Roman" w:hAnsi="Times New Roman"/>
        </w:rPr>
        <w:t>3.3 Facteurs Socioculturels</w:t>
      </w:r>
    </w:p>
    <w:p>
      <w:pPr>
        <w:pStyle w:val="ListBullet"/>
      </w:pPr>
      <w:r>
        <w:rPr>
          <w:rFonts w:ascii="Times New Roman" w:hAnsi="Times New Roman"/>
        </w:rPr>
        <w:t>Adoption technologie : &lt;45 ans 62% adoption vs &gt;55 ans 28%</w:t>
      </w:r>
    </w:p>
    <w:p>
      <w:pPr>
        <w:pStyle w:val="ListBullet"/>
      </w:pPr>
      <w:r>
        <w:rPr>
          <w:rFonts w:ascii="Times New Roman" w:hAnsi="Times New Roman"/>
        </w:rPr>
        <w:t>Confiance donnees : 26% agriculteurs craignent confidentialite</w:t>
      </w:r>
    </w:p>
    <w:p>
      <w:pPr>
        <w:pStyle w:val="ListBullet"/>
      </w:pPr>
      <w:r>
        <w:rPr>
          <w:rFonts w:ascii="Times New Roman" w:hAnsi="Times New Roman"/>
        </w:rPr>
        <w:t>Sensibilite environnement : +45% 2020-2024 preoccupation hydrique</w:t>
      </w:r>
    </w:p>
    <w:p>
      <w:pPr>
        <w:pStyle w:val="Heading2"/>
      </w:pPr>
      <w:r>
        <w:rPr>
          <w:rFonts w:ascii="Times New Roman" w:hAnsi="Times New Roman"/>
        </w:rPr>
        <w:t>3.4 Facteurs Technologiques</w:t>
      </w:r>
    </w:p>
    <w:p>
      <w:r>
        <w:rPr>
          <w:rFonts w:ascii="Times New Roman" w:hAnsi="Times New Roman"/>
        </w:rPr>
        <w:t>Couverture LoRa/NB-IoT 98% zones rurales. Infrastructure cloud maturite production. Coûts hardware IoT baissent 12% annuellement. Frameworks IA open-source performants.</w:t>
      </w:r>
    </w:p>
    <w:p>
      <w:pPr>
        <w:pStyle w:val="Heading2"/>
      </w:pPr>
      <w:r>
        <w:rPr>
          <w:rFonts w:ascii="Times New Roman" w:hAnsi="Times New Roman"/>
        </w:rPr>
        <w:t>3.5 Facteurs Environnementaux</w:t>
      </w:r>
    </w:p>
    <w:p>
      <w:pPr>
        <w:pStyle w:val="ListBullet"/>
      </w:pPr>
      <w:r>
        <w:rPr>
          <w:rFonts w:ascii="Times New Roman" w:hAnsi="Times New Roman"/>
        </w:rPr>
        <w:t>Secheresses repetees depuis 2020 : centennales annuels</w:t>
      </w:r>
    </w:p>
    <w:p>
      <w:pPr>
        <w:pStyle w:val="ListBullet"/>
      </w:pPr>
      <w:r>
        <w:rPr>
          <w:rFonts w:ascii="Times New Roman" w:hAnsi="Times New Roman"/>
        </w:rPr>
        <w:t>Nappes phratiques baisse 0,5m/an, deficit -60%</w:t>
      </w:r>
    </w:p>
    <w:p>
      <w:pPr>
        <w:pStyle w:val="ListBullet"/>
      </w:pPr>
      <w:r>
        <w:rPr>
          <w:rFonts w:ascii="Times New Roman" w:hAnsi="Times New Roman"/>
        </w:rPr>
        <w:t>Pression eau croissante : demandes villes vs agriculture</w:t>
      </w:r>
    </w:p>
    <w:p>
      <w:pPr>
        <w:pStyle w:val="ListBullet"/>
      </w:pPr>
      <w:r>
        <w:rPr>
          <w:rFonts w:ascii="Times New Roman" w:hAnsi="Times New Roman"/>
        </w:rPr>
        <w:t>Opinion publique pression forte</w:t>
      </w:r>
    </w:p>
    <w:p>
      <w:r>
        <w:br w:type="page"/>
      </w:r>
    </w:p>
    <w:p>
      <w:pPr>
        <w:pStyle w:val="Heading1"/>
      </w:pPr>
      <w:r>
        <w:rPr>
          <w:rFonts w:ascii="Times New Roman" w:hAnsi="Times New Roman"/>
        </w:rPr>
        <w:t>4. ANALYSE COMPETITIVE ET POSITIONNEMENT</w:t>
      </w:r>
    </w:p>
    <w:p>
      <w:pPr>
        <w:pStyle w:val="Heading2"/>
      </w:pPr>
      <w:r>
        <w:rPr>
          <w:rFonts w:ascii="Times New Roman" w:hAnsi="Times New Roman"/>
        </w:rPr>
        <w:t>4.1 Paysage concurrentiel</w:t>
      </w:r>
    </w:p>
    <w:tbl>
      <w:tblPr>
        <w:tblStyle w:val="LightGrid"/>
        <w:tblW w:type="auto" w:w="0"/>
        <w:tblLook w:firstColumn="1" w:firstRow="1" w:lastColumn="0" w:lastRow="0" w:noHBand="0" w:noVBand="1" w:val="04A0"/>
      </w:tblPr>
      <w:tblGrid>
        <w:gridCol w:w="1440"/>
        <w:gridCol w:w="1440"/>
        <w:gridCol w:w="1440"/>
        <w:gridCol w:w="1440"/>
        <w:gridCol w:w="1440"/>
        <w:gridCol w:w="1440"/>
      </w:tblGrid>
      <w:tr>
        <w:tc>
          <w:tcPr>
            <w:tcW w:type="dxa" w:w="1440"/>
            <w:shd w:fill="4472C4"/>
          </w:tcPr>
          <w:p>
            <w:r>
              <w:t>Critere</w:t>
            </w:r>
          </w:p>
        </w:tc>
        <w:tc>
          <w:tcPr>
            <w:tcW w:type="dxa" w:w="1440"/>
            <w:shd w:fill="4472C4"/>
          </w:tcPr>
          <w:p>
            <w:r>
              <w:t>AGCO</w:t>
            </w:r>
          </w:p>
        </w:tc>
        <w:tc>
          <w:tcPr>
            <w:tcW w:type="dxa" w:w="1440"/>
            <w:shd w:fill="4472C4"/>
          </w:tcPr>
          <w:p>
            <w:r>
              <w:t>Raven</w:t>
            </w:r>
          </w:p>
        </w:tc>
        <w:tc>
          <w:tcPr>
            <w:tcW w:type="dxa" w:w="1440"/>
            <w:shd w:fill="4472C4"/>
          </w:tcPr>
          <w:p>
            <w:r>
              <w:t>SoilMate</w:t>
            </w:r>
          </w:p>
        </w:tc>
        <w:tc>
          <w:tcPr>
            <w:tcW w:type="dxa" w:w="1440"/>
            <w:shd w:fill="4472C4"/>
          </w:tcPr>
          <w:p>
            <w:r>
              <w:t>Trimble</w:t>
            </w:r>
          </w:p>
        </w:tc>
        <w:tc>
          <w:tcPr>
            <w:tcW w:type="dxa" w:w="1440"/>
            <w:shd w:fill="4472C4"/>
          </w:tcPr>
          <w:p>
            <w:r>
              <w:t>WaterSense</w:t>
            </w:r>
          </w:p>
        </w:tc>
      </w:tr>
      <w:tr>
        <w:tc>
          <w:tcPr>
            <w:tcW w:type="dxa" w:w="1440"/>
          </w:tcPr>
          <w:p>
            <w:r>
              <w:t>Prix/an</w:t>
            </w:r>
          </w:p>
        </w:tc>
        <w:tc>
          <w:tcPr>
            <w:tcW w:type="dxa" w:w="1440"/>
          </w:tcPr>
          <w:p>
            <w:r>
              <w:t>8500</w:t>
            </w:r>
          </w:p>
        </w:tc>
        <w:tc>
          <w:tcPr>
            <w:tcW w:type="dxa" w:w="1440"/>
          </w:tcPr>
          <w:p>
            <w:r>
              <w:t>7200</w:t>
            </w:r>
          </w:p>
        </w:tc>
        <w:tc>
          <w:tcPr>
            <w:tcW w:type="dxa" w:w="1440"/>
          </w:tcPr>
          <w:p>
            <w:r>
              <w:t>2900</w:t>
            </w:r>
          </w:p>
        </w:tc>
        <w:tc>
          <w:tcPr>
            <w:tcW w:type="dxa" w:w="1440"/>
          </w:tcPr>
          <w:p>
            <w:r>
              <w:t>6500</w:t>
            </w:r>
          </w:p>
        </w:tc>
        <w:tc>
          <w:tcPr>
            <w:tcW w:type="dxa" w:w="1440"/>
          </w:tcPr>
          <w:p>
            <w:r>
              <w:t>4200</w:t>
            </w:r>
          </w:p>
        </w:tc>
      </w:tr>
      <w:tr>
        <w:tc>
          <w:tcPr>
            <w:tcW w:type="dxa" w:w="1440"/>
          </w:tcPr>
          <w:p>
            <w:r>
              <w:t>IA Prescriptive</w:t>
            </w:r>
          </w:p>
        </w:tc>
        <w:tc>
          <w:tcPr>
            <w:tcW w:type="dxa" w:w="1440"/>
          </w:tcPr>
          <w:p>
            <w:r>
              <w:t>Non</w:t>
            </w:r>
          </w:p>
        </w:tc>
        <w:tc>
          <w:tcPr>
            <w:tcW w:type="dxa" w:w="1440"/>
          </w:tcPr>
          <w:p>
            <w:r>
              <w:t>Non</w:t>
            </w:r>
          </w:p>
        </w:tc>
        <w:tc>
          <w:tcPr>
            <w:tcW w:type="dxa" w:w="1440"/>
          </w:tcPr>
          <w:p>
            <w:r>
              <w:t>Non</w:t>
            </w:r>
          </w:p>
        </w:tc>
        <w:tc>
          <w:tcPr>
            <w:tcW w:type="dxa" w:w="1440"/>
          </w:tcPr>
          <w:p>
            <w:r>
              <w:t>Non</w:t>
            </w:r>
          </w:p>
        </w:tc>
        <w:tc>
          <w:tcPr>
            <w:tcW w:type="dxa" w:w="1440"/>
          </w:tcPr>
          <w:p>
            <w:r>
              <w:t>Oui</w:t>
            </w:r>
          </w:p>
        </w:tc>
      </w:tr>
      <w:tr>
        <w:tc>
          <w:tcPr>
            <w:tcW w:type="dxa" w:w="1440"/>
          </w:tcPr>
          <w:p>
            <w:r>
              <w:t>Support France</w:t>
            </w:r>
          </w:p>
        </w:tc>
        <w:tc>
          <w:tcPr>
            <w:tcW w:type="dxa" w:w="1440"/>
          </w:tcPr>
          <w:p>
            <w:r>
              <w:t>Limite</w:t>
            </w:r>
          </w:p>
        </w:tc>
        <w:tc>
          <w:tcPr>
            <w:tcW w:type="dxa" w:w="1440"/>
          </w:tcPr>
          <w:p>
            <w:r>
              <w:t>Bon</w:t>
            </w:r>
          </w:p>
        </w:tc>
        <w:tc>
          <w:tcPr>
            <w:tcW w:type="dxa" w:w="1440"/>
          </w:tcPr>
          <w:p>
            <w:r>
              <w:t>Excel</w:t>
            </w:r>
          </w:p>
        </w:tc>
        <w:tc>
          <w:tcPr>
            <w:tcW w:type="dxa" w:w="1440"/>
          </w:tcPr>
          <w:p>
            <w:r>
              <w:t>Moyen</w:t>
            </w:r>
          </w:p>
        </w:tc>
        <w:tc>
          <w:tcPr>
            <w:tcW w:type="dxa" w:w="1440"/>
          </w:tcPr>
          <w:p>
            <w:r>
              <w:t>Excel</w:t>
            </w:r>
          </w:p>
        </w:tc>
      </w:tr>
      <w:tr>
        <w:tc>
          <w:tcPr>
            <w:tcW w:type="dxa" w:w="1440"/>
          </w:tcPr>
          <w:p>
            <w:r>
              <w:t>Edge Computing</w:t>
            </w:r>
          </w:p>
        </w:tc>
        <w:tc>
          <w:tcPr>
            <w:tcW w:type="dxa" w:w="1440"/>
          </w:tcPr>
          <w:p>
            <w:r>
              <w:t>Non</w:t>
            </w:r>
          </w:p>
        </w:tc>
        <w:tc>
          <w:tcPr>
            <w:tcW w:type="dxa" w:w="1440"/>
          </w:tcPr>
          <w:p>
            <w:r>
              <w:t>Non</w:t>
            </w:r>
          </w:p>
        </w:tc>
        <w:tc>
          <w:tcPr>
            <w:tcW w:type="dxa" w:w="1440"/>
          </w:tcPr>
          <w:p>
            <w:r>
              <w:t>Non</w:t>
            </w:r>
          </w:p>
        </w:tc>
        <w:tc>
          <w:tcPr>
            <w:tcW w:type="dxa" w:w="1440"/>
          </w:tcPr>
          <w:p>
            <w:r>
              <w:t>Non</w:t>
            </w:r>
          </w:p>
        </w:tc>
        <w:tc>
          <w:tcPr>
            <w:tcW w:type="dxa" w:w="1440"/>
          </w:tcPr>
          <w:p>
            <w:r>
              <w:t>Oui</w:t>
            </w:r>
          </w:p>
        </w:tc>
      </w:tr>
      <w:tr>
        <w:tc>
          <w:tcPr>
            <w:tcW w:type="dxa" w:w="1440"/>
          </w:tcPr>
          <w:p>
            <w:r>
              <w:t>Market Share</w:t>
            </w:r>
          </w:p>
        </w:tc>
        <w:tc>
          <w:tcPr>
            <w:tcW w:type="dxa" w:w="1440"/>
          </w:tcPr>
          <w:p>
            <w:r>
              <w:t>28%</w:t>
            </w:r>
          </w:p>
        </w:tc>
        <w:tc>
          <w:tcPr>
            <w:tcW w:type="dxa" w:w="1440"/>
          </w:tcPr>
          <w:p>
            <w:r>
              <w:t>22%</w:t>
            </w:r>
          </w:p>
        </w:tc>
        <w:tc>
          <w:tcPr>
            <w:tcW w:type="dxa" w:w="1440"/>
          </w:tcPr>
          <w:p>
            <w:r>
              <w:t>12%</w:t>
            </w:r>
          </w:p>
        </w:tc>
        <w:tc>
          <w:tcPr>
            <w:tcW w:type="dxa" w:w="1440"/>
          </w:tcPr>
          <w:p>
            <w:r>
              <w:t>5%</w:t>
            </w:r>
          </w:p>
        </w:tc>
        <w:tc>
          <w:tcPr>
            <w:tcW w:type="dxa" w:w="1440"/>
          </w:tcPr>
          <w:p>
            <w:r>
              <w:t>0%</w:t>
            </w:r>
          </w:p>
        </w:tc>
      </w:tr>
    </w:tbl>
    <w:p>
      <w:pPr>
        <w:pStyle w:val="Heading2"/>
      </w:pPr>
      <w:r>
        <w:rPr>
          <w:rFonts w:ascii="Times New Roman" w:hAnsi="Times New Roman"/>
        </w:rPr>
        <w:t>4.2 Forces Competitives (Porter)</w:t>
      </w:r>
    </w:p>
    <w:tbl>
      <w:tblPr>
        <w:tblStyle w:val="Light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Rivalite existants</w:t>
            </w:r>
          </w:p>
        </w:tc>
        <w:tc>
          <w:tcPr>
            <w:tcW w:type="dxa" w:w="4320"/>
          </w:tcPr>
          <w:p>
            <w:r>
              <w:t>MODEREE-FORTE : 6 joueurs, diferente faible</w:t>
            </w:r>
          </w:p>
        </w:tc>
      </w:tr>
      <w:tr>
        <w:tc>
          <w:tcPr>
            <w:tcW w:type="dxa" w:w="4320"/>
          </w:tcPr>
          <w:p>
            <w:r>
              <w:t>Menace entrants</w:t>
            </w:r>
          </w:p>
        </w:tc>
        <w:tc>
          <w:tcPr>
            <w:tcW w:type="dxa" w:w="4320"/>
          </w:tcPr>
          <w:p>
            <w:r>
              <w:t>MODEREE : Brevet 12-18 mois, capital 500k min</w:t>
            </w:r>
          </w:p>
        </w:tc>
      </w:tr>
      <w:tr>
        <w:tc>
          <w:tcPr>
            <w:tcW w:type="dxa" w:w="4320"/>
          </w:tcPr>
          <w:p>
            <w:r>
              <w:t>Pouvoir fournisseurs</w:t>
            </w:r>
          </w:p>
        </w:tc>
        <w:tc>
          <w:tcPr>
            <w:tcW w:type="dxa" w:w="4320"/>
          </w:tcPr>
          <w:p>
            <w:r>
              <w:t>FAIBLE : Hardware multiples, coûts decroissants</w:t>
            </w:r>
          </w:p>
        </w:tc>
      </w:tr>
      <w:tr>
        <w:tc>
          <w:tcPr>
            <w:tcW w:type="dxa" w:w="4320"/>
          </w:tcPr>
          <w:p>
            <w:r>
              <w:t>Pouvoir clients</w:t>
            </w:r>
          </w:p>
        </w:tc>
        <w:tc>
          <w:tcPr>
            <w:tcW w:type="dxa" w:w="4320"/>
          </w:tcPr>
          <w:p>
            <w:r>
              <w:t>FORTE : Price-sensitive, ROI court terme</w:t>
            </w:r>
          </w:p>
        </w:tc>
      </w:tr>
      <w:tr>
        <w:tc>
          <w:tcPr>
            <w:tcW w:type="dxa" w:w="4320"/>
          </w:tcPr>
          <w:p>
            <w:r>
              <w:t>Menace substituts</w:t>
            </w:r>
          </w:p>
        </w:tc>
        <w:tc>
          <w:tcPr>
            <w:tcW w:type="dxa" w:w="4320"/>
          </w:tcPr>
          <w:p>
            <w:r>
              <w:t>MODEREE : Optimisation manuelle, drones, satellite</w:t>
            </w:r>
          </w:p>
        </w:tc>
      </w:tr>
    </w:tbl>
    <w:p>
      <w:pPr>
        <w:pStyle w:val="Heading2"/>
      </w:pPr>
      <w:r>
        <w:rPr>
          <w:rFonts w:ascii="Times New Roman" w:hAnsi="Times New Roman"/>
        </w:rPr>
        <w:t>4.3 Positionnement Strategique</w:t>
      </w:r>
    </w:p>
    <w:p>
      <w:r>
        <w:rPr>
          <w:rFonts w:ascii="Times New Roman" w:hAnsi="Times New Roman"/>
        </w:rPr>
        <w:t>WaterSense positionne "Best Value" : performance AGCO (IA prescriptive) a prix SoilMate avec UX native agriculteur. Trois elements differentiation : (1) technologie superieure IA prescriptive seule marche, (2) Edge Computing offline-capable, (3) UX agriculteur versus ingenieur-focused.</w:t>
      </w:r>
    </w:p>
    <w:p>
      <w:r>
        <w:br w:type="page"/>
      </w:r>
    </w:p>
    <w:p>
      <w:pPr>
        <w:pStyle w:val="Heading1"/>
      </w:pPr>
      <w:r>
        <w:rPr>
          <w:rFonts w:ascii="Times New Roman" w:hAnsi="Times New Roman"/>
        </w:rPr>
        <w:t>5. SEGMENTATION DU MARCHE</w:t>
      </w:r>
    </w:p>
    <w:p>
      <w:pPr>
        <w:pStyle w:val="Heading2"/>
      </w:pPr>
      <w:r>
        <w:rPr>
          <w:rFonts w:ascii="Times New Roman" w:hAnsi="Times New Roman"/>
        </w:rPr>
        <w:t>5.1 Segments definis</w:t>
      </w:r>
    </w:p>
    <w:tbl>
      <w:tblPr>
        <w:tblStyle w:val="LightGrid"/>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t>Mais 20-200ha</w:t>
            </w:r>
          </w:p>
        </w:tc>
        <w:tc>
          <w:tcPr>
            <w:tcW w:type="dxa" w:w="1440"/>
          </w:tcPr>
          <w:p>
            <w:r>
              <w:t>28000</w:t>
            </w:r>
          </w:p>
        </w:tc>
        <w:tc>
          <w:tcPr>
            <w:tcW w:type="dxa" w:w="1440"/>
          </w:tcPr>
          <w:p>
            <w:r>
              <w:t>P1</w:t>
            </w:r>
          </w:p>
        </w:tc>
        <w:tc>
          <w:tcPr>
            <w:tcW w:type="dxa" w:w="1440"/>
          </w:tcPr>
          <w:p>
            <w:r>
              <w:t>4-6k</w:t>
            </w:r>
          </w:p>
        </w:tc>
        <w:tc>
          <w:tcPr>
            <w:tcW w:type="dxa" w:w="1440"/>
          </w:tcPr>
          <w:p>
            <w:r>
              <w:t>Direct+Coops</w:t>
            </w:r>
          </w:p>
        </w:tc>
        <w:tc>
          <w:tcPr>
            <w:tcW w:type="dxa" w:w="1440"/>
          </w:tcPr>
          <w:p>
            <w:r>
              <w:t>120-150</w:t>
            </w:r>
          </w:p>
        </w:tc>
      </w:tr>
      <w:tr>
        <w:tc>
          <w:tcPr>
            <w:tcW w:type="dxa" w:w="1440"/>
          </w:tcPr>
          <w:p>
            <w:r>
              <w:t>Fruits/Arbo</w:t>
            </w:r>
          </w:p>
        </w:tc>
        <w:tc>
          <w:tcPr>
            <w:tcW w:type="dxa" w:w="1440"/>
          </w:tcPr>
          <w:p>
            <w:r>
              <w:t>8500</w:t>
            </w:r>
          </w:p>
        </w:tc>
        <w:tc>
          <w:tcPr>
            <w:tcW w:type="dxa" w:w="1440"/>
          </w:tcPr>
          <w:p>
            <w:r>
              <w:t>P1</w:t>
            </w:r>
          </w:p>
        </w:tc>
        <w:tc>
          <w:tcPr>
            <w:tcW w:type="dxa" w:w="1440"/>
          </w:tcPr>
          <w:p>
            <w:r>
              <w:t>6-10k</w:t>
            </w:r>
          </w:p>
        </w:tc>
        <w:tc>
          <w:tcPr>
            <w:tcW w:type="dxa" w:w="1440"/>
          </w:tcPr>
          <w:p>
            <w:r>
              <w:t>Arvalis</w:t>
            </w:r>
          </w:p>
        </w:tc>
        <w:tc>
          <w:tcPr>
            <w:tcW w:type="dxa" w:w="1440"/>
          </w:tcPr>
          <w:p>
            <w:r>
              <w:t>40-50</w:t>
            </w:r>
          </w:p>
        </w:tc>
      </w:tr>
      <w:tr>
        <w:tc>
          <w:tcPr>
            <w:tcW w:type="dxa" w:w="1440"/>
          </w:tcPr>
          <w:p>
            <w:r>
              <w:t>Cooperatives</w:t>
            </w:r>
          </w:p>
        </w:tc>
        <w:tc>
          <w:tcPr>
            <w:tcW w:type="dxa" w:w="1440"/>
          </w:tcPr>
          <w:p>
            <w:r>
              <w:t>2100</w:t>
            </w:r>
          </w:p>
        </w:tc>
        <w:tc>
          <w:tcPr>
            <w:tcW w:type="dxa" w:w="1440"/>
          </w:tcPr>
          <w:p>
            <w:r>
              <w:t>P2</w:t>
            </w:r>
          </w:p>
        </w:tc>
        <w:tc>
          <w:tcPr>
            <w:tcW w:type="dxa" w:w="1440"/>
          </w:tcPr>
          <w:p>
            <w:r>
              <w:t>15-30k</w:t>
            </w:r>
          </w:p>
        </w:tc>
        <w:tc>
          <w:tcPr>
            <w:tcW w:type="dxa" w:w="1440"/>
          </w:tcPr>
          <w:p>
            <w:r>
              <w:t>Direct</w:t>
            </w:r>
          </w:p>
        </w:tc>
        <w:tc>
          <w:tcPr>
            <w:tcW w:type="dxa" w:w="1440"/>
          </w:tcPr>
          <w:p>
            <w:r>
              <w:t>15-20</w:t>
            </w:r>
          </w:p>
        </w:tc>
      </w:tr>
      <w:tr>
        <w:tc>
          <w:tcPr>
            <w:tcW w:type="dxa" w:w="1440"/>
          </w:tcPr>
          <w:p>
            <w:r>
              <w:t>Grandes expl</w:t>
            </w:r>
          </w:p>
        </w:tc>
        <w:tc>
          <w:tcPr>
            <w:tcW w:type="dxa" w:w="1440"/>
          </w:tcPr>
          <w:p>
            <w:r>
              <w:t>4200</w:t>
            </w:r>
          </w:p>
        </w:tc>
        <w:tc>
          <w:tcPr>
            <w:tcW w:type="dxa" w:w="1440"/>
          </w:tcPr>
          <w:p>
            <w:r>
              <w:t>P2</w:t>
            </w:r>
          </w:p>
        </w:tc>
        <w:tc>
          <w:tcPr>
            <w:tcW w:type="dxa" w:w="1440"/>
          </w:tcPr>
          <w:p>
            <w:r>
              <w:t>20-50k</w:t>
            </w:r>
          </w:p>
        </w:tc>
        <w:tc>
          <w:tcPr>
            <w:tcW w:type="dxa" w:w="1440"/>
          </w:tcPr>
          <w:p>
            <w:r>
              <w:t>Distributeurs</w:t>
            </w:r>
          </w:p>
        </w:tc>
        <w:tc>
          <w:tcPr>
            <w:tcW w:type="dxa" w:w="1440"/>
          </w:tcPr>
          <w:p>
            <w:r>
              <w:t>20-30</w:t>
            </w:r>
          </w:p>
        </w:tc>
      </w:tr>
      <w:tr>
        <w:tc>
          <w:tcPr>
            <w:tcW w:type="dxa" w:w="1440"/>
          </w:tcPr>
          <w:p>
            <w:r>
              <w:t>Maraichage</w:t>
            </w:r>
          </w:p>
        </w:tc>
        <w:tc>
          <w:tcPr>
            <w:tcW w:type="dxa" w:w="1440"/>
          </w:tcPr>
          <w:p>
            <w:r>
              <w:t>12000</w:t>
            </w:r>
          </w:p>
        </w:tc>
        <w:tc>
          <w:tcPr>
            <w:tcW w:type="dxa" w:w="1440"/>
          </w:tcPr>
          <w:p>
            <w:r>
              <w:t>P3</w:t>
            </w:r>
          </w:p>
        </w:tc>
        <w:tc>
          <w:tcPr>
            <w:tcW w:type="dxa" w:w="1440"/>
          </w:tcPr>
          <w:p>
            <w:r>
              <w:t>3-5k</w:t>
            </w:r>
          </w:p>
        </w:tc>
        <w:tc>
          <w:tcPr>
            <w:tcW w:type="dxa" w:w="1440"/>
          </w:tcPr>
          <w:p>
            <w:r>
              <w:t>Chambres</w:t>
            </w:r>
          </w:p>
        </w:tc>
        <w:tc>
          <w:tcPr>
            <w:tcW w:type="dxa" w:w="1440"/>
          </w:tcPr>
          <w:p>
            <w:r>
              <w:t>5-10</w:t>
            </w:r>
          </w:p>
        </w:tc>
      </w:tr>
    </w:tbl>
    <w:p>
      <w:pPr>
        <w:pStyle w:val="Heading2"/>
      </w:pPr>
      <w:r>
        <w:rPr>
          <w:rFonts w:ascii="Times New Roman" w:hAnsi="Times New Roman"/>
        </w:rPr>
        <w:t>5.2 Geographie Commerciale</w:t>
      </w:r>
    </w:p>
    <w:tbl>
      <w:tblPr>
        <w:tblStyle w:val="Light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r>
        <w:tc>
          <w:tcPr>
            <w:tcW w:type="dxa" w:w="2160"/>
          </w:tcPr>
          <w:p>
            <w:r>
              <w:t>Nouvelle-Aquitaine</w:t>
            </w:r>
          </w:p>
        </w:tc>
        <w:tc>
          <w:tcPr>
            <w:tcW w:type="dxa" w:w="2160"/>
          </w:tcPr>
          <w:p>
            <w:r>
              <w:t>12 deps</w:t>
            </w:r>
          </w:p>
        </w:tc>
        <w:tc>
          <w:tcPr>
            <w:tcW w:type="dxa" w:w="2160"/>
          </w:tcPr>
          <w:p>
            <w:r>
              <w:t>CRITIQUE</w:t>
            </w:r>
          </w:p>
        </w:tc>
        <w:tc>
          <w:tcPr>
            <w:tcW w:type="dxa" w:w="2160"/>
          </w:tcPr>
          <w:p>
            <w:r>
              <w:t>Sales rep 1 + SMAG</w:t>
            </w:r>
          </w:p>
        </w:tc>
      </w:tr>
      <w:tr>
        <w:tc>
          <w:tcPr>
            <w:tcW w:type="dxa" w:w="2160"/>
          </w:tcPr>
          <w:p>
            <w:r>
              <w:t>Centre-Val Loire</w:t>
            </w:r>
          </w:p>
        </w:tc>
        <w:tc>
          <w:tcPr>
            <w:tcW w:type="dxa" w:w="2160"/>
          </w:tcPr>
          <w:p>
            <w:r>
              <w:t>6 deps</w:t>
            </w:r>
          </w:p>
        </w:tc>
        <w:tc>
          <w:tcPr>
            <w:tcW w:type="dxa" w:w="2160"/>
          </w:tcPr>
          <w:p>
            <w:r>
              <w:t>CRITIQUE</w:t>
            </w:r>
          </w:p>
        </w:tc>
        <w:tc>
          <w:tcPr>
            <w:tcW w:type="dxa" w:w="2160"/>
          </w:tcPr>
          <w:p>
            <w:r>
              <w:t>Sales rep 2</w:t>
            </w:r>
          </w:p>
        </w:tc>
      </w:tr>
      <w:tr>
        <w:tc>
          <w:tcPr>
            <w:tcW w:type="dxa" w:w="2160"/>
          </w:tcPr>
          <w:p>
            <w:r>
              <w:t>Pays Loire</w:t>
            </w:r>
          </w:p>
        </w:tc>
        <w:tc>
          <w:tcPr>
            <w:tcW w:type="dxa" w:w="2160"/>
          </w:tcPr>
          <w:p>
            <w:r>
              <w:t>6 deps</w:t>
            </w:r>
          </w:p>
        </w:tc>
        <w:tc>
          <w:tcPr>
            <w:tcW w:type="dxa" w:w="2160"/>
          </w:tcPr>
          <w:p>
            <w:r>
              <w:t>HAUTE</w:t>
            </w:r>
          </w:p>
        </w:tc>
        <w:tc>
          <w:tcPr>
            <w:tcW w:type="dxa" w:w="2160"/>
          </w:tcPr>
          <w:p>
            <w:r>
              <w:t>Sales rep 3 + Coops</w:t>
            </w:r>
          </w:p>
        </w:tc>
      </w:tr>
      <w:tr>
        <w:tc>
          <w:tcPr>
            <w:tcW w:type="dxa" w:w="2160"/>
          </w:tcPr>
          <w:p>
            <w:r>
              <w:t>PACA</w:t>
            </w:r>
          </w:p>
        </w:tc>
        <w:tc>
          <w:tcPr>
            <w:tcW w:type="dxa" w:w="2160"/>
          </w:tcPr>
          <w:p>
            <w:r>
              <w:t>5 deps</w:t>
            </w:r>
          </w:p>
        </w:tc>
        <w:tc>
          <w:tcPr>
            <w:tcW w:type="dxa" w:w="2160"/>
          </w:tcPr>
          <w:p>
            <w:r>
              <w:t>HAUTE</w:t>
            </w:r>
          </w:p>
        </w:tc>
        <w:tc>
          <w:tcPr>
            <w:tcW w:type="dxa" w:w="2160"/>
          </w:tcPr>
          <w:p>
            <w:r>
              <w:t>Arvalis</w:t>
            </w:r>
          </w:p>
        </w:tc>
      </w:tr>
    </w:tbl>
    <w:p>
      <w:r>
        <w:br w:type="page"/>
      </w:r>
    </w:p>
    <w:p>
      <w:pPr>
        <w:pStyle w:val="Heading1"/>
      </w:pPr>
      <w:r>
        <w:rPr>
          <w:rFonts w:ascii="Times New Roman" w:hAnsi="Times New Roman"/>
        </w:rPr>
        <w:t>6. STRATEGIE MARKETING 4P DETAILLEE</w:t>
      </w:r>
    </w:p>
    <w:p>
      <w:pPr>
        <w:pStyle w:val="Heading2"/>
      </w:pPr>
      <w:r>
        <w:rPr>
          <w:rFonts w:ascii="Times New Roman" w:hAnsi="Times New Roman"/>
        </w:rPr>
        <w:t>6.1 PRODUIT</w:t>
      </w:r>
    </w:p>
    <w:p>
      <w:r>
        <w:rPr>
          <w:rFonts w:ascii="Times New Roman" w:hAnsi="Times New Roman"/>
        </w:rPr>
        <w:t>Architecture modulaire avec 12 capteurs IoT, unit​e Edge Computing locale, plateforme cloud AWS, apps mobiles iOS/Android, interface web. Valeur centrale : recommandations prescriptives precises. Algorithme brevete.</w:t>
      </w:r>
    </w:p>
    <w:tbl>
      <w:tblPr>
        <w:tblStyle w:val="Light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r>
        <w:tc>
          <w:tcPr>
            <w:tcW w:type="dxa" w:w="1728"/>
          </w:tcPr>
          <w:p>
            <w:r>
              <w:t>ESSENTIAL</w:t>
            </w:r>
          </w:p>
        </w:tc>
        <w:tc>
          <w:tcPr>
            <w:tcW w:type="dxa" w:w="1728"/>
          </w:tcPr>
          <w:p>
            <w:r>
              <w:t>8 capteurs</w:t>
            </w:r>
          </w:p>
        </w:tc>
        <w:tc>
          <w:tcPr>
            <w:tcW w:type="dxa" w:w="1728"/>
          </w:tcPr>
          <w:p>
            <w:r>
              <w:t>3200</w:t>
            </w:r>
          </w:p>
        </w:tc>
        <w:tc>
          <w:tcPr>
            <w:tcW w:type="dxa" w:w="1728"/>
          </w:tcPr>
          <w:p>
            <w:r>
              <w:t>Petite expl</w:t>
            </w:r>
          </w:p>
        </w:tc>
        <w:tc>
          <w:tcPr>
            <w:tcW w:type="dxa" w:w="1728"/>
          </w:tcPr>
          <w:p>
            <w:r>
              <w:t>Formation 4h</w:t>
            </w:r>
          </w:p>
        </w:tc>
      </w:tr>
      <w:tr>
        <w:tc>
          <w:tcPr>
            <w:tcW w:type="dxa" w:w="1728"/>
          </w:tcPr>
          <w:p>
            <w:r>
              <w:t>STANDARD</w:t>
            </w:r>
          </w:p>
        </w:tc>
        <w:tc>
          <w:tcPr>
            <w:tcW w:type="dxa" w:w="1728"/>
          </w:tcPr>
          <w:p>
            <w:r>
              <w:t>12 capteurs</w:t>
            </w:r>
          </w:p>
        </w:tc>
        <w:tc>
          <w:tcPr>
            <w:tcW w:type="dxa" w:w="1728"/>
          </w:tcPr>
          <w:p>
            <w:r>
              <w:t>4200</w:t>
            </w:r>
          </w:p>
        </w:tc>
        <w:tc>
          <w:tcPr>
            <w:tcW w:type="dxa" w:w="1728"/>
          </w:tcPr>
          <w:p>
            <w:r>
              <w:t>PME mais</w:t>
            </w:r>
          </w:p>
        </w:tc>
        <w:tc>
          <w:tcPr>
            <w:tcW w:type="dxa" w:w="1728"/>
          </w:tcPr>
          <w:p>
            <w:r>
              <w:t>Formation 8h</w:t>
            </w:r>
          </w:p>
        </w:tc>
      </w:tr>
      <w:tr>
        <w:tc>
          <w:tcPr>
            <w:tcW w:type="dxa" w:w="1728"/>
          </w:tcPr>
          <w:p>
            <w:r>
              <w:t>PREMIUM</w:t>
            </w:r>
          </w:p>
        </w:tc>
        <w:tc>
          <w:tcPr>
            <w:tcW w:type="dxa" w:w="1728"/>
          </w:tcPr>
          <w:p>
            <w:r>
              <w:t>20 capteurs</w:t>
            </w:r>
          </w:p>
        </w:tc>
        <w:tc>
          <w:tcPr>
            <w:tcW w:type="dxa" w:w="1728"/>
          </w:tcPr>
          <w:p>
            <w:r>
              <w:t>6800</w:t>
            </w:r>
          </w:p>
        </w:tc>
        <w:tc>
          <w:tcPr>
            <w:tcW w:type="dxa" w:w="1728"/>
          </w:tcPr>
          <w:p>
            <w:r>
              <w:t>Fruits</w:t>
            </w:r>
          </w:p>
        </w:tc>
        <w:tc>
          <w:tcPr>
            <w:tcW w:type="dxa" w:w="1728"/>
          </w:tcPr>
          <w:p>
            <w:r>
              <w:t>Formation 12h</w:t>
            </w:r>
          </w:p>
        </w:tc>
      </w:tr>
      <w:tr>
        <w:tc>
          <w:tcPr>
            <w:tcW w:type="dxa" w:w="1728"/>
          </w:tcPr>
          <w:p>
            <w:r>
              <w:t>PROFESSIONAL</w:t>
            </w:r>
          </w:p>
        </w:tc>
        <w:tc>
          <w:tcPr>
            <w:tcW w:type="dxa" w:w="1728"/>
          </w:tcPr>
          <w:p>
            <w:r>
              <w:t>30+ capteurs</w:t>
            </w:r>
          </w:p>
        </w:tc>
        <w:tc>
          <w:tcPr>
            <w:tcW w:type="dxa" w:w="1728"/>
          </w:tcPr>
          <w:p>
            <w:r>
              <w:t>9500</w:t>
            </w:r>
          </w:p>
        </w:tc>
        <w:tc>
          <w:tcPr>
            <w:tcW w:type="dxa" w:w="1728"/>
          </w:tcPr>
          <w:p>
            <w:r>
              <w:t>Grandes</w:t>
            </w:r>
          </w:p>
        </w:tc>
        <w:tc>
          <w:tcPr>
            <w:tcW w:type="dxa" w:w="1728"/>
          </w:tcPr>
          <w:p>
            <w:r>
              <w:t>Formation+coaching</w:t>
            </w:r>
          </w:p>
        </w:tc>
      </w:tr>
    </w:tbl>
    <w:p>
      <w:pPr>
        <w:pStyle w:val="Heading2"/>
      </w:pPr>
      <w:r>
        <w:rPr>
          <w:rFonts w:ascii="Times New Roman" w:hAnsi="Times New Roman"/>
        </w:rPr>
        <w:t>6.2 PRIX</w:t>
      </w:r>
    </w:p>
    <w:p>
      <w:r>
        <w:rPr>
          <w:rFonts w:ascii="Times New Roman" w:hAnsi="Times New Roman"/>
        </w:rPr>
        <w:t>Strategie value-based pricing basee quantification economie exploitation type. ROI payback 2.2 mois conservateur.</w:t>
      </w:r>
    </w:p>
    <w:tbl>
      <w:tblPr>
        <w:tblStyle w:val="Light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r>
        <w:tc>
          <w:tcPr>
            <w:tcW w:type="dxa" w:w="2160"/>
          </w:tcPr>
          <w:p>
            <w:r>
              <w:t>Reduction eau 18%</w:t>
            </w:r>
          </w:p>
        </w:tc>
        <w:tc>
          <w:tcPr>
            <w:tcW w:type="dxa" w:w="2160"/>
          </w:tcPr>
          <w:p>
            <w:r>
              <w:t>1300 euros</w:t>
            </w:r>
          </w:p>
        </w:tc>
        <w:tc>
          <w:tcPr>
            <w:tcW w:type="dxa" w:w="2160"/>
          </w:tcPr>
          <w:p>
            <w:r>
              <w:t>4200</w:t>
            </w:r>
          </w:p>
        </w:tc>
        <w:tc>
          <w:tcPr>
            <w:tcW w:type="dxa" w:w="2160"/>
          </w:tcPr>
          <w:p>
            <w:r>
              <w:t>3.2 mois</w:t>
            </w:r>
          </w:p>
        </w:tc>
      </w:tr>
      <w:tr>
        <w:tc>
          <w:tcPr>
            <w:tcW w:type="dxa" w:w="2160"/>
          </w:tcPr>
          <w:p>
            <w:r>
              <w:t>Reduction energie 20%</w:t>
            </w:r>
          </w:p>
        </w:tc>
        <w:tc>
          <w:tcPr>
            <w:tcW w:type="dxa" w:w="2160"/>
          </w:tcPr>
          <w:p>
            <w:r>
              <w:t>360 euros</w:t>
            </w:r>
          </w:p>
        </w:tc>
        <w:tc>
          <w:tcPr>
            <w:tcW w:type="dxa" w:w="2160"/>
          </w:tcPr>
          <w:p>
            <w:r>
              <w:t>4200</w:t>
            </w:r>
          </w:p>
        </w:tc>
        <w:tc>
          <w:tcPr>
            <w:tcW w:type="dxa" w:w="2160"/>
          </w:tcPr>
          <w:p>
            <w:r>
              <w:t>14 mois</w:t>
            </w:r>
          </w:p>
        </w:tc>
      </w:tr>
      <w:tr>
        <w:tc>
          <w:tcPr>
            <w:tcW w:type="dxa" w:w="2160"/>
          </w:tcPr>
          <w:p>
            <w:r>
              <w:t>Augment rendement 8%</w:t>
            </w:r>
          </w:p>
        </w:tc>
        <w:tc>
          <w:tcPr>
            <w:tcW w:type="dxa" w:w="2160"/>
          </w:tcPr>
          <w:p>
            <w:r>
              <w:t>9680 euros</w:t>
            </w:r>
          </w:p>
        </w:tc>
        <w:tc>
          <w:tcPr>
            <w:tcW w:type="dxa" w:w="2160"/>
          </w:tcPr>
          <w:p>
            <w:r>
              <w:t>4200</w:t>
            </w:r>
          </w:p>
        </w:tc>
        <w:tc>
          <w:tcPr>
            <w:tcW w:type="dxa" w:w="2160"/>
          </w:tcPr>
          <w:p>
            <w:r>
              <w:t>5 semaines</w:t>
            </w:r>
          </w:p>
        </w:tc>
      </w:tr>
      <w:tr>
        <w:tc>
          <w:tcPr>
            <w:tcW w:type="dxa" w:w="2160"/>
          </w:tcPr>
          <w:p>
            <w:r>
              <w:t>Mitigation amendes</w:t>
            </w:r>
          </w:p>
        </w:tc>
        <w:tc>
          <w:tcPr>
            <w:tcW w:type="dxa" w:w="2160"/>
          </w:tcPr>
          <w:p>
            <w:r>
              <w:t>6000 euros</w:t>
            </w:r>
          </w:p>
        </w:tc>
        <w:tc>
          <w:tcPr>
            <w:tcW w:type="dxa" w:w="2160"/>
          </w:tcPr>
          <w:p>
            <w:r>
              <w:t>4200</w:t>
            </w:r>
          </w:p>
        </w:tc>
        <w:tc>
          <w:tcPr>
            <w:tcW w:type="dxa" w:w="2160"/>
          </w:tcPr>
          <w:p>
            <w:r>
              <w:t>8 semaines</w:t>
            </w:r>
          </w:p>
        </w:tc>
      </w:tr>
    </w:tbl>
    <w:p>
      <w:pPr>
        <w:pStyle w:val="Heading2"/>
      </w:pPr>
      <w:r>
        <w:rPr>
          <w:rFonts w:ascii="Times New Roman" w:hAnsi="Times New Roman"/>
        </w:rPr>
        <w:t>6.3 DISTRIBUTION</w:t>
      </w:r>
    </w:p>
    <w:tbl>
      <w:tblPr>
        <w:tblStyle w:val="Light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r>
        <w:tc>
          <w:tcPr>
            <w:tcW w:type="dxa" w:w="2160"/>
          </w:tcPr>
          <w:p>
            <w:r>
              <w:t>Direct E-commerce</w:t>
            </w:r>
          </w:p>
        </w:tc>
        <w:tc>
          <w:tcPr>
            <w:tcW w:type="dxa" w:w="2160"/>
          </w:tcPr>
          <w:p>
            <w:r>
              <w:t>watersense-agri.fr</w:t>
            </w:r>
          </w:p>
        </w:tc>
        <w:tc>
          <w:tcPr>
            <w:tcW w:type="dxa" w:w="2160"/>
          </w:tcPr>
          <w:p>
            <w:r>
              <w:t>12-15%</w:t>
            </w:r>
          </w:p>
        </w:tc>
        <w:tc>
          <w:tcPr>
            <w:tcW w:type="dxa" w:w="2160"/>
          </w:tcPr>
          <w:p>
            <w:r>
              <w:t>25% online</w:t>
            </w:r>
          </w:p>
        </w:tc>
      </w:tr>
      <w:tr>
        <w:tc>
          <w:tcPr>
            <w:tcW w:type="dxa" w:w="2160"/>
          </w:tcPr>
          <w:p>
            <w:r>
              <w:t>Direct Vente terrain</w:t>
            </w:r>
          </w:p>
        </w:tc>
        <w:tc>
          <w:tcPr>
            <w:tcW w:type="dxa" w:w="2160"/>
          </w:tcPr>
          <w:p>
            <w:r>
              <w:t>3 commerciaux</w:t>
            </w:r>
          </w:p>
        </w:tc>
        <w:tc>
          <w:tcPr>
            <w:tcW w:type="dxa" w:w="2160"/>
          </w:tcPr>
          <w:p>
            <w:r>
              <w:t>20-25%</w:t>
            </w:r>
          </w:p>
        </w:tc>
        <w:tc>
          <w:tcPr>
            <w:tcW w:type="dxa" w:w="2160"/>
          </w:tcPr>
          <w:p>
            <w:r>
              <w:t>35-40 closures</w:t>
            </w:r>
          </w:p>
        </w:tc>
      </w:tr>
      <w:tr>
        <w:tc>
          <w:tcPr>
            <w:tcW w:type="dxa" w:w="2160"/>
          </w:tcPr>
          <w:p>
            <w:r>
              <w:t>Distributeurs SMAG</w:t>
            </w:r>
          </w:p>
        </w:tc>
        <w:tc>
          <w:tcPr>
            <w:tcW w:type="dxa" w:w="2160"/>
          </w:tcPr>
          <w:p>
            <w:r>
              <w:t>120 points</w:t>
            </w:r>
          </w:p>
        </w:tc>
        <w:tc>
          <w:tcPr>
            <w:tcW w:type="dxa" w:w="2160"/>
          </w:tcPr>
          <w:p>
            <w:r>
              <w:t>15-18%</w:t>
            </w:r>
          </w:p>
        </w:tc>
        <w:tc>
          <w:tcPr>
            <w:tcW w:type="dxa" w:w="2160"/>
          </w:tcPr>
          <w:p>
            <w:r>
              <w:t>200 units</w:t>
            </w:r>
          </w:p>
        </w:tc>
      </w:tr>
      <w:tr>
        <w:tc>
          <w:tcPr>
            <w:tcW w:type="dxa" w:w="2160"/>
          </w:tcPr>
          <w:p>
            <w:r>
              <w:t>Cooperatives (15)</w:t>
            </w:r>
          </w:p>
        </w:tc>
        <w:tc>
          <w:tcPr>
            <w:tcW w:type="dxa" w:w="2160"/>
          </w:tcPr>
          <w:p>
            <w:r>
              <w:t>Reseau coops</w:t>
            </w:r>
          </w:p>
        </w:tc>
        <w:tc>
          <w:tcPr>
            <w:tcW w:type="dxa" w:w="2160"/>
          </w:tcPr>
          <w:p>
            <w:r>
              <w:t>35-40%</w:t>
            </w:r>
          </w:p>
        </w:tc>
        <w:tc>
          <w:tcPr>
            <w:tcW w:type="dxa" w:w="2160"/>
          </w:tcPr>
          <w:p>
            <w:r>
              <w:t>36+ customers</w:t>
            </w:r>
          </w:p>
        </w:tc>
      </w:tr>
    </w:tbl>
    <w:p>
      <w:pPr>
        <w:pStyle w:val="Heading2"/>
      </w:pPr>
      <w:r>
        <w:rPr>
          <w:rFonts w:ascii="Times New Roman" w:hAnsi="Times New Roman"/>
        </w:rPr>
        <w:t>6.4 PROMOTION</w:t>
      </w:r>
    </w:p>
    <w:tbl>
      <w:tblPr>
        <w:tblStyle w:val="Light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r>
        <w:tc>
          <w:tcPr>
            <w:tcW w:type="dxa" w:w="2880"/>
          </w:tcPr>
          <w:p>
            <w:r>
              <w:t>Digital (SEM, SEO, content, social)</w:t>
            </w:r>
          </w:p>
        </w:tc>
        <w:tc>
          <w:tcPr>
            <w:tcW w:type="dxa" w:w="2880"/>
          </w:tcPr>
          <w:p>
            <w:r>
              <w:t>45000</w:t>
            </w:r>
          </w:p>
        </w:tc>
        <w:tc>
          <w:tcPr>
            <w:tcW w:type="dxa" w:w="2880"/>
          </w:tcPr>
          <w:p>
            <w:r>
              <w:t>32%</w:t>
            </w:r>
          </w:p>
        </w:tc>
      </w:tr>
      <w:tr>
        <w:tc>
          <w:tcPr>
            <w:tcW w:type="dxa" w:w="2880"/>
          </w:tcPr>
          <w:p>
            <w:r>
              <w:t>Trade shows et events</w:t>
            </w:r>
          </w:p>
        </w:tc>
        <w:tc>
          <w:tcPr>
            <w:tcW w:type="dxa" w:w="2880"/>
          </w:tcPr>
          <w:p>
            <w:r>
              <w:t>32000</w:t>
            </w:r>
          </w:p>
        </w:tc>
        <w:tc>
          <w:tcPr>
            <w:tcW w:type="dxa" w:w="2880"/>
          </w:tcPr>
          <w:p>
            <w:r>
              <w:t>23%</w:t>
            </w:r>
          </w:p>
        </w:tc>
      </w:tr>
      <w:tr>
        <w:tc>
          <w:tcPr>
            <w:tcW w:type="dxa" w:w="2880"/>
          </w:tcPr>
          <w:p>
            <w:r>
              <w:t>Field trials et demos</w:t>
            </w:r>
          </w:p>
        </w:tc>
        <w:tc>
          <w:tcPr>
            <w:tcW w:type="dxa" w:w="2880"/>
          </w:tcPr>
          <w:p>
            <w:r>
              <w:t>15000</w:t>
            </w:r>
          </w:p>
        </w:tc>
        <w:tc>
          <w:tcPr>
            <w:tcW w:type="dxa" w:w="2880"/>
          </w:tcPr>
          <w:p>
            <w:r>
              <w:t>11%</w:t>
            </w:r>
          </w:p>
        </w:tc>
      </w:tr>
      <w:tr>
        <w:tc>
          <w:tcPr>
            <w:tcW w:type="dxa" w:w="2880"/>
          </w:tcPr>
          <w:p>
            <w:r>
              <w:t>Co-marketing partenaires</w:t>
            </w:r>
          </w:p>
        </w:tc>
        <w:tc>
          <w:tcPr>
            <w:tcW w:type="dxa" w:w="2880"/>
          </w:tcPr>
          <w:p>
            <w:r>
              <w:t>20000</w:t>
            </w:r>
          </w:p>
        </w:tc>
        <w:tc>
          <w:tcPr>
            <w:tcW w:type="dxa" w:w="2880"/>
          </w:tcPr>
          <w:p>
            <w:r>
              <w:t>14%</w:t>
            </w:r>
          </w:p>
        </w:tc>
      </w:tr>
      <w:tr>
        <w:tc>
          <w:tcPr>
            <w:tcW w:type="dxa" w:w="2880"/>
          </w:tcPr>
          <w:p>
            <w:r>
              <w:t>PR et relations medias</w:t>
            </w:r>
          </w:p>
        </w:tc>
        <w:tc>
          <w:tcPr>
            <w:tcW w:type="dxa" w:w="2880"/>
          </w:tcPr>
          <w:p>
            <w:r>
              <w:t>18000</w:t>
            </w:r>
          </w:p>
        </w:tc>
        <w:tc>
          <w:tcPr>
            <w:tcW w:type="dxa" w:w="2880"/>
          </w:tcPr>
          <w:p>
            <w:r>
              <w:t>13%</w:t>
            </w:r>
          </w:p>
        </w:tc>
      </w:tr>
      <w:tr>
        <w:tc>
          <w:tcPr>
            <w:tcW w:type="dxa" w:w="2880"/>
          </w:tcPr>
          <w:p>
            <w:r>
              <w:t>Brand et collateral</w:t>
            </w:r>
          </w:p>
        </w:tc>
        <w:tc>
          <w:tcPr>
            <w:tcW w:type="dxa" w:w="2880"/>
          </w:tcPr>
          <w:p>
            <w:r>
              <w:t>6000</w:t>
            </w:r>
          </w:p>
        </w:tc>
        <w:tc>
          <w:tcPr>
            <w:tcW w:type="dxa" w:w="2880"/>
          </w:tcPr>
          <w:p>
            <w:r>
              <w:t>4%</w:t>
            </w:r>
          </w:p>
        </w:tc>
      </w:tr>
      <w:tr>
        <w:tc>
          <w:tcPr>
            <w:tcW w:type="dxa" w:w="2880"/>
          </w:tcPr>
          <w:p>
            <w:r>
              <w:t>Contingency</w:t>
            </w:r>
          </w:p>
        </w:tc>
        <w:tc>
          <w:tcPr>
            <w:tcW w:type="dxa" w:w="2880"/>
          </w:tcPr>
          <w:p>
            <w:r>
              <w:t>4000</w:t>
            </w:r>
          </w:p>
        </w:tc>
        <w:tc>
          <w:tcPr>
            <w:tcW w:type="dxa" w:w="2880"/>
          </w:tcPr>
          <w:p>
            <w:r>
              <w:t>3%</w:t>
            </w:r>
          </w:p>
        </w:tc>
      </w:tr>
    </w:tbl>
    <w:p>
      <w:r>
        <w:br w:type="page"/>
      </w:r>
    </w:p>
    <w:p>
      <w:pPr>
        <w:pStyle w:val="Heading1"/>
      </w:pPr>
      <w:r>
        <w:rPr>
          <w:rFonts w:ascii="Times New Roman" w:hAnsi="Times New Roman"/>
        </w:rPr>
        <w:t>7. PLAN MARKETING OPERATIONNEL 2026</w:t>
      </w:r>
    </w:p>
    <w:p>
      <w:pPr>
        <w:pStyle w:val="Heading2"/>
      </w:pPr>
      <w:r>
        <w:rPr>
          <w:rFonts w:ascii="Times New Roman" w:hAnsi="Times New Roman"/>
        </w:rPr>
        <w:t>7.1 Strategie Digitale</w:t>
      </w:r>
    </w:p>
    <w:p>
      <w:r>
        <w:rPr>
          <w:rFonts w:ascii="Times New Roman" w:hAnsi="Times New Roman"/>
        </w:rPr>
        <w:t>Strategie digitale trois piliers : (1) Acquisition via e-commerce, SEM, SEO, social, (2) Engagement content marketing, webinars, email, (3) Conversion ROI calculator, case studies.</w:t>
      </w:r>
    </w:p>
    <w:p>
      <w:pPr>
        <w:pStyle w:val="Heading3"/>
      </w:pPr>
      <w:r>
        <w:rPr>
          <w:rFonts w:ascii="Times New Roman" w:hAnsi="Times New Roman"/>
        </w:rPr>
        <w:t>Website et E-commerce</w:t>
      </w:r>
    </w:p>
    <w:p>
      <w:pPr>
        <w:pStyle w:val="ListBullet"/>
      </w:pPr>
      <w:r>
        <w:rPr>
          <w:rFonts w:ascii="Times New Roman" w:hAnsi="Times New Roman"/>
        </w:rPr>
        <w:t>Platform Shopify B2C scaled</w:t>
      </w:r>
    </w:p>
    <w:p>
      <w:pPr>
        <w:pStyle w:val="ListBullet"/>
      </w:pPr>
      <w:r>
        <w:rPr>
          <w:rFonts w:ascii="Times New Roman" w:hAnsi="Times New Roman"/>
        </w:rPr>
        <w:t>Content 50+ pages SEO optimise</w:t>
      </w:r>
    </w:p>
    <w:p>
      <w:pPr>
        <w:pStyle w:val="ListBullet"/>
      </w:pPr>
      <w:r>
        <w:rPr>
          <w:rFonts w:ascii="Times New Roman" w:hAnsi="Times New Roman"/>
        </w:rPr>
        <w:t>Fonctionnalites : ROI calculator, CRM integration</w:t>
      </w:r>
    </w:p>
    <w:p>
      <w:pPr>
        <w:pStyle w:val="ListBullet"/>
      </w:pPr>
      <w:r>
        <w:rPr>
          <w:rFonts w:ascii="Times New Roman" w:hAnsi="Times New Roman"/>
        </w:rPr>
        <w:t>Performance : 15k visitors/mois Y1, 25 sales/mois</w:t>
      </w:r>
    </w:p>
    <w:p>
      <w:pPr>
        <w:pStyle w:val="Heading3"/>
      </w:pPr>
      <w:r>
        <w:rPr>
          <w:rFonts w:ascii="Times New Roman" w:hAnsi="Times New Roman"/>
        </w:rPr>
        <w:t>Search Engine Marketing</w:t>
      </w:r>
    </w:p>
    <w:p>
      <w:r>
        <w:rPr>
          <w:rFonts w:ascii="Times New Roman" w:hAnsi="Times New Roman"/>
        </w:rPr>
        <w:t>Budget Google Ads 45k euros. CPL 25-30 euros, conversion 3-4%, expected 350-400 leads/mois.</w:t>
      </w:r>
    </w:p>
    <w:p>
      <w:pPr>
        <w:pStyle w:val="Heading2"/>
      </w:pPr>
      <w:r>
        <w:rPr>
          <w:rFonts w:ascii="Times New Roman" w:hAnsi="Times New Roman"/>
        </w:rPr>
        <w:t>7.2 Strategie Eventementielle</w:t>
      </w:r>
    </w:p>
    <w:tbl>
      <w:tblPr>
        <w:tblStyle w:val="Light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r>
        <w:tc>
          <w:tcPr>
            <w:tcW w:type="dxa" w:w="1728"/>
          </w:tcPr>
          <w:p>
            <w:r>
              <w:t>SIA Paris</w:t>
            </w:r>
          </w:p>
        </w:tc>
        <w:tc>
          <w:tcPr>
            <w:tcW w:type="dxa" w:w="1728"/>
          </w:tcPr>
          <w:p>
            <w:r>
              <w:t>Feb</w:t>
            </w:r>
          </w:p>
        </w:tc>
        <w:tc>
          <w:tcPr>
            <w:tcW w:type="dxa" w:w="1728"/>
          </w:tcPr>
          <w:p>
            <w:r>
              <w:t>35000 visiteurs</w:t>
            </w:r>
          </w:p>
        </w:tc>
        <w:tc>
          <w:tcPr>
            <w:tcW w:type="dxa" w:w="1728"/>
          </w:tcPr>
          <w:p>
            <w:r>
              <w:t>15000</w:t>
            </w:r>
          </w:p>
        </w:tc>
        <w:tc>
          <w:tcPr>
            <w:tcW w:type="dxa" w:w="1728"/>
          </w:tcPr>
          <w:p>
            <w:r>
              <w:t>400-500 leads</w:t>
            </w:r>
          </w:p>
        </w:tc>
      </w:tr>
      <w:tr>
        <w:tc>
          <w:tcPr>
            <w:tcW w:type="dxa" w:w="1728"/>
          </w:tcPr>
          <w:p>
            <w:r>
              <w:t>Agro Solutions</w:t>
            </w:r>
          </w:p>
        </w:tc>
        <w:tc>
          <w:tcPr>
            <w:tcW w:type="dxa" w:w="1728"/>
          </w:tcPr>
          <w:p>
            <w:r>
              <w:t>March</w:t>
            </w:r>
          </w:p>
        </w:tc>
        <w:tc>
          <w:tcPr>
            <w:tcW w:type="dxa" w:w="1728"/>
          </w:tcPr>
          <w:p>
            <w:r>
              <w:t>25000</w:t>
            </w:r>
          </w:p>
        </w:tc>
        <w:tc>
          <w:tcPr>
            <w:tcW w:type="dxa" w:w="1728"/>
          </w:tcPr>
          <w:p>
            <w:r>
              <w:t>8000</w:t>
            </w:r>
          </w:p>
        </w:tc>
        <w:tc>
          <w:tcPr>
            <w:tcW w:type="dxa" w:w="1728"/>
          </w:tcPr>
          <w:p>
            <w:r>
              <w:t>250-300</w:t>
            </w:r>
          </w:p>
        </w:tc>
      </w:tr>
      <w:tr>
        <w:tc>
          <w:tcPr>
            <w:tcW w:type="dxa" w:w="1728"/>
          </w:tcPr>
          <w:p>
            <w:r>
              <w:t>Webinaires</w:t>
            </w:r>
          </w:p>
        </w:tc>
        <w:tc>
          <w:tcPr>
            <w:tcW w:type="dxa" w:w="1728"/>
          </w:tcPr>
          <w:p>
            <w:r>
              <w:t>Monthly</w:t>
            </w:r>
          </w:p>
        </w:tc>
        <w:tc>
          <w:tcPr>
            <w:tcW w:type="dxa" w:w="1728"/>
          </w:tcPr>
          <w:p>
            <w:r>
              <w:t>200-300</w:t>
            </w:r>
          </w:p>
        </w:tc>
        <w:tc>
          <w:tcPr>
            <w:tcW w:type="dxa" w:w="1728"/>
          </w:tcPr>
          <w:p>
            <w:r>
              <w:t>500/mois</w:t>
            </w:r>
          </w:p>
        </w:tc>
        <w:tc>
          <w:tcPr>
            <w:tcW w:type="dxa" w:w="1728"/>
          </w:tcPr>
          <w:p>
            <w:r>
              <w:t>30-40</w:t>
            </w:r>
          </w:p>
        </w:tc>
      </w:tr>
      <w:tr>
        <w:tc>
          <w:tcPr>
            <w:tcW w:type="dxa" w:w="1728"/>
          </w:tcPr>
          <w:p>
            <w:r>
              <w:t>Demo plots</w:t>
            </w:r>
          </w:p>
        </w:tc>
        <w:tc>
          <w:tcPr>
            <w:tcW w:type="dxa" w:w="1728"/>
          </w:tcPr>
          <w:p>
            <w:r>
              <w:t>May-July</w:t>
            </w:r>
          </w:p>
        </w:tc>
        <w:tc>
          <w:tcPr>
            <w:tcW w:type="dxa" w:w="1728"/>
          </w:tcPr>
          <w:p>
            <w:r>
              <w:t>20-50/site</w:t>
            </w:r>
          </w:p>
        </w:tc>
        <w:tc>
          <w:tcPr>
            <w:tcW w:type="dxa" w:w="1728"/>
          </w:tcPr>
          <w:p>
            <w:r>
              <w:t>15000</w:t>
            </w:r>
          </w:p>
        </w:tc>
        <w:tc>
          <w:tcPr>
            <w:tcW w:type="dxa" w:w="1728"/>
          </w:tcPr>
          <w:p>
            <w:r>
              <w:t>50-100/site</w:t>
            </w:r>
          </w:p>
        </w:tc>
      </w:tr>
      <w:tr>
        <w:tc>
          <w:tcPr>
            <w:tcW w:type="dxa" w:w="1728"/>
          </w:tcPr>
          <w:p>
            <w:r>
              <w:t>Agrinove</w:t>
            </w:r>
          </w:p>
        </w:tc>
        <w:tc>
          <w:tcPr>
            <w:tcW w:type="dxa" w:w="1728"/>
          </w:tcPr>
          <w:p>
            <w:r>
              <w:t>April</w:t>
            </w:r>
          </w:p>
        </w:tc>
        <w:tc>
          <w:tcPr>
            <w:tcW w:type="dxa" w:w="1728"/>
          </w:tcPr>
          <w:p>
            <w:r>
              <w:t>15000</w:t>
            </w:r>
          </w:p>
        </w:tc>
        <w:tc>
          <w:tcPr>
            <w:tcW w:type="dxa" w:w="1728"/>
          </w:tcPr>
          <w:p>
            <w:r>
              <w:t>6000</w:t>
            </w:r>
          </w:p>
        </w:tc>
        <w:tc>
          <w:tcPr>
            <w:tcW w:type="dxa" w:w="1728"/>
          </w:tcPr>
          <w:p>
            <w:r>
              <w:t>150-200</w:t>
            </w:r>
          </w:p>
        </w:tc>
      </w:tr>
    </w:tbl>
    <w:p>
      <w:r>
        <w:br w:type="page"/>
      </w:r>
    </w:p>
    <w:p>
      <w:pPr>
        <w:pStyle w:val="Heading1"/>
      </w:pPr>
      <w:r>
        <w:rPr>
          <w:rFonts w:ascii="Times New Roman" w:hAnsi="Times New Roman"/>
        </w:rPr>
        <w:t>8. BUDGET ET ALLOCATION RESSOURCES</w:t>
      </w:r>
    </w:p>
    <w:p>
      <w:pPr>
        <w:pStyle w:val="Heading2"/>
      </w:pPr>
      <w:r>
        <w:rPr>
          <w:rFonts w:ascii="Times New Roman" w:hAnsi="Times New Roman"/>
        </w:rPr>
        <w:t>8.1 Budget Marketing Global 2026</w:t>
      </w:r>
    </w:p>
    <w:p>
      <w:r>
        <w:rPr>
          <w:rFonts w:ascii="Times New Roman" w:hAnsi="Times New Roman"/>
        </w:rPr>
        <w:t>Budget total marketing 140k euros representant 12% revenue Y1. Allocation ressources canaux high-ROI.</w:t>
      </w:r>
    </w:p>
    <w:p>
      <w:pPr>
        <w:pStyle w:val="Heading2"/>
      </w:pPr>
      <w:r>
        <w:rPr>
          <w:rFonts w:ascii="Times New Roman" w:hAnsi="Times New Roman"/>
        </w:rPr>
        <w:t>8.2 Ressources Operationnelles</w:t>
      </w:r>
    </w:p>
    <w:tbl>
      <w:tblPr>
        <w:tblStyle w:val="Light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r>
        <w:tc>
          <w:tcPr>
            <w:tcW w:type="dxa" w:w="2880"/>
          </w:tcPr>
          <w:p>
            <w:r>
              <w:t>Marketing Director</w:t>
            </w:r>
          </w:p>
        </w:tc>
        <w:tc>
          <w:tcPr>
            <w:tcW w:type="dxa" w:w="2880"/>
          </w:tcPr>
          <w:p>
            <w:r>
              <w:t>Interne FTE</w:t>
            </w:r>
          </w:p>
        </w:tc>
        <w:tc>
          <w:tcPr>
            <w:tcW w:type="dxa" w:w="2880"/>
          </w:tcPr>
          <w:p>
            <w:r>
              <w:t>1.0</w:t>
            </w:r>
          </w:p>
        </w:tc>
      </w:tr>
      <w:tr>
        <w:tc>
          <w:tcPr>
            <w:tcW w:type="dxa" w:w="2880"/>
          </w:tcPr>
          <w:p>
            <w:r>
              <w:t>Digital Specialist</w:t>
            </w:r>
          </w:p>
        </w:tc>
        <w:tc>
          <w:tcPr>
            <w:tcW w:type="dxa" w:w="2880"/>
          </w:tcPr>
          <w:p>
            <w:r>
              <w:t>Interne FTE</w:t>
            </w:r>
          </w:p>
        </w:tc>
        <w:tc>
          <w:tcPr>
            <w:tcW w:type="dxa" w:w="2880"/>
          </w:tcPr>
          <w:p>
            <w:r>
              <w:t>1.0</w:t>
            </w:r>
          </w:p>
        </w:tc>
      </w:tr>
      <w:tr>
        <w:tc>
          <w:tcPr>
            <w:tcW w:type="dxa" w:w="2880"/>
          </w:tcPr>
          <w:p>
            <w:r>
              <w:t>Content/PR Manager</w:t>
            </w:r>
          </w:p>
        </w:tc>
        <w:tc>
          <w:tcPr>
            <w:tcW w:type="dxa" w:w="2880"/>
          </w:tcPr>
          <w:p>
            <w:r>
              <w:t>Interne FTE</w:t>
            </w:r>
          </w:p>
        </w:tc>
        <w:tc>
          <w:tcPr>
            <w:tcW w:type="dxa" w:w="2880"/>
          </w:tcPr>
          <w:p>
            <w:r>
              <w:t>0.5</w:t>
            </w:r>
          </w:p>
        </w:tc>
      </w:tr>
      <w:tr>
        <w:tc>
          <w:tcPr>
            <w:tcW w:type="dxa" w:w="2880"/>
          </w:tcPr>
          <w:p>
            <w:r>
              <w:t>Sales representatives</w:t>
            </w:r>
          </w:p>
        </w:tc>
        <w:tc>
          <w:tcPr>
            <w:tcW w:type="dxa" w:w="2880"/>
          </w:tcPr>
          <w:p>
            <w:r>
              <w:t>Interne FTE</w:t>
            </w:r>
          </w:p>
        </w:tc>
        <w:tc>
          <w:tcPr>
            <w:tcW w:type="dxa" w:w="2880"/>
          </w:tcPr>
          <w:p>
            <w:r>
              <w:t>3.0</w:t>
            </w:r>
          </w:p>
        </w:tc>
      </w:tr>
      <w:tr>
        <w:tc>
          <w:tcPr>
            <w:tcW w:type="dxa" w:w="2880"/>
          </w:tcPr>
          <w:p>
            <w:r>
              <w:t>External agencies</w:t>
            </w:r>
          </w:p>
        </w:tc>
        <w:tc>
          <w:tcPr>
            <w:tcW w:type="dxa" w:w="2880"/>
          </w:tcPr>
          <w:p>
            <w:r>
              <w:t>Externe</w:t>
            </w:r>
          </w:p>
        </w:tc>
        <w:tc>
          <w:tcPr>
            <w:tcW w:type="dxa" w:w="2880"/>
          </w:tcPr>
          <w:p>
            <w:r>
              <w:t>Digital 30k, PR 10k</w:t>
            </w:r>
          </w:p>
        </w:tc>
      </w:tr>
    </w:tbl>
    <w:p>
      <w:r>
        <w:br w:type="page"/>
      </w:r>
    </w:p>
    <w:p>
      <w:pPr>
        <w:pStyle w:val="Heading1"/>
      </w:pPr>
      <w:r>
        <w:rPr>
          <w:rFonts w:ascii="Times New Roman" w:hAnsi="Times New Roman"/>
        </w:rPr>
        <w:t>9. METRIQUES DE PILOTAGE ET KPI</w:t>
      </w:r>
    </w:p>
    <w:p>
      <w:pPr>
        <w:pStyle w:val="Heading2"/>
      </w:pPr>
      <w:r>
        <w:rPr>
          <w:rFonts w:ascii="Times New Roman" w:hAnsi="Times New Roman"/>
        </w:rPr>
        <w:t>9.1 Framework Mesure</w:t>
      </w:r>
    </w:p>
    <w:p>
      <w:r>
        <w:rPr>
          <w:rFonts w:ascii="Times New Roman" w:hAnsi="Times New Roman"/>
        </w:rPr>
        <w:t>Framework KPI approche hierarchisee : KPI upstream (awareness), KPI midstream (conversion), KPI downstream (customer impact).</w:t>
      </w:r>
    </w:p>
    <w:p>
      <w:pPr>
        <w:pStyle w:val="Heading2"/>
      </w:pPr>
      <w:r>
        <w:rPr>
          <w:rFonts w:ascii="Times New Roman" w:hAnsi="Times New Roman"/>
        </w:rPr>
        <w:t>9.2 KPI Commerciaux</w:t>
      </w:r>
    </w:p>
    <w:tbl>
      <w:tblPr>
        <w:tblStyle w:val="Light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r>
        <w:tc>
          <w:tcPr>
            <w:tcW w:type="dxa" w:w="2880"/>
          </w:tcPr>
          <w:p>
            <w:r>
              <w:t>Leads generes annuel</w:t>
            </w:r>
          </w:p>
        </w:tc>
        <w:tc>
          <w:tcPr>
            <w:tcW w:type="dxa" w:w="2880"/>
          </w:tcPr>
          <w:p>
            <w:r>
              <w:t>4000-5000</w:t>
            </w:r>
          </w:p>
        </w:tc>
        <w:tc>
          <w:tcPr>
            <w:tcW w:type="dxa" w:w="2880"/>
          </w:tcPr>
          <w:p>
            <w:r>
              <w:t>Tous canaux</w:t>
            </w:r>
          </w:p>
        </w:tc>
      </w:tr>
      <w:tr>
        <w:tc>
          <w:tcPr>
            <w:tcW w:type="dxa" w:w="2880"/>
          </w:tcPr>
          <w:p>
            <w:r>
              <w:t>Leads qualified</w:t>
            </w:r>
          </w:p>
        </w:tc>
        <w:tc>
          <w:tcPr>
            <w:tcW w:type="dxa" w:w="2880"/>
          </w:tcPr>
          <w:p>
            <w:r>
              <w:t>350-400</w:t>
            </w:r>
          </w:p>
        </w:tc>
        <w:tc>
          <w:tcPr>
            <w:tcW w:type="dxa" w:w="2880"/>
          </w:tcPr>
          <w:p>
            <w:r>
              <w:t>Conversion 8%</w:t>
            </w:r>
          </w:p>
        </w:tc>
      </w:tr>
      <w:tr>
        <w:tc>
          <w:tcPr>
            <w:tcW w:type="dxa" w:w="2880"/>
          </w:tcPr>
          <w:p>
            <w:r>
              <w:t>Customers acquis</w:t>
            </w:r>
          </w:p>
        </w:tc>
        <w:tc>
          <w:tcPr>
            <w:tcW w:type="dxa" w:w="2880"/>
          </w:tcPr>
          <w:p>
            <w:r>
              <w:t>120-150</w:t>
            </w:r>
          </w:p>
        </w:tc>
        <w:tc>
          <w:tcPr>
            <w:tcW w:type="dxa" w:w="2880"/>
          </w:tcPr>
          <w:p>
            <w:r>
              <w:t>Conversion 35%</w:t>
            </w:r>
          </w:p>
        </w:tc>
      </w:tr>
      <w:tr>
        <w:tc>
          <w:tcPr>
            <w:tcW w:type="dxa" w:w="2880"/>
          </w:tcPr>
          <w:p>
            <w:r>
              <w:t>Customer Acquisition Cost</w:t>
            </w:r>
          </w:p>
        </w:tc>
        <w:tc>
          <w:tcPr>
            <w:tcW w:type="dxa" w:w="2880"/>
          </w:tcPr>
          <w:p>
            <w:r>
              <w:t>&lt;600</w:t>
            </w:r>
          </w:p>
        </w:tc>
        <w:tc>
          <w:tcPr>
            <w:tcW w:type="dxa" w:w="2880"/>
          </w:tcPr>
          <w:p>
            <w:r>
              <w:t>Budget/customers</w:t>
            </w:r>
          </w:p>
        </w:tc>
      </w:tr>
      <w:tr>
        <w:tc>
          <w:tcPr>
            <w:tcW w:type="dxa" w:w="2880"/>
          </w:tcPr>
          <w:p>
            <w:r>
              <w:t>Average Selling Price</w:t>
            </w:r>
          </w:p>
        </w:tc>
        <w:tc>
          <w:tcPr>
            <w:tcW w:type="dxa" w:w="2880"/>
          </w:tcPr>
          <w:p>
            <w:r>
              <w:t>4200</w:t>
            </w:r>
          </w:p>
        </w:tc>
        <w:tc>
          <w:tcPr>
            <w:tcW w:type="dxa" w:w="2880"/>
          </w:tcPr>
          <w:p>
            <w:r>
              <w:t>Mix variances</w:t>
            </w:r>
          </w:p>
        </w:tc>
      </w:tr>
      <w:tr>
        <w:tc>
          <w:tcPr>
            <w:tcW w:type="dxa" w:w="2880"/>
          </w:tcPr>
          <w:p>
            <w:r>
              <w:t>Revenue Y1 projected</w:t>
            </w:r>
          </w:p>
        </w:tc>
        <w:tc>
          <w:tcPr>
            <w:tcW w:type="dxa" w:w="2880"/>
          </w:tcPr>
          <w:p>
            <w:r>
              <w:t>504k-630k</w:t>
            </w:r>
          </w:p>
        </w:tc>
        <w:tc>
          <w:tcPr>
            <w:tcW w:type="dxa" w:w="2880"/>
          </w:tcPr>
          <w:p>
            <w:r>
              <w:t>Conservative</w:t>
            </w:r>
          </w:p>
        </w:tc>
      </w:tr>
      <w:tr>
        <w:tc>
          <w:tcPr>
            <w:tcW w:type="dxa" w:w="2880"/>
          </w:tcPr>
          <w:p>
            <w:r>
              <w:t>Net Promoter Score</w:t>
            </w:r>
          </w:p>
        </w:tc>
        <w:tc>
          <w:tcPr>
            <w:tcW w:type="dxa" w:w="2880"/>
          </w:tcPr>
          <w:p>
            <w:r>
              <w:t>&gt;65</w:t>
            </w:r>
          </w:p>
        </w:tc>
        <w:tc>
          <w:tcPr>
            <w:tcW w:type="dxa" w:w="2880"/>
          </w:tcPr>
          <w:p>
            <w:r>
              <w:t>Satisfaction</w:t>
            </w:r>
          </w:p>
        </w:tc>
      </w:tr>
      <w:tr>
        <w:tc>
          <w:tcPr>
            <w:tcW w:type="dxa" w:w="2880"/>
          </w:tcPr>
          <w:p>
            <w:r>
              <w:t>Customer churn Y1</w:t>
            </w:r>
          </w:p>
        </w:tc>
        <w:tc>
          <w:tcPr>
            <w:tcW w:type="dxa" w:w="2880"/>
          </w:tcPr>
          <w:p>
            <w:r>
              <w:t>&lt;5%</w:t>
            </w:r>
          </w:p>
        </w:tc>
        <w:tc>
          <w:tcPr>
            <w:tcW w:type="dxa" w:w="2880"/>
          </w:tcPr>
          <w:p>
            <w:r>
              <w:t>Retention &gt;95%</w:t>
            </w:r>
          </w:p>
        </w:tc>
      </w:tr>
    </w:tbl>
    <w:p>
      <w:r>
        <w:br w:type="page"/>
      </w:r>
    </w:p>
    <w:p>
      <w:pPr>
        <w:pStyle w:val="Heading1"/>
      </w:pPr>
      <w:r>
        <w:rPr>
          <w:rFonts w:ascii="Times New Roman" w:hAnsi="Times New Roman"/>
        </w:rPr>
        <w:t>10. CHRONOGRAMME D'EXECUTION 2026</w:t>
      </w:r>
    </w:p>
    <w:p>
      <w:pPr>
        <w:pStyle w:val="Heading2"/>
      </w:pPr>
      <w:r>
        <w:rPr>
          <w:rFonts w:ascii="Times New Roman" w:hAnsi="Times New Roman"/>
        </w:rPr>
        <w:t>10.1 Plan Trimestriel</w:t>
      </w:r>
    </w:p>
    <w:tbl>
      <w:tblPr>
        <w:tblStyle w:val="Light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r>
        <w:tc>
          <w:tcPr>
            <w:tcW w:type="dxa" w:w="2880"/>
          </w:tcPr>
          <w:p>
            <w:r>
              <w:t>Q1 2026</w:t>
            </w:r>
          </w:p>
        </w:tc>
        <w:tc>
          <w:tcPr>
            <w:tcW w:type="dxa" w:w="2880"/>
          </w:tcPr>
          <w:p>
            <w:r>
              <w:t>Website go-live, Sales recruitment</w:t>
            </w:r>
          </w:p>
        </w:tc>
        <w:tc>
          <w:tcPr>
            <w:tcW w:type="dxa" w:w="2880"/>
          </w:tcPr>
          <w:p>
            <w:r>
              <w:t>20 customers</w:t>
            </w:r>
          </w:p>
        </w:tc>
      </w:tr>
      <w:tr>
        <w:tc>
          <w:tcPr>
            <w:tcW w:type="dxa" w:w="2880"/>
          </w:tcPr>
          <w:p>
            <w:r>
              <w:t>Q2 2026</w:t>
            </w:r>
          </w:p>
        </w:tc>
        <w:tc>
          <w:tcPr>
            <w:tcW w:type="dxa" w:w="2880"/>
          </w:tcPr>
          <w:p>
            <w:r>
              <w:t>Field trials 10 sites, Digital scaling</w:t>
            </w:r>
          </w:p>
        </w:tc>
        <w:tc>
          <w:tcPr>
            <w:tcW w:type="dxa" w:w="2880"/>
          </w:tcPr>
          <w:p>
            <w:r>
              <w:t>300+ leads/mois</w:t>
            </w:r>
          </w:p>
        </w:tc>
      </w:tr>
      <w:tr>
        <w:tc>
          <w:tcPr>
            <w:tcW w:type="dxa" w:w="2880"/>
          </w:tcPr>
          <w:p>
            <w:r>
              <w:t>Q3 2026</w:t>
            </w:r>
          </w:p>
        </w:tc>
        <w:tc>
          <w:tcPr>
            <w:tcW w:type="dxa" w:w="2880"/>
          </w:tcPr>
          <w:p>
            <w:r>
              <w:t>Peak selling, Demo referrals</w:t>
            </w:r>
          </w:p>
        </w:tc>
        <w:tc>
          <w:tcPr>
            <w:tcW w:type="dxa" w:w="2880"/>
          </w:tcPr>
          <w:p>
            <w:r>
              <w:t>400 leads/mois</w:t>
            </w:r>
          </w:p>
        </w:tc>
      </w:tr>
      <w:tr>
        <w:tc>
          <w:tcPr>
            <w:tcW w:type="dxa" w:w="2880"/>
          </w:tcPr>
          <w:p>
            <w:r>
              <w:t>Q4 2026</w:t>
            </w:r>
          </w:p>
        </w:tc>
        <w:tc>
          <w:tcPr>
            <w:tcW w:type="dxa" w:w="2880"/>
          </w:tcPr>
          <w:p>
            <w:r>
              <w:t>Year-end push, Brand campaigns</w:t>
            </w:r>
          </w:p>
        </w:tc>
        <w:tc>
          <w:tcPr>
            <w:tcW w:type="dxa" w:w="2880"/>
          </w:tcPr>
          <w:p>
            <w:r>
              <w:t>120-150 total</w:t>
            </w:r>
          </w:p>
        </w:tc>
      </w:tr>
    </w:tbl>
    <w:p>
      <w:r>
        <w:br w:type="page"/>
      </w:r>
    </w:p>
    <w:p>
      <w:pPr>
        <w:pStyle w:val="Heading1"/>
      </w:pPr>
      <w:r>
        <w:rPr>
          <w:rFonts w:ascii="Times New Roman" w:hAnsi="Times New Roman"/>
        </w:rPr>
        <w:t>11. GESTION DES RISQUES MARKETING</w:t>
      </w:r>
    </w:p>
    <w:p>
      <w:pPr>
        <w:pStyle w:val="Heading2"/>
      </w:pPr>
      <w:r>
        <w:rPr>
          <w:rFonts w:ascii="Times New Roman" w:hAnsi="Times New Roman"/>
        </w:rPr>
        <w:t>11.1 Matrice Risques</w:t>
      </w:r>
    </w:p>
    <w:tbl>
      <w:tblPr>
        <w:tblStyle w:val="Light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r>
        <w:tc>
          <w:tcPr>
            <w:tcW w:type="dxa" w:w="2160"/>
          </w:tcPr>
          <w:p>
            <w:r>
              <w:t>Adoption lente marche</w:t>
            </w:r>
          </w:p>
        </w:tc>
        <w:tc>
          <w:tcPr>
            <w:tcW w:type="dxa" w:w="2160"/>
          </w:tcPr>
          <w:p>
            <w:r>
              <w:t>MOYENNE</w:t>
            </w:r>
          </w:p>
        </w:tc>
        <w:tc>
          <w:tcPr>
            <w:tcW w:type="dxa" w:w="2160"/>
          </w:tcPr>
          <w:p>
            <w:r>
              <w:t>FORT</w:t>
            </w:r>
          </w:p>
        </w:tc>
        <w:tc>
          <w:tcPr>
            <w:tcW w:type="dxa" w:w="2160"/>
          </w:tcPr>
          <w:p>
            <w:r>
              <w:t>Field trials, ROI messaging</w:t>
            </w:r>
          </w:p>
        </w:tc>
      </w:tr>
      <w:tr>
        <w:tc>
          <w:tcPr>
            <w:tcW w:type="dxa" w:w="2160"/>
          </w:tcPr>
          <w:p>
            <w:r>
              <w:t>Concurrence prix agressive</w:t>
            </w:r>
          </w:p>
        </w:tc>
        <w:tc>
          <w:tcPr>
            <w:tcW w:type="dxa" w:w="2160"/>
          </w:tcPr>
          <w:p>
            <w:r>
              <w:t>FORTE</w:t>
            </w:r>
          </w:p>
        </w:tc>
        <w:tc>
          <w:tcPr>
            <w:tcW w:type="dxa" w:w="2160"/>
          </w:tcPr>
          <w:p>
            <w:r>
              <w:t>FORT</w:t>
            </w:r>
          </w:p>
        </w:tc>
        <w:tc>
          <w:tcPr>
            <w:tcW w:type="dxa" w:w="2160"/>
          </w:tcPr>
          <w:p>
            <w:r>
              <w:t>Differentiation UX</w:t>
            </w:r>
          </w:p>
        </w:tc>
      </w:tr>
      <w:tr>
        <w:tc>
          <w:tcPr>
            <w:tcW w:type="dxa" w:w="2160"/>
          </w:tcPr>
          <w:p>
            <w:r>
              <w:t>Market shift satellite</w:t>
            </w:r>
          </w:p>
        </w:tc>
        <w:tc>
          <w:tcPr>
            <w:tcW w:type="dxa" w:w="2160"/>
          </w:tcPr>
          <w:p>
            <w:r>
              <w:t>FAIBLE</w:t>
            </w:r>
          </w:p>
        </w:tc>
        <w:tc>
          <w:tcPr>
            <w:tcW w:type="dxa" w:w="2160"/>
          </w:tcPr>
          <w:p>
            <w:r>
              <w:t>MOYEN</w:t>
            </w:r>
          </w:p>
        </w:tc>
        <w:tc>
          <w:tcPr>
            <w:tcW w:type="dxa" w:w="2160"/>
          </w:tcPr>
          <w:p>
            <w:r>
              <w:t>R&amp;D edge defensibility</w:t>
            </w:r>
          </w:p>
        </w:tc>
      </w:tr>
      <w:tr>
        <w:tc>
          <w:tcPr>
            <w:tcW w:type="dxa" w:w="2160"/>
          </w:tcPr>
          <w:p>
            <w:r>
              <w:t>Restriction eau extreme</w:t>
            </w:r>
          </w:p>
        </w:tc>
        <w:tc>
          <w:tcPr>
            <w:tcW w:type="dxa" w:w="2160"/>
          </w:tcPr>
          <w:p>
            <w:r>
              <w:t>FAIBLE</w:t>
            </w:r>
          </w:p>
        </w:tc>
        <w:tc>
          <w:tcPr>
            <w:tcW w:type="dxa" w:w="2160"/>
          </w:tcPr>
          <w:p>
            <w:r>
              <w:t>CRITIQUE</w:t>
            </w:r>
          </w:p>
        </w:tc>
        <w:tc>
          <w:tcPr>
            <w:tcW w:type="dxa" w:w="2160"/>
          </w:tcPr>
          <w:p>
            <w:r>
              <w:t>Pivot Allemagne/Espagne</w:t>
            </w:r>
          </w:p>
        </w:tc>
      </w:tr>
      <w:tr>
        <w:tc>
          <w:tcPr>
            <w:tcW w:type="dxa" w:w="2160"/>
          </w:tcPr>
          <w:p>
            <w:r>
              <w:t>Partenaire distribution fail</w:t>
            </w:r>
          </w:p>
        </w:tc>
        <w:tc>
          <w:tcPr>
            <w:tcW w:type="dxa" w:w="2160"/>
          </w:tcPr>
          <w:p>
            <w:r>
              <w:t>MOYENNE</w:t>
            </w:r>
          </w:p>
        </w:tc>
        <w:tc>
          <w:tcPr>
            <w:tcW w:type="dxa" w:w="2160"/>
          </w:tcPr>
          <w:p>
            <w:r>
              <w:t>MOYEN</w:t>
            </w:r>
          </w:p>
        </w:tc>
        <w:tc>
          <w:tcPr>
            <w:tcW w:type="dxa" w:w="2160"/>
          </w:tcPr>
          <w:p>
            <w:r>
              <w:t>Diversification direct</w:t>
            </w:r>
          </w:p>
        </w:tc>
      </w:tr>
    </w:tbl>
    <w:p>
      <w:r>
        <w:br w:type="page"/>
      </w:r>
    </w:p>
    <w:p>
      <w:pPr>
        <w:pStyle w:val="Heading1"/>
      </w:pPr>
      <w:r>
        <w:rPr>
          <w:rFonts w:ascii="Times New Roman" w:hAnsi="Times New Roman"/>
        </w:rPr>
        <w:t>12. CONCLUSION ET RECOMMANDATIONS</w:t>
      </w:r>
    </w:p>
    <w:p>
      <w:pPr>
        <w:pStyle w:val="Heading2"/>
      </w:pPr>
      <w:r>
        <w:rPr>
          <w:rFonts w:ascii="Times New Roman" w:hAnsi="Times New Roman"/>
        </w:rPr>
        <w:t>12.1 Synthese</w:t>
      </w:r>
    </w:p>
    <w:p>
      <w:r>
        <w:rPr>
          <w:rFonts w:ascii="Times New Roman" w:hAnsi="Times New Roman"/>
        </w:rPr>
        <w:t>Plan marketing WaterSense 2026 structure approche ambitieuse mais realiste. Targeting segmentation claire, positioning differentiation durable, strategie 4P coherente.</w:t>
      </w:r>
    </w:p>
    <w:p>
      <w:pPr>
        <w:pStyle w:val="Heading2"/>
      </w:pPr>
      <w:r>
        <w:rPr>
          <w:rFonts w:ascii="Times New Roman" w:hAnsi="Times New Roman"/>
        </w:rPr>
        <w:t>12.2 Recommandations Cles</w:t>
      </w:r>
    </w:p>
    <w:p>
      <w:pPr>
        <w:pStyle w:val="ListBullet"/>
      </w:pPr>
      <w:r>
        <w:rPr>
          <w:rFonts w:ascii="Times New Roman" w:hAnsi="Times New Roman"/>
        </w:rPr>
        <w:t>Priorite immediate : Website janvier, SEM campaigns fevrier</w:t>
      </w:r>
    </w:p>
    <w:p>
      <w:pPr>
        <w:pStyle w:val="ListBullet"/>
      </w:pPr>
      <w:r>
        <w:rPr>
          <w:rFonts w:ascii="Times New Roman" w:hAnsi="Times New Roman"/>
        </w:rPr>
        <w:t>Contrats partenaires : avant 31 janvier impératif</w:t>
      </w:r>
    </w:p>
    <w:p>
      <w:pPr>
        <w:pStyle w:val="ListBullet"/>
      </w:pPr>
      <w:r>
        <w:rPr>
          <w:rFonts w:ascii="Times New Roman" w:hAnsi="Times New Roman"/>
        </w:rPr>
        <w:t>Early wins : 20 customers Q1 pour case studies</w:t>
      </w:r>
    </w:p>
    <w:p>
      <w:pPr>
        <w:pStyle w:val="ListBullet"/>
      </w:pPr>
      <w:r>
        <w:rPr>
          <w:rFonts w:ascii="Times New Roman" w:hAnsi="Times New Roman"/>
        </w:rPr>
        <w:t>Messaging discipline : consistency "Arrosez Moins, Gagnez Plus"</w:t>
      </w:r>
    </w:p>
    <w:p>
      <w:pPr>
        <w:pStyle w:val="ListBullet"/>
      </w:pPr>
      <w:r>
        <w:rPr>
          <w:rFonts w:ascii="Times New Roman" w:hAnsi="Times New Roman"/>
        </w:rPr>
        <w:t>Metrics-driven agility : Suivi mensuel KPI</w:t>
      </w:r>
    </w:p>
    <w:p>
      <w:pPr>
        <w:pStyle w:val="ListBullet"/>
      </w:pPr>
      <w:r>
        <w:rPr>
          <w:rFonts w:ascii="Times New Roman" w:hAnsi="Times New Roman"/>
        </w:rPr>
        <w:t>Risk vigilance : Monitor concurrence evolution</w:t>
      </w:r>
    </w:p>
    <w:p>
      <w:pPr>
        <w:pStyle w:val="ListBullet"/>
      </w:pPr>
      <w:r>
        <w:rPr>
          <w:rFonts w:ascii="Times New Roman" w:hAnsi="Times New Roman"/>
        </w:rPr>
        <w:t>Sales incentives : Commission 8% aggressive acquisition</w:t>
      </w:r>
    </w:p>
    <w:p>
      <w:r>
        <w:br w:type="page"/>
      </w:r>
    </w:p>
    <w:p>
      <w:pPr>
        <w:pStyle w:val="Heading1"/>
      </w:pPr>
      <w:r>
        <w:rPr>
          <w:rFonts w:ascii="Times New Roman" w:hAnsi="Times New Roman"/>
        </w:rPr>
        <w:t>ANNEXES</w:t>
      </w:r>
    </w:p>
    <w:p>
      <w:pPr>
        <w:pStyle w:val="Heading2"/>
      </w:pPr>
      <w:r>
        <w:rPr>
          <w:rFonts w:ascii="Times New Roman" w:hAnsi="Times New Roman"/>
        </w:rPr>
        <w:t>ANNEXE A - Segments Clients Detailles</w:t>
      </w:r>
    </w:p>
    <w:p>
      <w:r>
        <w:rPr>
          <w:rFonts w:ascii="Times New Roman" w:hAnsi="Times New Roman"/>
        </w:rPr>
        <w:t>Segment Mais 20-200ha (28000 exploitations). Caracteristiques : exploitation conventionnelle, irrigation intensive, revenus 80-150k. Pain points : hausse coûts energie, restrictions irrigation. Value prop : ROI 2.2 mois.</w:t>
      </w:r>
    </w:p>
    <w:p>
      <w:pPr>
        <w:pStyle w:val="Heading2"/>
      </w:pPr>
      <w:r>
        <w:rPr>
          <w:rFonts w:ascii="Times New Roman" w:hAnsi="Times New Roman"/>
        </w:rPr>
        <w:t>ANNEXE B - Analyse Concurrents</w:t>
      </w:r>
    </w:p>
    <w:p>
      <w:r>
        <w:rPr>
          <w:rFonts w:ascii="Times New Roman" w:hAnsi="Times New Roman"/>
        </w:rPr>
        <w:t>AGCO 28% : Leader, interface complexe, IA descriptive, 8500. RAVEN 22% : Heritage, satellite, 7200. SOILMATE 12% : Budget 2900 mais IA basique. WaterSense : Best Value = AGCO perf @ SoilMate prix.</w:t>
      </w:r>
    </w:p>
    <w:p>
      <w:pPr>
        <w:pStyle w:val="Heading2"/>
      </w:pPr>
      <w:r>
        <w:rPr>
          <w:rFonts w:ascii="Times New Roman" w:hAnsi="Times New Roman"/>
        </w:rPr>
        <w:t>ANNEXE C - ROI Calculator</w:t>
      </w:r>
    </w:p>
    <w:p>
      <w:r>
        <w:rPr>
          <w:rFonts w:ascii="Times New Roman" w:hAnsi="Times New Roman"/>
        </w:rPr>
        <w:t>Exploitation mais 100ha : Investment 4200. Annual returns : eau -18% (10800), energie -20% (1500), rendement +8% (9680). Total 22000. Payback 2.3 mois. 3-year value 66000.</w:t>
      </w:r>
    </w:p>
    <w:p>
      <w:pPr>
        <w:pStyle w:val="Heading2"/>
      </w:pPr>
      <w:r>
        <w:rPr>
          <w:rFonts w:ascii="Times New Roman" w:hAnsi="Times New Roman"/>
        </w:rPr>
        <w:t>ANNEXE D - Dashboard Marketing Mensuel</w:t>
      </w:r>
    </w:p>
    <w:p>
      <w:pPr>
        <w:pStyle w:val="ListBullet"/>
      </w:pPr>
      <w:r>
        <w:rPr>
          <w:rFonts w:ascii="Times New Roman" w:hAnsi="Times New Roman"/>
        </w:rPr>
        <w:t>Leads generes (350-400 target)</w:t>
      </w:r>
    </w:p>
    <w:p>
      <w:pPr>
        <w:pStyle w:val="ListBullet"/>
      </w:pPr>
      <w:r>
        <w:rPr>
          <w:rFonts w:ascii="Times New Roman" w:hAnsi="Times New Roman"/>
        </w:rPr>
        <w:t>Leads qualified (25-30 target)</w:t>
      </w:r>
    </w:p>
    <w:p>
      <w:pPr>
        <w:pStyle w:val="ListBullet"/>
      </w:pPr>
      <w:r>
        <w:rPr>
          <w:rFonts w:ascii="Times New Roman" w:hAnsi="Times New Roman"/>
        </w:rPr>
        <w:t>Demo/trial demandes (8-10 target)</w:t>
      </w:r>
    </w:p>
    <w:p>
      <w:pPr>
        <w:pStyle w:val="ListBullet"/>
      </w:pPr>
      <w:r>
        <w:rPr>
          <w:rFonts w:ascii="Times New Roman" w:hAnsi="Times New Roman"/>
        </w:rPr>
        <w:t>Customers signed (10-12 target)</w:t>
      </w:r>
    </w:p>
    <w:p>
      <w:pPr>
        <w:pStyle w:val="ListBullet"/>
      </w:pPr>
      <w:r>
        <w:rPr>
          <w:rFonts w:ascii="Times New Roman" w:hAnsi="Times New Roman"/>
        </w:rPr>
        <w:t>CAC realise (&lt;600 target)</w:t>
      </w:r>
    </w:p>
    <w:p>
      <w:pPr>
        <w:pStyle w:val="ListBullet"/>
      </w:pPr>
      <w:r>
        <w:rPr>
          <w:rFonts w:ascii="Times New Roman" w:hAnsi="Times New Roman"/>
        </w:rPr>
        <w:t>Website visitors (1500 target)</w:t>
      </w:r>
    </w:p>
    <w:p>
      <w:pPr>
        <w:pStyle w:val="ListBullet"/>
      </w:pPr>
      <w:r>
        <w:rPr>
          <w:rFonts w:ascii="Times New Roman" w:hAnsi="Times New Roman"/>
        </w:rPr>
        <w:t>Email engagement (3-5% target)</w:t>
      </w:r>
    </w:p>
    <w:p>
      <w:pPr>
        <w:pStyle w:val="ListBullet"/>
      </w:pPr>
      <w:r>
        <w:rPr>
          <w:rFonts w:ascii="Times New Roman" w:hAnsi="Times New Roman"/>
        </w:rPr>
        <w:t>Social followers growth (300 target)</w:t>
      </w:r>
    </w:p>
    <w:p>
      <w:pPr>
        <w:pStyle w:val="Heading2"/>
      </w:pPr>
      <w:r>
        <w:rPr>
          <w:rFonts w:ascii="Times New Roman" w:hAnsi="Times New Roman"/>
        </w:rPr>
        <w:t>ANNEXE E - Glossaire Marketing</w:t>
      </w:r>
    </w:p>
    <w:p>
      <w:r>
        <w:rPr>
          <w:rFonts w:ascii="Times New Roman" w:hAnsi="Times New Roman"/>
          <w:b/>
        </w:rPr>
        <w:t xml:space="preserve">TCAC : </w:t>
      </w:r>
      <w:r>
        <w:rPr>
          <w:rFonts w:ascii="Times New Roman" w:hAnsi="Times New Roman"/>
        </w:rPr>
        <w:t>Taux Croissance Annuel Compose</w:t>
      </w:r>
    </w:p>
    <w:p>
      <w:r>
        <w:rPr>
          <w:rFonts w:ascii="Times New Roman" w:hAnsi="Times New Roman"/>
          <w:b/>
        </w:rPr>
        <w:t xml:space="preserve">CAC : </w:t>
      </w:r>
      <w:r>
        <w:rPr>
          <w:rFonts w:ascii="Times New Roman" w:hAnsi="Times New Roman"/>
        </w:rPr>
        <w:t>Customer Acquisition Cost</w:t>
      </w:r>
    </w:p>
    <w:p>
      <w:r>
        <w:rPr>
          <w:rFonts w:ascii="Times New Roman" w:hAnsi="Times New Roman"/>
          <w:b/>
        </w:rPr>
        <w:t xml:space="preserve">KPI : </w:t>
      </w:r>
      <w:r>
        <w:rPr>
          <w:rFonts w:ascii="Times New Roman" w:hAnsi="Times New Roman"/>
        </w:rPr>
        <w:t>Key Performance Indicator</w:t>
      </w:r>
    </w:p>
    <w:p>
      <w:r>
        <w:rPr>
          <w:rFonts w:ascii="Times New Roman" w:hAnsi="Times New Roman"/>
          <w:b/>
        </w:rPr>
        <w:t xml:space="preserve">SEM : </w:t>
      </w:r>
      <w:r>
        <w:rPr>
          <w:rFonts w:ascii="Times New Roman" w:hAnsi="Times New Roman"/>
        </w:rPr>
        <w:t>Search Engine Marketing</w:t>
      </w:r>
    </w:p>
    <w:p>
      <w:r>
        <w:rPr>
          <w:rFonts w:ascii="Times New Roman" w:hAnsi="Times New Roman"/>
          <w:b/>
        </w:rPr>
        <w:t xml:space="preserve">NPS : </w:t>
      </w:r>
      <w:r>
        <w:rPr>
          <w:rFonts w:ascii="Times New Roman" w:hAnsi="Times New Roman"/>
        </w:rPr>
        <w:t>Net Promoter Score</w:t>
      </w:r>
    </w:p>
    <w:p>
      <w:r>
        <w:rPr>
          <w:rFonts w:ascii="Times New Roman" w:hAnsi="Times New Roman"/>
          <w:b/>
        </w:rPr>
        <w:t xml:space="preserve">PMF : </w:t>
      </w:r>
      <w:r>
        <w:rPr>
          <w:rFonts w:ascii="Times New Roman" w:hAnsi="Times New Roman"/>
        </w:rPr>
        <w:t>Product-Market Fit</w:t>
      </w:r>
    </w:p>
    <w:p>
      <w:r>
        <w:rPr>
          <w:rFonts w:ascii="Times New Roman" w:hAnsi="Times New Roman"/>
          <w:b/>
        </w:rPr>
        <w:t xml:space="preserve">IA : </w:t>
      </w:r>
      <w:r>
        <w:rPr>
          <w:rFonts w:ascii="Times New Roman" w:hAnsi="Times New Roman"/>
        </w:rPr>
        <w:t>Intelligence Artificielle</w:t>
      </w:r>
    </w:p>
    <w:p>
      <w:r>
        <w:rPr>
          <w:rFonts w:ascii="Times New Roman" w:hAnsi="Times New Roman"/>
          <w:b/>
        </w:rPr>
        <w:t xml:space="preserve">PESTEL : </w:t>
      </w:r>
      <w:r>
        <w:rPr>
          <w:rFonts w:ascii="Times New Roman" w:hAnsi="Times New Roman"/>
        </w:rPr>
        <w:t>Politique, Economique, Social, Tech, Env, Legal</w:t>
      </w:r>
    </w:p>
    <w:p>
      <w:r>
        <w:rPr>
          <w:rFonts w:ascii="Times New Roman" w:hAnsi="Times New Roman"/>
          <w:b/>
        </w:rPr>
        <w:t xml:space="preserve">ROI : </w:t>
      </w:r>
      <w:r>
        <w:rPr>
          <w:rFonts w:ascii="Times New Roman" w:hAnsi="Times New Roman"/>
        </w:rPr>
        <w:t>Return on Investment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