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RAPPORT MARKETING STRATÉGIQUE FINAL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WaterSense : Révolution Numérique de l'Irrigation Agricole Française</w:t>
      </w:r>
    </w:p>
    <w:p>
      <w:pPr>
        <w:spacing w:line="276" w:lineRule="auto"/>
      </w:pPr>
      <w:r>
        <w:t>**Étude de marché et stratégie commerciale pour un produit innovant en AgriTech**</w:t>
      </w:r>
    </w:p>
    <w:p>
      <w:pPr>
        <w:spacing w:line="276" w:lineRule="auto"/>
      </w:pPr>
      <w:r>
        <w:t>**Auteur :** Consultant Senior Marketing &amp; Innovation AgriTech</w:t>
      </w:r>
    </w:p>
    <w:p>
      <w:pPr>
        <w:spacing w:line="276" w:lineRule="auto"/>
      </w:pPr>
      <w:r>
        <w:t>**Date :** Février 2026</w:t>
      </w:r>
    </w:p>
    <w:p>
      <w:pPr>
        <w:spacing w:line="276" w:lineRule="auto"/>
      </w:pPr>
      <w:r>
        <w:t>**Version :** Finale 3.0 — Rapport Académique Complet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SOMMAIRE EXÉCUTIF DÉTAILLÉ</w:t>
      </w:r>
    </w:p>
    <w:p>
      <w:pPr>
        <w:pStyle w:val="Heading2"/>
      </w:pPr>
      <w:r>
        <w:rPr>
          <w:b/>
          <w:sz w:val="28"/>
        </w:rPr>
        <w:t>Vue d'ensemble stratégique</w:t>
      </w:r>
    </w:p>
    <w:p>
      <w:pPr>
        <w:spacing w:line="276" w:lineRule="auto"/>
      </w:pPr>
      <w:r>
        <w:t>WaterSense représente une opportunité de marché exceptionnelle dans le contexte de la "Triple Crise" agricole française (Réglementaire, Climatique, Économique). Cette plateforme IoT/SaaS transforme l'irrigation réactive en optimisation prescriptive intelligente, permettant aux agriculteurs de réduire leur consommation d'eau de 20-35% tout en sécurisant leurs rendements.</w:t>
      </w:r>
    </w:p>
    <w:p>
      <w:pPr>
        <w:pStyle w:val="Heading2"/>
      </w:pPr>
      <w:r>
        <w:rPr>
          <w:b/>
          <w:sz w:val="28"/>
        </w:rPr>
        <w:t>Chiffres clés de synthèse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Indicateur Stratégique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Valeur Cible 2026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Valeur Horizon 2030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**TAM (Marché Total)**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284.5 M€</w:t>
            </w:r>
          </w:p>
        </w:tc>
        <w:tc>
          <w:tcPr>
            <w:tcW w:type="dxa" w:w="3120"/>
          </w:tcPr>
          <w:p>
            <w:r>
              <w:rPr>
                <w:b/>
              </w:rPr>
              <w:t>320 M€</w:t>
            </w:r>
          </w:p>
        </w:tc>
      </w:tr>
      <w:tr>
        <w:tc>
          <w:tcPr>
            <w:tcW w:type="dxa" w:w="3120"/>
          </w:tcPr>
          <w:p>
            <w:r>
              <w:t>**SAM (Marché Accessible)**</w:t>
            </w:r>
          </w:p>
        </w:tc>
        <w:tc>
          <w:tcPr>
            <w:tcW w:type="dxa" w:w="3120"/>
          </w:tcPr>
          <w:p>
            <w:r>
              <w:t>75-85 M€</w:t>
            </w:r>
          </w:p>
        </w:tc>
        <w:tc>
          <w:tcPr>
            <w:tcW w:type="dxa" w:w="3120"/>
          </w:tcPr>
          <w:p>
            <w:r>
              <w:t>95 M€</w:t>
            </w:r>
          </w:p>
        </w:tc>
      </w:tr>
      <w:tr>
        <w:tc>
          <w:tcPr>
            <w:tcW w:type="dxa" w:w="3120"/>
          </w:tcPr>
          <w:p>
            <w:r>
              <w:t>**SOM (Objectif WaterSense)**</w:t>
            </w:r>
          </w:p>
        </w:tc>
        <w:tc>
          <w:tcPr>
            <w:tcW w:type="dxa" w:w="3120"/>
          </w:tcPr>
          <w:p>
            <w:r>
              <w:t>1.7-2.8 M€</w:t>
            </w:r>
          </w:p>
        </w:tc>
        <w:tc>
          <w:tcPr>
            <w:tcW w:type="dxa" w:w="3120"/>
          </w:tcPr>
          <w:p>
            <w:r>
              <w:t>15 M€</w:t>
            </w:r>
          </w:p>
        </w:tc>
      </w:tr>
      <w:tr>
        <w:tc>
          <w:tcPr>
            <w:tcW w:type="dxa" w:w="3120"/>
          </w:tcPr>
          <w:p>
            <w:r>
              <w:t>**ROI Client Moyen**</w:t>
            </w:r>
          </w:p>
        </w:tc>
        <w:tc>
          <w:tcPr>
            <w:tcW w:type="dxa" w:w="3120"/>
          </w:tcPr>
          <w:p>
            <w:r>
              <w:t>6-9 mois</w:t>
            </w:r>
          </w:p>
        </w:tc>
        <w:tc>
          <w:tcPr>
            <w:tcW w:type="dxa" w:w="3120"/>
          </w:tcPr>
          <w:p>
            <w:r>
              <w:t>3-6 mois</w:t>
            </w:r>
          </w:p>
        </w:tc>
      </w:tr>
      <w:tr>
        <w:tc>
          <w:tcPr>
            <w:tcW w:type="dxa" w:w="3120"/>
          </w:tcPr>
          <w:p>
            <w:r>
              <w:t>**LTV/CAC Ratio**</w:t>
            </w:r>
          </w:p>
        </w:tc>
        <w:tc>
          <w:tcPr>
            <w:tcW w:type="dxa" w:w="3120"/>
          </w:tcPr>
          <w:p>
            <w:r>
              <w:t>56.2</w:t>
            </w:r>
          </w:p>
        </w:tc>
        <w:tc>
          <w:tcPr>
            <w:tcW w:type="dxa" w:w="3120"/>
          </w:tcPr>
          <w:p>
            <w:r>
              <w:t>75+</w:t>
            </w:r>
          </w:p>
        </w:tc>
      </w:tr>
      <w:tr>
        <w:tc>
          <w:tcPr>
            <w:tcW w:type="dxa" w:w="3120"/>
          </w:tcPr>
          <w:p>
            <w:r>
              <w:t>**Break-even Point**</w:t>
            </w:r>
          </w:p>
        </w:tc>
        <w:tc>
          <w:tcPr>
            <w:tcW w:type="dxa" w:w="3120"/>
          </w:tcPr>
          <w:p>
            <w:r>
              <w:t>Q4 2026</w:t>
            </w:r>
          </w:p>
        </w:tc>
        <w:tc>
          <w:tcPr>
            <w:tcW w:type="dxa" w:w="3120"/>
          </w:tcPr>
          <w:p>
            <w:r>
              <w:t>Atteint</w:t>
            </w:r>
          </w:p>
        </w:tc>
      </w:tr>
      <w:tr>
        <w:tc>
          <w:tcPr>
            <w:tcW w:type="dxa" w:w="3120"/>
          </w:tcPr>
          <w:p>
            <w:r>
              <w:t>**EBITDA Y3**</w:t>
            </w:r>
          </w:p>
        </w:tc>
        <w:tc>
          <w:tcPr>
            <w:tcW w:type="dxa" w:w="3120"/>
          </w:tcPr>
          <w:p>
            <w:r>
              <w:t>+200 k€</w:t>
            </w:r>
          </w:p>
        </w:tc>
        <w:tc>
          <w:tcPr>
            <w:tcW w:type="dxa" w:w="3120"/>
          </w:tcPr>
          <w:p>
            <w:r>
              <w:t>+3.1 M€</w:t>
            </w:r>
          </w:p>
        </w:tc>
      </w:tr>
      <w:tr>
        <w:tc>
          <w:tcPr>
            <w:tcW w:type="dxa" w:w="3120"/>
          </w:tcPr>
          <w:p>
            <w:r>
              <w:t>**Clients Actifs Cible**</w:t>
            </w:r>
          </w:p>
        </w:tc>
        <w:tc>
          <w:tcPr>
            <w:tcW w:type="dxa" w:w="3120"/>
          </w:tcPr>
          <w:p>
            <w:r>
              <w:t>300</w:t>
            </w:r>
          </w:p>
        </w:tc>
        <w:tc>
          <w:tcPr>
            <w:tcW w:type="dxa" w:w="3120"/>
          </w:tcPr>
          <w:p>
            <w:r>
              <w:t>2 500</w:t>
            </w:r>
          </w:p>
        </w:tc>
      </w:tr>
    </w:tbl>
    <w:p>
      <w:pPr>
        <w:pStyle w:val="Heading2"/>
      </w:pPr>
      <w:r>
        <w:rPr>
          <w:b/>
          <w:sz w:val="28"/>
        </w:rPr>
        <w:t>Proposition de valeur unique</w:t>
      </w:r>
    </w:p>
    <w:p>
      <w:pPr>
        <w:spacing w:line="276" w:lineRule="auto"/>
      </w:pPr>
      <w:r>
        <w:t>WaterSense n'est pas un simple outil de mesure, mais un **système d'aide à la décision (OAD) prescriptif** qui :</w:t>
      </w:r>
    </w:p>
    <w:p>
      <w:pPr>
        <w:pStyle w:val="ListBullet"/>
      </w:pPr>
      <w:r>
        <w:t>**Prédit** les besoins hydriques à 7 jours</w:t>
      </w:r>
    </w:p>
    <w:p>
      <w:pPr>
        <w:pStyle w:val="ListBullet"/>
      </w:pPr>
      <w:r>
        <w:t>**Prescrit** les actions d'irrigation optimales</w:t>
      </w:r>
    </w:p>
    <w:p>
      <w:pPr>
        <w:pStyle w:val="ListBullet"/>
      </w:pPr>
      <w:r>
        <w:t>**Optimise** automatiquement les coûts énergie/eau</w:t>
      </w:r>
    </w:p>
    <w:p>
      <w:pPr>
        <w:pStyle w:val="ListBullet"/>
      </w:pPr>
      <w:r>
        <w:t>**Garantit** la conformité réglementaire</w:t>
      </w:r>
    </w:p>
    <w:p>
      <w:pPr>
        <w:pStyle w:val="Heading2"/>
      </w:pPr>
      <w:r>
        <w:rPr>
          <w:b/>
          <w:sz w:val="28"/>
        </w:rPr>
        <w:t>Recommandations exécutives</w:t>
      </w:r>
    </w:p>
    <w:p>
      <w:pPr>
        <w:spacing w:line="276" w:lineRule="auto"/>
      </w:pPr>
      <w:r>
        <w:t>1. **Lancement immédiat** avec focus sur 5 coopératives pilotes</w:t>
      </w:r>
    </w:p>
    <w:p>
      <w:pPr>
        <w:spacing w:line="276" w:lineRule="auto"/>
      </w:pPr>
      <w:r>
        <w:t>2. **Levée de fonds Seed** de 1.2 M€ avant juin 2026</w:t>
      </w:r>
    </w:p>
    <w:p>
      <w:pPr>
        <w:spacing w:line="276" w:lineRule="auto"/>
      </w:pPr>
      <w:r>
        <w:t>3. **Partenariats stratégiques** avec Arvalis et Chambres d'Agriculture</w:t>
      </w:r>
    </w:p>
    <w:p>
      <w:pPr>
        <w:spacing w:line="276" w:lineRule="auto"/>
      </w:pPr>
      <w:r>
        <w:t>4. **Expansion internationale** vers Espagne/Italie dès 2027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TABLE DES MATIÈRES HIÉRARCHIQUE</w:t>
      </w:r>
    </w:p>
    <w:p>
      <w:pPr>
        <w:pStyle w:val="Heading2"/>
      </w:pPr>
      <w:r>
        <w:rPr>
          <w:b/>
          <w:sz w:val="28"/>
        </w:rPr>
        <w:t>PARTIE I — CADRE STRATÉGIQUE</w:t>
      </w:r>
    </w:p>
    <w:p>
      <w:pPr>
        <w:spacing w:line="276" w:lineRule="auto"/>
      </w:pPr>
      <w:r>
        <w:t>1. **Introduction et contexte général**</w:t>
      </w:r>
    </w:p>
    <w:p>
      <w:pPr>
        <w:spacing w:line="276" w:lineRule="auto"/>
      </w:pPr>
      <w:r>
        <w:t>1.1 Justification de l'étude</w:t>
      </w:r>
    </w:p>
    <w:p>
      <w:pPr>
        <w:spacing w:line="276" w:lineRule="auto"/>
      </w:pPr>
      <w:r>
        <w:t>1.2 Objectifs et périmètre</w:t>
      </w:r>
    </w:p>
    <w:p>
      <w:pPr>
        <w:spacing w:line="276" w:lineRule="auto"/>
      </w:pPr>
      <w:r>
        <w:t>1.3 Méthodologie et sources</w:t>
      </w:r>
    </w:p>
    <w:p>
      <w:pPr>
        <w:spacing w:line="276" w:lineRule="auto"/>
      </w:pPr>
      <w:r>
        <w:t>2. **Innovation WaterSense : Définition et architecture**</w:t>
      </w:r>
    </w:p>
    <w:p>
      <w:pPr>
        <w:spacing w:line="276" w:lineRule="auto"/>
      </w:pPr>
      <w:r>
        <w:t>2.1 Caractères innovants (Technologique, Agronomique, Économique)</w:t>
      </w:r>
    </w:p>
    <w:p>
      <w:pPr>
        <w:spacing w:line="276" w:lineRule="auto"/>
      </w:pPr>
      <w:r>
        <w:t>2.2 Architecture technique 5 couches</w:t>
      </w:r>
    </w:p>
    <w:p>
      <w:pPr>
        <w:spacing w:line="276" w:lineRule="auto"/>
      </w:pPr>
      <w:r>
        <w:t>2.3 Positionnement produit et différenciation</w:t>
      </w:r>
    </w:p>
    <w:p>
      <w:pPr>
        <w:pStyle w:val="Heading2"/>
      </w:pPr>
      <w:r>
        <w:rPr>
          <w:b/>
          <w:sz w:val="28"/>
        </w:rPr>
        <w:t>PARTIE II — ANALYSE ENVIRONNEMENTALE</w:t>
      </w:r>
    </w:p>
    <w:p>
      <w:pPr>
        <w:spacing w:line="276" w:lineRule="auto"/>
      </w:pPr>
      <w:r>
        <w:t>3. **Analyse PESTEL approfondie**</w:t>
      </w:r>
    </w:p>
    <w:p>
      <w:pPr>
        <w:spacing w:line="276" w:lineRule="auto"/>
      </w:pPr>
      <w:r>
        <w:t>3.1 Dimension Politique</w:t>
      </w:r>
    </w:p>
    <w:p>
      <w:pPr>
        <w:spacing w:line="276" w:lineRule="auto"/>
      </w:pPr>
      <w:r>
        <w:t>3.2 Dimension Économique</w:t>
      </w:r>
    </w:p>
    <w:p>
      <w:pPr>
        <w:spacing w:line="276" w:lineRule="auto"/>
      </w:pPr>
      <w:r>
        <w:t>3.3 Dimension Socioculturelle</w:t>
      </w:r>
    </w:p>
    <w:p>
      <w:pPr>
        <w:spacing w:line="276" w:lineRule="auto"/>
      </w:pPr>
      <w:r>
        <w:t>3.4 Dimension Technologique</w:t>
      </w:r>
    </w:p>
    <w:p>
      <w:pPr>
        <w:spacing w:line="276" w:lineRule="auto"/>
      </w:pPr>
      <w:r>
        <w:t>3.5 Dimension Environnementale</w:t>
      </w:r>
    </w:p>
    <w:p>
      <w:pPr>
        <w:spacing w:line="276" w:lineRule="auto"/>
      </w:pPr>
      <w:r>
        <w:t>3.6 Dimension Légale</w:t>
      </w:r>
    </w:p>
    <w:p>
      <w:pPr>
        <w:spacing w:line="276" w:lineRule="auto"/>
      </w:pPr>
      <w:r>
        <w:t>3.7 Synthèse et implications</w:t>
      </w:r>
    </w:p>
    <w:p>
      <w:pPr>
        <w:spacing w:line="276" w:lineRule="auto"/>
      </w:pPr>
      <w:r>
        <w:t>4. **Étude de marché quantitative**</w:t>
      </w:r>
    </w:p>
    <w:p>
      <w:pPr>
        <w:spacing w:line="276" w:lineRule="auto"/>
      </w:pPr>
      <w:r>
        <w:t>4.1 Définition et segmentation du marché</w:t>
      </w:r>
    </w:p>
    <w:p>
      <w:pPr>
        <w:spacing w:line="276" w:lineRule="auto"/>
      </w:pPr>
      <w:r>
        <w:t>4.2 Calcul détaillé TAM/SAM/SOM</w:t>
      </w:r>
    </w:p>
    <w:p>
      <w:pPr>
        <w:spacing w:line="276" w:lineRule="auto"/>
      </w:pPr>
      <w:r>
        <w:t>4.3 Personas clients et besoins</w:t>
      </w:r>
    </w:p>
    <w:p>
      <w:pPr>
        <w:spacing w:line="276" w:lineRule="auto"/>
      </w:pPr>
      <w:r>
        <w:t>4.4 Tendances et évolution à 5 ans</w:t>
      </w:r>
    </w:p>
    <w:p>
      <w:pPr>
        <w:pStyle w:val="Heading2"/>
      </w:pPr>
      <w:r>
        <w:rPr>
          <w:b/>
          <w:sz w:val="28"/>
        </w:rPr>
        <w:t>PARTIE III — ANALYSE CONCURRENTIELLE</w:t>
      </w:r>
    </w:p>
    <w:p>
      <w:pPr>
        <w:spacing w:line="276" w:lineRule="auto"/>
      </w:pPr>
      <w:r>
        <w:t>5. **Cartographie concurrentielle**</w:t>
      </w:r>
    </w:p>
    <w:p>
      <w:pPr>
        <w:spacing w:line="276" w:lineRule="auto"/>
      </w:pPr>
      <w:r>
        <w:t>5.1 Forces concurrentielles (Modèle Porter)</w:t>
      </w:r>
    </w:p>
    <w:p>
      <w:pPr>
        <w:spacing w:line="276" w:lineRule="auto"/>
      </w:pPr>
      <w:r>
        <w:t>5.2 Analyse des concurrents directs</w:t>
      </w:r>
    </w:p>
    <w:p>
      <w:pPr>
        <w:spacing w:line="276" w:lineRule="auto"/>
      </w:pPr>
      <w:r>
        <w:t>5.3 Analyse des concurrents indirects</w:t>
      </w:r>
    </w:p>
    <w:p>
      <w:pPr>
        <w:spacing w:line="276" w:lineRule="auto"/>
      </w:pPr>
      <w:r>
        <w:t>5.4 Positionnement stratégique WaterSense</w:t>
      </w:r>
    </w:p>
    <w:p>
      <w:pPr>
        <w:spacing w:line="276" w:lineRule="auto"/>
      </w:pPr>
      <w:r>
        <w:t>6. **Analyse SWOT stratégique**</w:t>
      </w:r>
    </w:p>
    <w:p>
      <w:pPr>
        <w:spacing w:line="276" w:lineRule="auto"/>
      </w:pPr>
      <w:r>
        <w:t>6.1 Forces internes</w:t>
      </w:r>
    </w:p>
    <w:p>
      <w:pPr>
        <w:spacing w:line="276" w:lineRule="auto"/>
      </w:pPr>
      <w:r>
        <w:t>6.2 Faiblesses internes</w:t>
      </w:r>
    </w:p>
    <w:p>
      <w:pPr>
        <w:spacing w:line="276" w:lineRule="auto"/>
      </w:pPr>
      <w:r>
        <w:t>6.3 Opportunités externes</w:t>
      </w:r>
    </w:p>
    <w:p>
      <w:pPr>
        <w:spacing w:line="276" w:lineRule="auto"/>
      </w:pPr>
      <w:r>
        <w:t>6.4 Menaces externes</w:t>
      </w:r>
    </w:p>
    <w:p>
      <w:pPr>
        <w:spacing w:line="276" w:lineRule="auto"/>
      </w:pPr>
      <w:r>
        <w:t>6.5 Matrice TOWS et stratégies</w:t>
      </w:r>
    </w:p>
    <w:p>
      <w:pPr>
        <w:pStyle w:val="Heading2"/>
      </w:pPr>
      <w:r>
        <w:rPr>
          <w:b/>
          <w:sz w:val="28"/>
        </w:rPr>
        <w:t>PARTIE IV — STRATÉGIE MARKETING OPÉRATIONNELLE</w:t>
      </w:r>
    </w:p>
    <w:p>
      <w:pPr>
        <w:spacing w:line="276" w:lineRule="auto"/>
      </w:pPr>
      <w:r>
        <w:t>7. **Stratégie produit (Product)**</w:t>
      </w:r>
    </w:p>
    <w:p>
      <w:pPr>
        <w:spacing w:line="276" w:lineRule="auto"/>
      </w:pPr>
      <w:r>
        <w:t>7.1 Architecture d'offre (Tiers Essential/Pro/Premium)</w:t>
      </w:r>
    </w:p>
    <w:p>
      <w:pPr>
        <w:spacing w:line="276" w:lineRule="auto"/>
      </w:pPr>
      <w:r>
        <w:t>7.2 Roadmap produit 2026-2028</w:t>
      </w:r>
    </w:p>
    <w:p>
      <w:pPr>
        <w:spacing w:line="276" w:lineRule="auto"/>
      </w:pPr>
      <w:r>
        <w:t>7.3 Stratégie de marque et packaging</w:t>
      </w:r>
    </w:p>
    <w:p>
      <w:pPr>
        <w:spacing w:line="276" w:lineRule="auto"/>
      </w:pPr>
      <w:r>
        <w:t>8. **Stratégie prix (Price)**</w:t>
      </w:r>
    </w:p>
    <w:p>
      <w:pPr>
        <w:spacing w:line="276" w:lineRule="auto"/>
      </w:pPr>
      <w:r>
        <w:t>8.1 Philosophie tarifaire</w:t>
      </w:r>
    </w:p>
    <w:p>
      <w:pPr>
        <w:spacing w:line="276" w:lineRule="auto"/>
      </w:pPr>
      <w:r>
        <w:t>8.2 Modèle de tarification détaillé</w:t>
      </w:r>
    </w:p>
    <w:p>
      <w:pPr>
        <w:spacing w:line="276" w:lineRule="auto"/>
      </w:pPr>
      <w:r>
        <w:t>8.3 Stratégie de lancement promotionnel</w:t>
      </w:r>
    </w:p>
    <w:p>
      <w:pPr>
        <w:spacing w:line="276" w:lineRule="auto"/>
      </w:pPr>
      <w:r>
        <w:t>9. **Stratégie distribution (Place)**</w:t>
      </w:r>
    </w:p>
    <w:p>
      <w:pPr>
        <w:spacing w:line="276" w:lineRule="auto"/>
      </w:pPr>
      <w:r>
        <w:t>9.1 Canaux de distribution primaires</w:t>
      </w:r>
    </w:p>
    <w:p>
      <w:pPr>
        <w:spacing w:line="276" w:lineRule="auto"/>
      </w:pPr>
      <w:r>
        <w:t>9.2 Canaux secondaires et digitaux</w:t>
      </w:r>
    </w:p>
    <w:p>
      <w:pPr>
        <w:spacing w:line="276" w:lineRule="auto"/>
      </w:pPr>
      <w:r>
        <w:t>9.3 Stratégie de couverture géographique</w:t>
      </w:r>
    </w:p>
    <w:p>
      <w:pPr>
        <w:spacing w:line="276" w:lineRule="auto"/>
      </w:pPr>
      <w:r>
        <w:t>10. **Stratégie communication (Promotion)**</w:t>
      </w:r>
    </w:p>
    <w:p>
      <w:pPr>
        <w:spacing w:line="276" w:lineRule="auto"/>
      </w:pPr>
      <w:r>
        <w:t>10.1 Positionnement et messaging</w:t>
      </w:r>
    </w:p>
    <w:p>
      <w:pPr>
        <w:spacing w:line="276" w:lineRule="auto"/>
      </w:pPr>
      <w:r>
        <w:t>10.2 Mix promotionnel détaillé</w:t>
      </w:r>
    </w:p>
    <w:p>
      <w:pPr>
        <w:spacing w:line="276" w:lineRule="auto"/>
      </w:pPr>
      <w:r>
        <w:t>10.3 Plan média et budget</w:t>
      </w:r>
    </w:p>
    <w:p>
      <w:pPr>
        <w:pStyle w:val="Heading2"/>
      </w:pPr>
      <w:r>
        <w:rPr>
          <w:b/>
          <w:sz w:val="28"/>
        </w:rPr>
        <w:t>PARTIE V — PLAN COMMERCIAL ET PARTENARIATS</w:t>
      </w:r>
    </w:p>
    <w:p>
      <w:pPr>
        <w:spacing w:line="276" w:lineRule="auto"/>
      </w:pPr>
      <w:r>
        <w:t>11. **Processus de vente et funnel commercial**</w:t>
      </w:r>
    </w:p>
    <w:p>
      <w:pPr>
        <w:spacing w:line="276" w:lineRule="auto"/>
      </w:pPr>
      <w:r>
        <w:t>11.1 Cycle de vente détaillé</w:t>
      </w:r>
    </w:p>
    <w:p>
      <w:pPr>
        <w:spacing w:line="276" w:lineRule="auto"/>
      </w:pPr>
      <w:r>
        <w:t>11.2 Organisation commerciale</w:t>
      </w:r>
    </w:p>
    <w:p>
      <w:pPr>
        <w:spacing w:line="276" w:lineRule="auto"/>
      </w:pPr>
      <w:r>
        <w:t>11.3 KPIs de performance commerciale</w:t>
      </w:r>
    </w:p>
    <w:p>
      <w:pPr>
        <w:spacing w:line="276" w:lineRule="auto"/>
      </w:pPr>
      <w:r>
        <w:t>12. **Écosystème de partenariats stratégiques**</w:t>
      </w:r>
    </w:p>
    <w:p>
      <w:pPr>
        <w:spacing w:line="276" w:lineRule="auto"/>
      </w:pPr>
      <w:r>
        <w:t>12.1 Partenaires institutionnels (Arvalis, Chambres)</w:t>
      </w:r>
    </w:p>
    <w:p>
      <w:pPr>
        <w:spacing w:line="276" w:lineRule="auto"/>
      </w:pPr>
      <w:r>
        <w:t>12.2 Partenaires de distribution (Coopératives)</w:t>
      </w:r>
    </w:p>
    <w:p>
      <w:pPr>
        <w:spacing w:line="276" w:lineRule="auto"/>
      </w:pPr>
      <w:r>
        <w:t>12.3 Partenaires technologiques et financiers</w:t>
      </w:r>
    </w:p>
    <w:p>
      <w:pPr>
        <w:pStyle w:val="Heading2"/>
      </w:pPr>
      <w:r>
        <w:rPr>
          <w:b/>
          <w:sz w:val="28"/>
        </w:rPr>
        <w:t>PARTIE VI — ASPECTS JURIDIQUES ET FINANCIERS</w:t>
      </w:r>
    </w:p>
    <w:p>
      <w:pPr>
        <w:spacing w:line="276" w:lineRule="auto"/>
      </w:pPr>
      <w:r>
        <w:t>13. **Propriété intellectuelle et juridique**</w:t>
      </w:r>
    </w:p>
    <w:p>
      <w:pPr>
        <w:spacing w:line="276" w:lineRule="auto"/>
      </w:pPr>
      <w:r>
        <w:t>13.1 Stratégie brevets et marques</w:t>
      </w:r>
    </w:p>
    <w:p>
      <w:pPr>
        <w:spacing w:line="276" w:lineRule="auto"/>
      </w:pPr>
      <w:r>
        <w:t>13.2 Conformité réglementaire (RGPD, données)</w:t>
      </w:r>
    </w:p>
    <w:p>
      <w:pPr>
        <w:spacing w:line="276" w:lineRule="auto"/>
      </w:pPr>
      <w:r>
        <w:t>13.3 Contrats types et responsabilité</w:t>
      </w:r>
    </w:p>
    <w:p>
      <w:pPr>
        <w:spacing w:line="276" w:lineRule="auto"/>
      </w:pPr>
      <w:r>
        <w:t>14. **Modèle économique et projections financières**</w:t>
      </w:r>
    </w:p>
    <w:p>
      <w:pPr>
        <w:spacing w:line="276" w:lineRule="auto"/>
      </w:pPr>
      <w:r>
        <w:t>14.1 Hypothèses de base</w:t>
      </w:r>
    </w:p>
    <w:p>
      <w:pPr>
        <w:spacing w:line="276" w:lineRule="auto"/>
      </w:pPr>
      <w:r>
        <w:t>14.2 Compte de résultat prévisionnel 5 ans</w:t>
      </w:r>
    </w:p>
    <w:p>
      <w:pPr>
        <w:spacing w:line="276" w:lineRule="auto"/>
      </w:pPr>
      <w:r>
        <w:t>14.3 Analyse de sensibilité et scénarios</w:t>
      </w:r>
    </w:p>
    <w:p>
      <w:pPr>
        <w:spacing w:line="276" w:lineRule="auto"/>
      </w:pPr>
      <w:r>
        <w:t>14.4 Plan de financement et besoins</w:t>
      </w:r>
    </w:p>
    <w:p>
      <w:pPr>
        <w:pStyle w:val="Heading2"/>
      </w:pPr>
      <w:r>
        <w:rPr>
          <w:b/>
          <w:sz w:val="28"/>
        </w:rPr>
        <w:t>PARTIE VII — GESTION DES RISQUES</w:t>
      </w:r>
    </w:p>
    <w:p>
      <w:pPr>
        <w:spacing w:line="276" w:lineRule="auto"/>
      </w:pPr>
      <w:r>
        <w:t>15. **Cartographie des risques**</w:t>
      </w:r>
    </w:p>
    <w:p>
      <w:pPr>
        <w:spacing w:line="276" w:lineRule="auto"/>
      </w:pPr>
      <w:r>
        <w:t>15.1 Risques opérationnels</w:t>
      </w:r>
    </w:p>
    <w:p>
      <w:pPr>
        <w:spacing w:line="276" w:lineRule="auto"/>
      </w:pPr>
      <w:r>
        <w:t>15.2 Risques marché et concurrence</w:t>
      </w:r>
    </w:p>
    <w:p>
      <w:pPr>
        <w:spacing w:line="276" w:lineRule="auto"/>
      </w:pPr>
      <w:r>
        <w:t>15.3 Risques technologiques</w:t>
      </w:r>
    </w:p>
    <w:p>
      <w:pPr>
        <w:spacing w:line="276" w:lineRule="auto"/>
      </w:pPr>
      <w:r>
        <w:t>15.4 Plans de mitigation détaillés</w:t>
      </w:r>
    </w:p>
    <w:p>
      <w:pPr>
        <w:pStyle w:val="Heading2"/>
      </w:pPr>
      <w:r>
        <w:rPr>
          <w:b/>
          <w:sz w:val="28"/>
        </w:rPr>
        <w:t>PARTIE VIII — PLAN D'EXÉCUTION</w:t>
      </w:r>
    </w:p>
    <w:p>
      <w:pPr>
        <w:spacing w:line="276" w:lineRule="auto"/>
      </w:pPr>
      <w:r>
        <w:t>16. **Feuille de route 2026**</w:t>
      </w:r>
    </w:p>
    <w:p>
      <w:pPr>
        <w:spacing w:line="276" w:lineRule="auto"/>
      </w:pPr>
      <w:r>
        <w:t>16.1 Jalons trimestriels</w:t>
      </w:r>
    </w:p>
    <w:p>
      <w:pPr>
        <w:spacing w:line="276" w:lineRule="auto"/>
      </w:pPr>
      <w:r>
        <w:t>16.2 KPIs de suivi</w:t>
      </w:r>
    </w:p>
    <w:p>
      <w:pPr>
        <w:spacing w:line="276" w:lineRule="auto"/>
      </w:pPr>
      <w:r>
        <w:t>16.3 Gouvernance et pilotage</w:t>
      </w:r>
    </w:p>
    <w:p>
      <w:pPr>
        <w:spacing w:line="276" w:lineRule="auto"/>
      </w:pPr>
      <w:r>
        <w:t>17. **Conclusion générale et recommandations**</w:t>
      </w:r>
    </w:p>
    <w:p>
      <w:pPr>
        <w:pStyle w:val="Heading2"/>
      </w:pPr>
      <w:r>
        <w:rPr>
          <w:b/>
          <w:sz w:val="28"/>
        </w:rPr>
        <w:t>PARTIE IX — ANNEXES</w:t>
      </w:r>
    </w:p>
    <w:p>
      <w:pPr>
        <w:spacing w:line="276" w:lineRule="auto"/>
      </w:pPr>
      <w:r>
        <w:t>18. **Bibliographie**</w:t>
      </w:r>
    </w:p>
    <w:p>
      <w:pPr>
        <w:spacing w:line="276" w:lineRule="auto"/>
      </w:pPr>
      <w:r>
        <w:t>19. **Annexes A à K**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1. INTRODUCTION ET CONTEXTE GÉNÉRAL</w:t>
      </w:r>
    </w:p>
    <w:p>
      <w:pPr>
        <w:pStyle w:val="Heading2"/>
      </w:pPr>
      <w:r>
        <w:rPr>
          <w:b/>
          <w:sz w:val="28"/>
        </w:rPr>
        <w:t>1.1 Justification de l'étude : La convergence des crises agricoles</w:t>
      </w:r>
    </w:p>
    <w:p>
      <w:pPr>
        <w:spacing w:line="276" w:lineRule="auto"/>
      </w:pPr>
      <w:r>
        <w:t>L'agriculture française fait face à une **convergence historique de trois crises majeures** qui transforme radicalement les conditions de production et crée une fenêtre d'opportunité exceptionnelle pour les solutions d'optimisation intelligente.</w:t>
      </w:r>
    </w:p>
    <w:p>
      <w:pPr>
        <w:pStyle w:val="Heading3"/>
      </w:pPr>
      <w:r>
        <w:rPr>
          <w:b/>
          <w:sz w:val="24"/>
        </w:rPr>
        <w:t>Crise Réglementaire : L'obligation de sobriété</w:t>
      </w:r>
    </w:p>
    <w:p>
      <w:pPr>
        <w:pStyle w:val="ListBullet"/>
      </w:pPr>
      <w:r>
        <w:t>**Directive Cadre sur l'Eau 2024-2025** : Réduction obligatoire de 10% des prélèvements d'ici 2030</w:t>
      </w:r>
    </w:p>
    <w:p>
      <w:pPr>
        <w:pStyle w:val="ListBullet"/>
      </w:pPr>
      <w:r>
        <w:t>**Plan Eau gouvernemental** : Objectif national de -20% en zones tendues</w:t>
      </w:r>
    </w:p>
    <w:p>
      <w:pPr>
        <w:pStyle w:val="ListBullet"/>
      </w:pPr>
      <w:r>
        <w:t>**Arrêtés préfectoraux** : Restrictions d'irrigation généralisées (été 2025 : 70 départements concernés)</w:t>
      </w:r>
    </w:p>
    <w:p>
      <w:pPr>
        <w:pStyle w:val="ListBullet"/>
      </w:pPr>
      <w:r>
        <w:t>**Sanctions** : Amendes de 200-500€/ha pour non-conformité</w:t>
      </w:r>
    </w:p>
    <w:p>
      <w:pPr>
        <w:pStyle w:val="Heading3"/>
      </w:pPr>
      <w:r>
        <w:rPr>
          <w:b/>
          <w:sz w:val="24"/>
        </w:rPr>
        <w:t>Crise Climatique : L'urgence environnementale</w:t>
      </w:r>
    </w:p>
    <w:p>
      <w:pPr>
        <w:pStyle w:val="ListBullet"/>
      </w:pPr>
      <w:r>
        <w:t>**GIEC 2023** : Réchauffement +1.5°C entraîne évapotranspiration (ETP) +15-20%</w:t>
      </w:r>
    </w:p>
    <w:p>
      <w:pPr>
        <w:pStyle w:val="ListBullet"/>
      </w:pPr>
      <w:r>
        <w:t>**Sécheresses récurrentes** : 2022, 2023, 2025 marquées par des restrictions sévères</w:t>
      </w:r>
    </w:p>
    <w:p>
      <w:pPr>
        <w:pStyle w:val="ListBullet"/>
      </w:pPr>
      <w:r>
        <w:t>**Variabilité pluviométrie** : Précipitations erratiques rendent l'irrigation empirique inefficace</w:t>
      </w:r>
    </w:p>
    <w:p>
      <w:pPr>
        <w:pStyle w:val="ListBullet"/>
      </w:pPr>
      <w:r>
        <w:t>**Stress hydrique** : 40% des nappes phréatiques en situation critique</w:t>
      </w:r>
    </w:p>
    <w:p>
      <w:pPr>
        <w:pStyle w:val="Heading3"/>
      </w:pPr>
      <w:r>
        <w:rPr>
          <w:b/>
          <w:sz w:val="24"/>
        </w:rPr>
        <w:t>Crise Économique : La pression sur les marges</w:t>
      </w:r>
    </w:p>
    <w:p>
      <w:pPr>
        <w:pStyle w:val="ListBullet"/>
      </w:pPr>
      <w:r>
        <w:t>**Inflation intrants** : Eau (+25%), Énergie (+18%), Engrais (+15%)</w:t>
      </w:r>
    </w:p>
    <w:p>
      <w:pPr>
        <w:pStyle w:val="ListBullet"/>
      </w:pPr>
      <w:r>
        <w:t>**Endettement agricole** : 54% des exploitations avec ratio dette/CA &gt;60%</w:t>
      </w:r>
    </w:p>
    <w:p>
      <w:pPr>
        <w:pStyle w:val="ListBullet"/>
      </w:pPr>
      <w:r>
        <w:t>**Prix de vente volatils** : Marchés agricoles instables</w:t>
      </w:r>
    </w:p>
    <w:p>
      <w:pPr>
        <w:pStyle w:val="ListBullet"/>
      </w:pPr>
      <w:r>
        <w:t>**Concurrence internationale** : Pression des importations low-cost</w:t>
      </w:r>
    </w:p>
    <w:p>
      <w:pPr>
        <w:spacing w:line="276" w:lineRule="auto"/>
      </w:pPr>
      <w:r>
        <w:t>Cette **triple convergence** crée une **demande structurelle** pour des solutions d'optimisation hydrique, transformant une opportunité en nécessité vitale.</w:t>
      </w:r>
    </w:p>
    <w:p>
      <w:pPr>
        <w:pStyle w:val="Heading2"/>
      </w:pPr>
      <w:r>
        <w:rPr>
          <w:b/>
          <w:sz w:val="28"/>
        </w:rPr>
        <w:t>1.2 Objectifs et périmètre de l'étude</w:t>
      </w:r>
    </w:p>
    <w:p>
      <w:pPr>
        <w:spacing w:line="276" w:lineRule="auto"/>
      </w:pPr>
      <w:r>
        <w:t>**Objectif principal :** Fournir une **analyse marketing stratégique complète** permettant à WaterSense de :</w:t>
      </w:r>
    </w:p>
    <w:p>
      <w:pPr>
        <w:pStyle w:val="ListBullet"/>
      </w:pPr>
      <w:r>
        <w:t>Valider le Product-Market Fit dans le contexte français</w:t>
      </w:r>
    </w:p>
    <w:p>
      <w:pPr>
        <w:pStyle w:val="ListBullet"/>
      </w:pPr>
      <w:r>
        <w:t>Définir une stratégie de Go-to-Market réaliste pour 2026</w:t>
      </w:r>
    </w:p>
    <w:p>
      <w:pPr>
        <w:pStyle w:val="ListBullet"/>
      </w:pPr>
      <w:r>
        <w:t>Sécuriser les partenariats et financements nécessaires</w:t>
      </w:r>
    </w:p>
    <w:p>
      <w:pPr>
        <w:pStyle w:val="ListBullet"/>
      </w:pPr>
      <w:r>
        <w:t>Atteindre 300 clients actifs fin 2026</w:t>
      </w:r>
    </w:p>
    <w:p>
      <w:pPr>
        <w:spacing w:line="276" w:lineRule="auto"/>
      </w:pPr>
      <w:r>
        <w:t>**Périmètre :**</w:t>
      </w:r>
    </w:p>
    <w:p>
      <w:pPr>
        <w:pStyle w:val="ListBullet"/>
      </w:pPr>
      <w:r>
        <w:t>**Géographique :** France métropolitaine (focus Sud-Ouest, Centre-Val de Loire, Grand-Est)</w:t>
      </w:r>
    </w:p>
    <w:p>
      <w:pPr>
        <w:pStyle w:val="ListBullet"/>
      </w:pPr>
      <w:r>
        <w:t>**Temporel :** Horizon 2026-2030 (accent 2026 année critique)</w:t>
      </w:r>
    </w:p>
    <w:p>
      <w:pPr>
        <w:pStyle w:val="ListBullet"/>
      </w:pPr>
      <w:r>
        <w:t>**Sectoriel :** Grandes cultures irriguées (&gt;50ha) et cultures spécialisées</w:t>
      </w:r>
    </w:p>
    <w:p>
      <w:pPr>
        <w:pStyle w:val="ListBullet"/>
      </w:pPr>
      <w:r>
        <w:t>**Concurrentiel :** Solutions IoT irrigation (Sencrop, Weenat, Netafim)</w:t>
      </w:r>
    </w:p>
    <w:p>
      <w:pPr>
        <w:pStyle w:val="Heading2"/>
      </w:pPr>
      <w:r>
        <w:rPr>
          <w:b/>
          <w:sz w:val="28"/>
        </w:rPr>
        <w:t>1.3 Méthodologie d'analyse</w:t>
      </w:r>
    </w:p>
    <w:p>
      <w:pPr>
        <w:spacing w:line="276" w:lineRule="auto"/>
      </w:pPr>
      <w:r>
        <w:t>**Approche méthodologique :**</w:t>
      </w:r>
    </w:p>
    <w:p>
      <w:pPr>
        <w:pStyle w:val="ListBullet"/>
      </w:pPr>
      <w:r>
        <w:t>**Analyse documentaire** : Rapports Agreste, INSEE, GIEC, études Xerfi</w:t>
      </w:r>
    </w:p>
    <w:p>
      <w:pPr>
        <w:pStyle w:val="ListBullet"/>
      </w:pPr>
      <w:r>
        <w:t>**Entretiens qualitatifs** : 20 agriculteurs + 8 techniciens coopératives</w:t>
      </w:r>
    </w:p>
    <w:p>
      <w:pPr>
        <w:pStyle w:val="ListBullet"/>
      </w:pPr>
      <w:r>
        <w:t>**Modélisation quantitative** : TAM/SAM/SOM bottom-up et top-down</w:t>
      </w:r>
    </w:p>
    <w:p>
      <w:pPr>
        <w:pStyle w:val="ListBullet"/>
      </w:pPr>
      <w:r>
        <w:t>**Benchmark concurrentiel** : Analyse 12 solutions européennes</w:t>
      </w:r>
    </w:p>
    <w:p>
      <w:pPr>
        <w:pStyle w:val="ListBullet"/>
      </w:pPr>
      <w:r>
        <w:t>**Modélisation financière** : Projections 5 ans avec scénarios</w:t>
      </w:r>
    </w:p>
    <w:p>
      <w:pPr>
        <w:spacing w:line="276" w:lineRule="auto"/>
      </w:pPr>
      <w:r>
        <w:t>**Sources primaires :**</w:t>
      </w:r>
    </w:p>
    <w:p>
      <w:pPr>
        <w:pStyle w:val="ListBullet"/>
      </w:pPr>
      <w:r>
        <w:t>Données publiques : Ministère Agriculture, Eurostat, FAO</w:t>
      </w:r>
    </w:p>
    <w:p>
      <w:pPr>
        <w:pStyle w:val="ListBullet"/>
      </w:pPr>
      <w:r>
        <w:t>Études sectorielles : Xerfi Agriculture 2025, Bain AgriTech 2024</w:t>
      </w:r>
    </w:p>
    <w:p>
      <w:pPr>
        <w:pStyle w:val="ListBullet"/>
      </w:pPr>
      <w:r>
        <w:t>Interviews terrain : Panel représentatif exploitations 50-500ha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2. INNOVATION WATERSENSE : DÉFINITION ET ARCHITECTURE</w:t>
      </w:r>
    </w:p>
    <w:p>
      <w:pPr>
        <w:pStyle w:val="Heading2"/>
      </w:pPr>
      <w:r>
        <w:rPr>
          <w:b/>
          <w:sz w:val="28"/>
        </w:rPr>
        <w:t>2.1 Caractères innovants : Les trois piliers de différenciation</w:t>
      </w:r>
    </w:p>
    <w:p>
      <w:pPr>
        <w:pStyle w:val="Heading3"/>
      </w:pPr>
      <w:r>
        <w:rPr>
          <w:b/>
          <w:sz w:val="24"/>
        </w:rPr>
        <w:t>Innovation Technologique : IA Prescriptive Brevetable</w:t>
      </w:r>
    </w:p>
    <w:p>
      <w:pPr>
        <w:spacing w:line="276" w:lineRule="auto"/>
      </w:pPr>
      <w:r>
        <w:t>**Ce qui change :**</w:t>
      </w:r>
    </w:p>
    <w:p>
      <w:pPr>
        <w:pStyle w:val="ListBullet"/>
      </w:pPr>
      <w:r>
        <w:t>**Du descriptif au prescriptif** : Non pas "alerte si VWC &lt; 60%", mais "arroser 18mm demain 5h-11h"</w:t>
      </w:r>
    </w:p>
    <w:p>
      <w:pPr>
        <w:pStyle w:val="ListBullet"/>
      </w:pPr>
      <w:r>
        <w:t>**Fusion multi-sources** : Capteurs sol + météo hyper-locale + modèles agronomiques</w:t>
      </w:r>
    </w:p>
    <w:p>
      <w:pPr>
        <w:pStyle w:val="ListBullet"/>
      </w:pPr>
      <w:r>
        <w:t>**Apprentissage continu** : Algorithme s'auto-améliore saison après saison</w:t>
      </w:r>
    </w:p>
    <w:p>
      <w:pPr>
        <w:spacing w:line="276" w:lineRule="auto"/>
      </w:pPr>
      <w:r>
        <w:t>**Brevetabilité :** Combinaison unique de fusion de données temps réel + modèles prédictifs + feedback agriculteur. Recherche antériorité négative.</w:t>
      </w:r>
    </w:p>
    <w:p>
      <w:pPr>
        <w:pStyle w:val="Heading3"/>
      </w:pPr>
      <w:r>
        <w:rPr>
          <w:b/>
          <w:sz w:val="24"/>
        </w:rPr>
        <w:t>Innovation Agronomique : Contextualisation Française</w:t>
      </w:r>
    </w:p>
    <w:p>
      <w:pPr>
        <w:spacing w:line="276" w:lineRule="auto"/>
      </w:pPr>
      <w:r>
        <w:t>**Ce qui change :**</w:t>
      </w:r>
    </w:p>
    <w:p>
      <w:pPr>
        <w:pStyle w:val="ListBullet"/>
      </w:pPr>
      <w:r>
        <w:t>**Modèles locaux** : Calibrés sur pédoclimats français vs génériques importés</w:t>
      </w:r>
    </w:p>
    <w:p>
      <w:pPr>
        <w:pStyle w:val="ListBullet"/>
      </w:pPr>
      <w:r>
        <w:t>**Variétés adaptées** : Coefficients Kc spécifiques aux semences françaises</w:t>
      </w:r>
    </w:p>
    <w:p>
      <w:pPr>
        <w:pStyle w:val="ListBullet"/>
      </w:pPr>
      <w:r>
        <w:t>**Réseau expertise** : Partenariats Arvalis/CTIFL pour validation scientifique</w:t>
      </w:r>
    </w:p>
    <w:p>
      <w:pPr>
        <w:pStyle w:val="Heading3"/>
      </w:pPr>
      <w:r>
        <w:rPr>
          <w:b/>
          <w:sz w:val="24"/>
        </w:rPr>
        <w:t>Innovation Économique : Modèle Hybride SaaS + Hardware</w:t>
      </w:r>
    </w:p>
    <w:p>
      <w:pPr>
        <w:spacing w:line="276" w:lineRule="auto"/>
      </w:pPr>
      <w:r>
        <w:t>**Ce qui change :**</w:t>
      </w:r>
    </w:p>
    <w:p>
      <w:pPr>
        <w:pStyle w:val="ListBullet"/>
      </w:pPr>
      <w:r>
        <w:t>**CAPEX réduit** : Location possible (HaaS) vs achat obligatoire</w:t>
      </w:r>
    </w:p>
    <w:p>
      <w:pPr>
        <w:pStyle w:val="ListBullet"/>
      </w:pPr>
      <w:r>
        <w:t>**OPEX lissé** : Abonnement annuel vs investissement lourd</w:t>
      </w:r>
    </w:p>
    <w:p>
      <w:pPr>
        <w:pStyle w:val="ListBullet"/>
      </w:pPr>
      <w:r>
        <w:t>**ROI accéléré** : Payback 6-9 mois vs 2-3 ans traditionnellement</w:t>
      </w:r>
    </w:p>
    <w:p>
      <w:pPr>
        <w:pStyle w:val="Heading2"/>
      </w:pPr>
      <w:r>
        <w:rPr>
          <w:b/>
          <w:sz w:val="28"/>
        </w:rPr>
        <w:t>2.2 Architecture technique 5 couches</w:t>
      </w:r>
    </w:p>
    <w:p>
      <w:pPr>
        <w:spacing w:line="276" w:lineRule="auto"/>
      </w:pPr>
      <w:r>
        <w:t>**[VISUEL 1 : SCHÉMA ARCHITECTURE 5 COUCHES]**</w:t>
      </w:r>
    </w:p>
    <w:p>
      <w:pPr>
        <w:spacing w:line="276" w:lineRule="auto"/>
      </w:pPr>
      <w:r>
        <w:t>*Description : Diagramme en couches horizontales avec icônes*</w:t>
      </w:r>
    </w:p>
    <w:p>
      <w:pPr>
        <w:pStyle w:val="ListBullet"/>
      </w:pPr>
      <w:r>
        <w:t>**Couche 1 Terrain :** Capteurs IoT (VWC, Temp, EC) Icône sonde enterrée</w:t>
      </w:r>
    </w:p>
    <w:p>
      <w:pPr>
        <w:pStyle w:val="ListBullet"/>
      </w:pPr>
      <w:r>
        <w:t>**Couche 2 Edge :** Gateway LoRaWAN Icône antenne radio</w:t>
      </w:r>
    </w:p>
    <w:p>
      <w:pPr>
        <w:pStyle w:val="ListBullet"/>
      </w:pPr>
      <w:r>
        <w:t>**Couche 3 Cloud :** Infrastructure AWS/Azure Icône nuage avec serveurs</w:t>
      </w:r>
    </w:p>
    <w:p>
      <w:pPr>
        <w:pStyle w:val="ListBullet"/>
      </w:pPr>
      <w:r>
        <w:t>**Couche 4 IA :** Moteur algorithmique Icône cerveau/robot</w:t>
      </w:r>
    </w:p>
    <w:p>
      <w:pPr>
        <w:pStyle w:val="ListBullet"/>
      </w:pPr>
      <w:r>
        <w:t>**Couche 5 Utilisateur :** App mobile/web Icône smartphone/tablette</w:t>
      </w:r>
    </w:p>
    <w:p>
      <w:pPr>
        <w:spacing w:line="276" w:lineRule="auto"/>
      </w:pPr>
      <w:r>
        <w:t>**Spécifications clés :**</w:t>
      </w:r>
    </w:p>
    <w:p>
      <w:pPr>
        <w:pStyle w:val="ListBullet"/>
      </w:pPr>
      <w:r>
        <w:t>**Capteurs :** FDR 70-100MHz, précision ±2%, autonomie 5 ans</w:t>
      </w:r>
    </w:p>
    <w:p>
      <w:pPr>
        <w:pStyle w:val="ListBullet"/>
      </w:pPr>
      <w:r>
        <w:t>**Transmission :** LoRaWAN Classe A, portée 10-15km</w:t>
      </w:r>
    </w:p>
    <w:p>
      <w:pPr>
        <w:pStyle w:val="ListBullet"/>
      </w:pPr>
      <w:r>
        <w:t>**Traitement :** Serverless functions, latence &lt;1s</w:t>
      </w:r>
    </w:p>
    <w:p>
      <w:pPr>
        <w:pStyle w:val="ListBullet"/>
      </w:pPr>
      <w:r>
        <w:t>**Stockage :** Time-series DB + data lake S3</w:t>
      </w:r>
    </w:p>
    <w:p>
      <w:pPr>
        <w:pStyle w:val="Heading2"/>
      </w:pPr>
      <w:r>
        <w:rPr>
          <w:b/>
          <w:sz w:val="28"/>
        </w:rPr>
        <w:t>2.3 Positionnement produit et différenciation</w:t>
      </w:r>
    </w:p>
    <w:p>
      <w:pPr>
        <w:spacing w:line="276" w:lineRule="auto"/>
      </w:pPr>
      <w:r>
        <w:t>**Positionnement stratégique :** "L'agronome digital dans votre poche"</w:t>
      </w:r>
    </w:p>
    <w:p>
      <w:pPr>
        <w:pStyle w:val="ListBullet"/>
      </w:pPr>
      <w:r>
        <w:t>**Cible :** Agriculteurs pragmatiques cherchant conformité + rentabilité</w:t>
      </w:r>
    </w:p>
    <w:p>
      <w:pPr>
        <w:pStyle w:val="ListBullet"/>
      </w:pPr>
      <w:r>
        <w:t>**Promesse :** "Irriguez moins, récoltez plus"</w:t>
      </w:r>
    </w:p>
    <w:p>
      <w:pPr>
        <w:pStyle w:val="ListBullet"/>
      </w:pPr>
      <w:r>
        <w:t>**Preuve :** Économies mesurées + conformité garantie</w:t>
      </w:r>
    </w:p>
    <w:p>
      <w:pPr>
        <w:spacing w:line="276" w:lineRule="auto"/>
      </w:pPr>
      <w:r>
        <w:t>**Différenciation vs concurrence :**</w:t>
      </w:r>
    </w:p>
    <w:p>
      <w:pPr>
        <w:pStyle w:val="ListBullet"/>
      </w:pPr>
      <w:r>
        <w:t>**Vs Sencrop :** IA prescriptive vs météo descriptive</w:t>
      </w:r>
    </w:p>
    <w:p>
      <w:pPr>
        <w:pStyle w:val="ListBullet"/>
      </w:pPr>
      <w:r>
        <w:t>**Vs Weenat :** UX simple vs complexité technique</w:t>
      </w:r>
    </w:p>
    <w:p>
      <w:pPr>
        <w:pStyle w:val="ListBullet"/>
      </w:pPr>
      <w:r>
        <w:t>**Vs Netafim :** SaaS accessible vs hardware propriétaire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3. ANALYSE PESTEL APPROFONDIE</w:t>
      </w:r>
    </w:p>
    <w:p>
      <w:pPr>
        <w:pStyle w:val="Heading2"/>
      </w:pPr>
      <w:r>
        <w:rPr>
          <w:b/>
          <w:sz w:val="28"/>
        </w:rPr>
        <w:t>3.1 Dimension Politique</w:t>
      </w:r>
    </w:p>
    <w:p>
      <w:pPr>
        <w:spacing w:line="276" w:lineRule="auto"/>
      </w:pPr>
      <w:r>
        <w:t>**Facteurs favorables :**</w:t>
      </w:r>
    </w:p>
    <w:p>
      <w:pPr>
        <w:pStyle w:val="ListBullet"/>
      </w:pPr>
      <w:r>
        <w:t>PAC 2023-2027 : Éco-régimes valorisant agriculture précision (+40€/ha)</w:t>
      </w:r>
    </w:p>
    <w:p>
      <w:pPr>
        <w:pStyle w:val="ListBullet"/>
      </w:pPr>
      <w:r>
        <w:t>France 2030 : 1.5 Md€ pour numérique agricole</w:t>
      </w:r>
    </w:p>
    <w:p>
      <w:pPr>
        <w:pStyle w:val="ListBullet"/>
      </w:pPr>
      <w:r>
        <w:t>Réglementation eau : Obligation compteurs connectés 2027</w:t>
      </w:r>
    </w:p>
    <w:p>
      <w:pPr>
        <w:spacing w:line="276" w:lineRule="auto"/>
      </w:pPr>
      <w:r>
        <w:t>**Risques :**</w:t>
      </w:r>
    </w:p>
    <w:p>
      <w:pPr>
        <w:pStyle w:val="ListBullet"/>
      </w:pPr>
      <w:r>
        <w:t>Changements politiques : Révision PAC 2027 incertaine</w:t>
      </w:r>
    </w:p>
    <w:p>
      <w:pPr>
        <w:pStyle w:val="ListBullet"/>
      </w:pPr>
      <w:r>
        <w:t>Bureaucratie : Complexité subventions freine adoption</w:t>
      </w:r>
    </w:p>
    <w:p>
      <w:pPr>
        <w:pStyle w:val="Heading2"/>
      </w:pPr>
      <w:r>
        <w:rPr>
          <w:b/>
          <w:sz w:val="28"/>
        </w:rPr>
        <w:t>3.2 Dimension Économique</w:t>
      </w:r>
    </w:p>
    <w:p>
      <w:pPr>
        <w:spacing w:line="276" w:lineRule="auto"/>
      </w:pPr>
      <w:r>
        <w:t>**Tendances :**</w:t>
      </w:r>
    </w:p>
    <w:p>
      <w:pPr>
        <w:pStyle w:val="ListBullet"/>
      </w:pPr>
      <w:r>
        <w:t>Coût eau : +25% 2020-2025, tendance haussière</w:t>
      </w:r>
    </w:p>
    <w:p>
      <w:pPr>
        <w:pStyle w:val="ListBullet"/>
      </w:pPr>
      <w:r>
        <w:t>Énergie : Prix kWh agricole +18%, pic été</w:t>
      </w:r>
    </w:p>
    <w:p>
      <w:pPr>
        <w:pStyle w:val="ListBullet"/>
      </w:pPr>
      <w:r>
        <w:t>Subventions : 40% aides investissement sondes</w:t>
      </w:r>
    </w:p>
    <w:p>
      <w:pPr>
        <w:spacing w:line="276" w:lineRule="auto"/>
      </w:pPr>
      <w:r>
        <w:t>**Implications :**</w:t>
      </w:r>
    </w:p>
    <w:p>
      <w:pPr>
        <w:pStyle w:val="ListBullet"/>
      </w:pPr>
      <w:r>
        <w:t>ROI solutions optimisation : 6-9 mois (vs 2-3 ans tradition)</w:t>
      </w:r>
    </w:p>
    <w:p>
      <w:pPr>
        <w:pStyle w:val="ListBullet"/>
      </w:pPr>
      <w:r>
        <w:t>Marché captif : Agriculteurs contraints d'investir</w:t>
      </w:r>
    </w:p>
    <w:p>
      <w:pPr>
        <w:pStyle w:val="Heading2"/>
      </w:pPr>
      <w:r>
        <w:rPr>
          <w:b/>
          <w:sz w:val="28"/>
        </w:rPr>
        <w:t>3.3 Dimension Socioculturelle</w:t>
      </w:r>
    </w:p>
    <w:p>
      <w:pPr>
        <w:spacing w:line="276" w:lineRule="auto"/>
      </w:pPr>
      <w:r>
        <w:t>**Évolution :**</w:t>
      </w:r>
    </w:p>
    <w:p>
      <w:pPr>
        <w:pStyle w:val="ListBullet"/>
      </w:pPr>
      <w:r>
        <w:t>Renouvellement générationnel : 35% agriculteurs &lt;40 ans digital-native</w:t>
      </w:r>
    </w:p>
    <w:p>
      <w:pPr>
        <w:pStyle w:val="ListBullet"/>
      </w:pPr>
      <w:r>
        <w:t>Pression société civile : "License to operate" eau</w:t>
      </w:r>
    </w:p>
    <w:p>
      <w:pPr>
        <w:pStyle w:val="ListBullet"/>
      </w:pPr>
      <w:r>
        <w:t>Adoption tech : +15% /an solutions AgriTech</w:t>
      </w:r>
    </w:p>
    <w:p>
      <w:pPr>
        <w:pStyle w:val="Heading2"/>
      </w:pPr>
      <w:r>
        <w:rPr>
          <w:b/>
          <w:sz w:val="28"/>
        </w:rPr>
        <w:t>3.4 Dimension Technologique</w:t>
      </w:r>
    </w:p>
    <w:p>
      <w:pPr>
        <w:spacing w:line="276" w:lineRule="auto"/>
      </w:pPr>
      <w:r>
        <w:t>**Maturité :**</w:t>
      </w:r>
    </w:p>
    <w:p>
      <w:pPr>
        <w:pStyle w:val="ListBullet"/>
      </w:pPr>
      <w:r>
        <w:t>IoT rural : Couverture LoRa/Sigfox 95% zones agricoles</w:t>
      </w:r>
    </w:p>
    <w:p>
      <w:pPr>
        <w:pStyle w:val="ListBullet"/>
      </w:pPr>
      <w:r>
        <w:t>5G : Déploiement accéléré zones rurales</w:t>
      </w:r>
    </w:p>
    <w:p>
      <w:pPr>
        <w:pStyle w:val="ListBullet"/>
      </w:pPr>
      <w:r>
        <w:t>IA : Modèles prédictifs fiables pour agriculture</w:t>
      </w:r>
    </w:p>
    <w:p>
      <w:pPr>
        <w:pStyle w:val="Heading2"/>
      </w:pPr>
      <w:r>
        <w:rPr>
          <w:b/>
          <w:sz w:val="28"/>
        </w:rPr>
        <w:t>3.5 Dimension Environnementale</w:t>
      </w:r>
    </w:p>
    <w:p>
      <w:pPr>
        <w:spacing w:line="276" w:lineRule="auto"/>
      </w:pPr>
      <w:r>
        <w:t>**Contraintes :**</w:t>
      </w:r>
    </w:p>
    <w:p>
      <w:pPr>
        <w:pStyle w:val="ListBullet"/>
      </w:pPr>
      <w:r>
        <w:t>Stress hydrique : 40% nappes en alerte</w:t>
      </w:r>
    </w:p>
    <w:p>
      <w:pPr>
        <w:pStyle w:val="ListBullet"/>
      </w:pPr>
      <w:r>
        <w:t>Carbone : Agriculture 20% émissions France</w:t>
      </w:r>
    </w:p>
    <w:p>
      <w:pPr>
        <w:pStyle w:val="ListBullet"/>
      </w:pPr>
      <w:r>
        <w:t>Biodiversité : Protection sols et cours d'eau</w:t>
      </w:r>
    </w:p>
    <w:p>
      <w:pPr>
        <w:pStyle w:val="Heading2"/>
      </w:pPr>
      <w:r>
        <w:rPr>
          <w:b/>
          <w:sz w:val="28"/>
        </w:rPr>
        <w:t>3.6 Dimension Légale</w:t>
      </w:r>
    </w:p>
    <w:p>
      <w:pPr>
        <w:spacing w:line="276" w:lineRule="auto"/>
      </w:pPr>
      <w:r>
        <w:t>**RGPD :** Données agriculteurs sensibles</w:t>
      </w:r>
    </w:p>
    <w:p>
      <w:pPr>
        <w:spacing w:line="276" w:lineRule="auto"/>
      </w:pPr>
      <w:r>
        <w:t>**Responsabilité :** Qui assume si conseil IA erroné ?</w:t>
      </w:r>
    </w:p>
    <w:p>
      <w:pPr>
        <w:spacing w:line="276" w:lineRule="auto"/>
      </w:pPr>
      <w:r>
        <w:t>**Normes :** Certification ISO 27001 requise</w:t>
      </w:r>
    </w:p>
    <w:p>
      <w:pPr>
        <w:pStyle w:val="Heading2"/>
      </w:pPr>
      <w:r>
        <w:rPr>
          <w:b/>
          <w:sz w:val="28"/>
        </w:rPr>
        <w:t>3.7 Synthèse PESTEL</w:t>
      </w:r>
    </w:p>
    <w:p>
      <w:pPr>
        <w:spacing w:line="276" w:lineRule="auto"/>
      </w:pPr>
      <w:r>
        <w:t>**Score global : 8.5/10** (Très favorable)</w:t>
      </w:r>
    </w:p>
    <w:p>
      <w:pPr>
        <w:spacing w:line="276" w:lineRule="auto"/>
      </w:pPr>
      <w:r>
        <w:t>Implication : Marché mature pour adoption tech, contraintes réglementaires créent demande.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4. ÉTUDE DE MARCHÉ QUANTITATIVE</w:t>
      </w:r>
    </w:p>
    <w:p>
      <w:pPr>
        <w:pStyle w:val="Heading2"/>
      </w:pPr>
      <w:r>
        <w:rPr>
          <w:b/>
          <w:sz w:val="28"/>
        </w:rPr>
        <w:t>4.1 Définition et segmentation</w:t>
      </w:r>
    </w:p>
    <w:p>
      <w:pPr>
        <w:spacing w:line="276" w:lineRule="auto"/>
      </w:pPr>
      <w:r>
        <w:t>**Marché cible :** Exploitations irriguées grandes cultures + spécialisées</w:t>
      </w:r>
    </w:p>
    <w:p>
      <w:pPr>
        <w:spacing w:line="276" w:lineRule="auto"/>
      </w:pPr>
      <w:r>
        <w:t>**Segmentation :**</w:t>
      </w:r>
    </w:p>
    <w:p>
      <w:pPr>
        <w:pStyle w:val="ListBullet"/>
      </w:pPr>
      <w:r>
        <w:t>**Géographique :** Sud-Ouest (40%), Centre (30%), Grand-Est (20%)</w:t>
      </w:r>
    </w:p>
    <w:p>
      <w:pPr>
        <w:pStyle w:val="ListBullet"/>
      </w:pPr>
      <w:r>
        <w:t>**Culture :** Maïs (45%), Blé (20%), Vigne (15%), Légumes (10%)</w:t>
      </w:r>
    </w:p>
    <w:p>
      <w:pPr>
        <w:pStyle w:val="ListBullet"/>
      </w:pPr>
      <w:r>
        <w:t>**Taille :** 50-200ha (cœur cible), &gt;200ha (premium)</w:t>
      </w:r>
    </w:p>
    <w:p>
      <w:pPr>
        <w:pStyle w:val="Heading2"/>
      </w:pPr>
      <w:r>
        <w:rPr>
          <w:b/>
          <w:sz w:val="28"/>
        </w:rPr>
        <w:t>4.2 Calcul détaillé TAM/SAM/SOM</w:t>
      </w:r>
    </w:p>
    <w:p>
      <w:pPr>
        <w:spacing w:line="276" w:lineRule="auto"/>
      </w:pPr>
      <w:r>
        <w:t>**[VISUEL 2 : DIAGRAMME TAM/SAM/SOM]**</w:t>
      </w:r>
    </w:p>
    <w:p>
      <w:pPr>
        <w:spacing w:line="276" w:lineRule="auto"/>
      </w:pPr>
      <w:r>
        <w:t>*Description : Cercles concentriques avec montants et pourcentages*</w:t>
      </w:r>
    </w:p>
    <w:p>
      <w:pPr>
        <w:spacing w:line="276" w:lineRule="auto"/>
      </w:pPr>
      <w:r>
        <w:t>**TAM (Total Addressable Market) : 284.5 M€**</w:t>
      </w:r>
    </w:p>
    <w:p>
      <w:pPr>
        <w:pStyle w:val="ListBullet"/>
      </w:pPr>
      <w:r>
        <w:t>Surface irriguée France : 1.6 M ha</w:t>
      </w:r>
    </w:p>
    <w:p>
      <w:pPr>
        <w:pStyle w:val="ListBullet"/>
      </w:pPr>
      <w:r>
        <w:t>Coût moyen solution/ha : 170€/an (hardware amorti + SaaS)</w:t>
      </w:r>
    </w:p>
    <w:p>
      <w:pPr>
        <w:pStyle w:val="ListBullet"/>
      </w:pPr>
      <w:r>
        <w:t>Calcul : 1.6M × 170€ = 272M€ + services associés = 284.5M€</w:t>
      </w:r>
    </w:p>
    <w:p>
      <w:pPr>
        <w:spacing w:line="276" w:lineRule="auto"/>
      </w:pPr>
      <w:r>
        <w:t>**SAM (Serviceable Addressable Market) : 75-85 M€**</w:t>
      </w:r>
    </w:p>
    <w:p>
      <w:pPr>
        <w:pStyle w:val="ListBullet"/>
      </w:pPr>
      <w:r>
        <w:t>Focus cultures hautes valeurs : 60% TAM = 170M€</w:t>
      </w:r>
    </w:p>
    <w:p>
      <w:pPr>
        <w:pStyle w:val="ListBullet"/>
      </w:pPr>
      <w:r>
        <w:t>Taux digitalisation actuel : 45% = 76.5M€</w:t>
      </w:r>
    </w:p>
    <w:p>
      <w:pPr>
        <w:pStyle w:val="ListBullet"/>
      </w:pPr>
      <w:r>
        <w:t>Ajustement conservateur : 75-85M€</w:t>
      </w:r>
    </w:p>
    <w:p>
      <w:pPr>
        <w:spacing w:line="276" w:lineRule="auto"/>
      </w:pPr>
      <w:r>
        <w:t>**SOM (Serviceable Obtainable Market) : 1.7-2.8 M€**</w:t>
      </w:r>
    </w:p>
    <w:p>
      <w:pPr>
        <w:pStyle w:val="ListBullet"/>
      </w:pPr>
      <w:r>
        <w:t>Part cible Y1 : 2% SAM = 1.5-1.7M€</w:t>
      </w:r>
    </w:p>
    <w:p>
      <w:pPr>
        <w:pStyle w:val="ListBullet"/>
      </w:pPr>
      <w:r>
        <w:t>Croissance organique : +0.8M€ via expansion</w:t>
      </w:r>
    </w:p>
    <w:p>
      <w:pPr>
        <w:pStyle w:val="ListBullet"/>
      </w:pPr>
      <w:r>
        <w:t>Total : 1.7-2.8M€</w:t>
      </w:r>
    </w:p>
    <w:p>
      <w:pPr>
        <w:pStyle w:val="Heading2"/>
      </w:pPr>
      <w:r>
        <w:rPr>
          <w:b/>
          <w:sz w:val="28"/>
        </w:rPr>
        <w:t>4.3 Personas clients détaillés</w:t>
      </w:r>
    </w:p>
    <w:p>
      <w:pPr>
        <w:spacing w:line="276" w:lineRule="auto"/>
      </w:pPr>
      <w:r>
        <w:t>**Persona Primaire : "Le Gestionnaire Pragmatique"**</w:t>
      </w:r>
    </w:p>
    <w:p>
      <w:pPr>
        <w:pStyle w:val="ListBullet"/>
      </w:pPr>
      <w:r>
        <w:t>**Profil :** 48 ans, 150ha maïs/blé, Gers</w:t>
      </w:r>
    </w:p>
    <w:p>
      <w:pPr>
        <w:pStyle w:val="ListBullet"/>
      </w:pPr>
      <w:r>
        <w:t>**Douleurs :** Amendes eau, coûts énergie, stress conformité</w:t>
      </w:r>
    </w:p>
    <w:p>
      <w:pPr>
        <w:pStyle w:val="ListBullet"/>
      </w:pPr>
      <w:r>
        <w:t>**Gains :** ROI rapide, conformité automatique, tranquillité</w:t>
      </w:r>
    </w:p>
    <w:p>
      <w:pPr>
        <w:pStyle w:val="ListBullet"/>
      </w:pPr>
      <w:r>
        <w:t>**Objections :** Complexité, coût initial</w:t>
      </w:r>
    </w:p>
    <w:p>
      <w:pPr>
        <w:pStyle w:val="ListBullet"/>
      </w:pPr>
      <w:r>
        <w:t>**Solution :** Offre Standard + accompagnement coopérative</w:t>
      </w:r>
    </w:p>
    <w:p>
      <w:pPr>
        <w:spacing w:line="276" w:lineRule="auto"/>
      </w:pPr>
      <w:r>
        <w:t>**Persona Secondaire : "L'Innovateur Technique"**</w:t>
      </w:r>
    </w:p>
    <w:p>
      <w:pPr>
        <w:pStyle w:val="ListBullet"/>
      </w:pPr>
      <w:r>
        <w:t>**Profil :** 35 ans, 80ha légumes, Loire-Atlantique</w:t>
      </w:r>
    </w:p>
    <w:p>
      <w:pPr>
        <w:pStyle w:val="ListBullet"/>
      </w:pPr>
      <w:r>
        <w:t>**Douleurs :** Qualité produit, optimisation intrants</w:t>
      </w:r>
    </w:p>
    <w:p>
      <w:pPr>
        <w:pStyle w:val="ListBullet"/>
      </w:pPr>
      <w:r>
        <w:t>**Gains :** Précision irrigation, traçabilité, différenciation</w:t>
      </w:r>
    </w:p>
    <w:p>
      <w:pPr>
        <w:pStyle w:val="ListBullet"/>
      </w:pPr>
      <w:r>
        <w:t>**Solution :** Offre Premium + API intégration</w:t>
      </w:r>
    </w:p>
    <w:p>
      <w:pPr>
        <w:pStyle w:val="Heading2"/>
      </w:pPr>
      <w:r>
        <w:rPr>
          <w:b/>
          <w:sz w:val="28"/>
        </w:rPr>
        <w:t>4.4 Tendances et évolution à 5 ans</w:t>
      </w:r>
    </w:p>
    <w:p>
      <w:pPr>
        <w:pStyle w:val="ListBullet"/>
      </w:pPr>
      <w:r>
        <w:t>**Croissance TAM :** +12% CAGR (pression eau + adoption tech)</w:t>
      </w:r>
    </w:p>
    <w:p>
      <w:pPr>
        <w:pStyle w:val="ListBullet"/>
      </w:pPr>
      <w:r>
        <w:t>**Digitalisation :** +25% exploitations connectées 2026-2030</w:t>
      </w:r>
    </w:p>
    <w:p>
      <w:pPr>
        <w:pStyle w:val="ListBullet"/>
      </w:pPr>
      <w:r>
        <w:t>**Concurrence :** Entrée géants (Bayer, Corteva) post-2027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5. CARTOGRAPHIE CONCURRENTIELLE</w:t>
      </w:r>
    </w:p>
    <w:p>
      <w:pPr>
        <w:pStyle w:val="Heading2"/>
      </w:pPr>
      <w:r>
        <w:rPr>
          <w:b/>
          <w:sz w:val="28"/>
        </w:rPr>
        <w:t>5.1 Forces concurrentielles (Porter)</w:t>
      </w:r>
    </w:p>
    <w:p>
      <w:pPr>
        <w:pStyle w:val="ListBullet"/>
      </w:pPr>
      <w:r>
        <w:t>**Menace nouveaux entrants :** Moyenne (barrières IP + réseau)</w:t>
      </w:r>
    </w:p>
    <w:p>
      <w:pPr>
        <w:pStyle w:val="ListBullet"/>
      </w:pPr>
      <w:r>
        <w:t>**Pouvoir fournisseurs :** Faible (composants standardisés)</w:t>
      </w:r>
    </w:p>
    <w:p>
      <w:pPr>
        <w:pStyle w:val="ListBullet"/>
      </w:pPr>
      <w:r>
        <w:t>**Pouvoir clients :** Moyen (coût changement élevé)</w:t>
      </w:r>
    </w:p>
    <w:p>
      <w:pPr>
        <w:pStyle w:val="ListBullet"/>
      </w:pPr>
      <w:r>
        <w:t>**Menace substituts :** Forte (méthodes traditionnelles)</w:t>
      </w:r>
    </w:p>
    <w:p>
      <w:pPr>
        <w:pStyle w:val="ListBullet"/>
      </w:pPr>
      <w:r>
        <w:t>**Rivalité interne :** Élevée (marché fragmenté)</w:t>
      </w:r>
    </w:p>
    <w:p>
      <w:pPr>
        <w:pStyle w:val="Heading2"/>
      </w:pPr>
      <w:r>
        <w:rPr>
          <w:b/>
          <w:sz w:val="28"/>
        </w:rPr>
        <w:t>5.2 Analyse concurrents directs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Concurrent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Positionnement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Forces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Faiblesses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Part Marché Est.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**Sencrop**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Météo connectée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UX simple, base installée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Peu sol, focus météo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25%</w:t>
            </w:r>
          </w:p>
        </w:tc>
      </w:tr>
      <w:tr>
        <w:tc>
          <w:tcPr>
            <w:tcW w:type="dxa" w:w="1872"/>
          </w:tcPr>
          <w:p>
            <w:r>
              <w:t>**Weenat**</w:t>
            </w:r>
          </w:p>
        </w:tc>
        <w:tc>
          <w:tcPr>
            <w:tcW w:type="dxa" w:w="1872"/>
          </w:tcPr>
          <w:p>
            <w:r>
              <w:t>Précision agricole</w:t>
            </w:r>
          </w:p>
        </w:tc>
        <w:tc>
          <w:tcPr>
            <w:tcW w:type="dxa" w:w="1872"/>
          </w:tcPr>
          <w:p>
            <w:r>
              <w:t>Expertise agro, réseau</w:t>
            </w:r>
          </w:p>
        </w:tc>
        <w:tc>
          <w:tcPr>
            <w:tcW w:type="dxa" w:w="1872"/>
          </w:tcPr>
          <w:p>
            <w:r>
              <w:t>Prix élevé, complexité</w:t>
            </w:r>
          </w:p>
        </w:tc>
        <w:tc>
          <w:tcPr>
            <w:tcW w:type="dxa" w:w="1872"/>
          </w:tcPr>
          <w:p>
            <w:r>
              <w:t>20%</w:t>
            </w:r>
          </w:p>
        </w:tc>
      </w:tr>
      <w:tr>
        <w:tc>
          <w:tcPr>
            <w:tcW w:type="dxa" w:w="1872"/>
          </w:tcPr>
          <w:p>
            <w:r>
              <w:t>**Netafim**</w:t>
            </w:r>
          </w:p>
        </w:tc>
        <w:tc>
          <w:tcPr>
            <w:tcW w:type="dxa" w:w="1872"/>
          </w:tcPr>
          <w:p>
            <w:r>
              <w:t>Irrigation goutte</w:t>
            </w:r>
          </w:p>
        </w:tc>
        <w:tc>
          <w:tcPr>
            <w:tcW w:type="dxa" w:w="1872"/>
          </w:tcPr>
          <w:p>
            <w:r>
              <w:t>Géant mondial, global</w:t>
            </w:r>
          </w:p>
        </w:tc>
        <w:tc>
          <w:tcPr>
            <w:tcW w:type="dxa" w:w="1872"/>
          </w:tcPr>
          <w:p>
            <w:r>
              <w:t>Hardware cher, fermé</w:t>
            </w:r>
          </w:p>
        </w:tc>
        <w:tc>
          <w:tcPr>
            <w:tcW w:type="dxa" w:w="1872"/>
          </w:tcPr>
          <w:p>
            <w:r>
              <w:t>15%</w:t>
            </w:r>
          </w:p>
        </w:tc>
      </w:tr>
    </w:tbl>
    <w:p>
      <w:pPr>
        <w:pStyle w:val="Heading2"/>
      </w:pPr>
      <w:r>
        <w:rPr>
          <w:b/>
          <w:sz w:val="28"/>
        </w:rPr>
        <w:t>5.3 Analyse concurrents indirects</w:t>
      </w:r>
    </w:p>
    <w:p>
      <w:pPr>
        <w:pStyle w:val="ListBullet"/>
      </w:pPr>
      <w:r>
        <w:t>Sondes low-cost chinoises : Prix 50€ vs qualité douteuse</w:t>
      </w:r>
    </w:p>
    <w:p>
      <w:pPr>
        <w:pStyle w:val="ListBullet"/>
      </w:pPr>
      <w:r>
        <w:t>Solutions propriétaires constructeurs : Fermées, coûteuses</w:t>
      </w:r>
    </w:p>
    <w:p>
      <w:pPr>
        <w:pStyle w:val="ListBullet"/>
      </w:pPr>
      <w:r>
        <w:t>Méthodes traditionnelles : Gratuites mais inefficaces</w:t>
      </w:r>
    </w:p>
    <w:p>
      <w:pPr>
        <w:pStyle w:val="Heading2"/>
      </w:pPr>
      <w:r>
        <w:rPr>
          <w:b/>
          <w:sz w:val="28"/>
        </w:rPr>
        <w:t>5.4 Positionnement stratégique WaterSense</w:t>
      </w:r>
    </w:p>
    <w:p>
      <w:pPr>
        <w:spacing w:line="276" w:lineRule="auto"/>
      </w:pPr>
      <w:r>
        <w:t>**[VISUEL 3 : MATRICE POSITIONNEMENT]**</w:t>
      </w:r>
    </w:p>
    <w:p>
      <w:pPr>
        <w:spacing w:line="276" w:lineRule="auto"/>
      </w:pPr>
      <w:r>
        <w:t>*Description : Carte 2 axes - Prix vs Complexité*</w:t>
      </w:r>
    </w:p>
    <w:p>
      <w:pPr>
        <w:pStyle w:val="ListBullet"/>
      </w:pPr>
      <w:r>
        <w:t>Axe X : Prix (Bas → Élevé)</w:t>
      </w:r>
    </w:p>
    <w:p>
      <w:pPr>
        <w:pStyle w:val="ListBullet"/>
      </w:pPr>
      <w:r>
        <w:t>Axe Y : Complexité adoption (Simple → Complexe)</w:t>
      </w:r>
    </w:p>
    <w:p>
      <w:pPr>
        <w:pStyle w:val="ListBullet"/>
      </w:pPr>
      <w:r>
        <w:t>WaterSense : Coin "Simple + Accessible" (différenciation)</w:t>
      </w:r>
    </w:p>
    <w:p>
      <w:pPr>
        <w:spacing w:line="276" w:lineRule="auto"/>
      </w:pPr>
      <w:r>
        <w:t>**Stratégie :** "Blue Ocean" - Éviter guerre prix, créer nouvelle catégorie "Irrigation intelligente accessible"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6. ANALYSE SWOT STRATÉGIQUE</w:t>
      </w:r>
    </w:p>
    <w:p>
      <w:pPr>
        <w:pStyle w:val="Heading2"/>
      </w:pPr>
      <w:r>
        <w:rPr>
          <w:b/>
          <w:sz w:val="28"/>
        </w:rPr>
        <w:t>6.1 Forces internes</w:t>
      </w:r>
    </w:p>
    <w:p>
      <w:pPr>
        <w:spacing w:line="276" w:lineRule="auto"/>
      </w:pPr>
      <w:r>
        <w:t>1. **IA prescriptive unique** : Brevetable, différenciation durable</w:t>
      </w:r>
    </w:p>
    <w:p>
      <w:pPr>
        <w:spacing w:line="276" w:lineRule="auto"/>
      </w:pPr>
      <w:r>
        <w:t>2. **UX mobile-first** : Adoption facile vs concurrence complexe</w:t>
      </w:r>
    </w:p>
    <w:p>
      <w:pPr>
        <w:spacing w:line="276" w:lineRule="auto"/>
      </w:pPr>
      <w:r>
        <w:t>3. **Partenaires institutionnels** : Crédibilité Arvalis/Chambres</w:t>
      </w:r>
    </w:p>
    <w:p>
      <w:pPr>
        <w:spacing w:line="276" w:lineRule="auto"/>
      </w:pPr>
      <w:r>
        <w:t>4. **Modèle économique hybride** : Flexibilité prix attractive</w:t>
      </w:r>
    </w:p>
    <w:p>
      <w:pPr>
        <w:spacing w:line="276" w:lineRule="auto"/>
      </w:pPr>
      <w:r>
        <w:t>5. **Équipe tech expérimentée** : 15 ans AgriTech moyenne</w:t>
      </w:r>
    </w:p>
    <w:p>
      <w:pPr>
        <w:pStyle w:val="Heading2"/>
      </w:pPr>
      <w:r>
        <w:rPr>
          <w:b/>
          <w:sz w:val="28"/>
        </w:rPr>
        <w:t>6.2 Faiblesses internes</w:t>
      </w:r>
    </w:p>
    <w:p>
      <w:pPr>
        <w:spacing w:line="276" w:lineRule="auto"/>
      </w:pPr>
      <w:r>
        <w:t>1. **Notoriété nulle** : Day 1, pas de références clients</w:t>
      </w:r>
    </w:p>
    <w:p>
      <w:pPr>
        <w:spacing w:line="276" w:lineRule="auto"/>
      </w:pPr>
      <w:r>
        <w:t>2. **Équipe commerciale réduite** : 3 personnes initiales</w:t>
      </w:r>
    </w:p>
    <w:p>
      <w:pPr>
        <w:spacing w:line="276" w:lineRule="auto"/>
      </w:pPr>
      <w:r>
        <w:t>3. **Dépendance hardware** : Risque ruptures fournisseurs</w:t>
      </w:r>
    </w:p>
    <w:p>
      <w:pPr>
        <w:spacing w:line="276" w:lineRule="auto"/>
      </w:pPr>
      <w:r>
        <w:t>4. **Pas de scale-up expérience** : Première aventure entrepreneuriale</w:t>
      </w:r>
    </w:p>
    <w:p>
      <w:pPr>
        <w:pStyle w:val="Heading2"/>
      </w:pPr>
      <w:r>
        <w:rPr>
          <w:b/>
          <w:sz w:val="28"/>
        </w:rPr>
        <w:t>6.3 Opportunités externes</w:t>
      </w:r>
    </w:p>
    <w:p>
      <w:pPr>
        <w:spacing w:line="276" w:lineRule="auto"/>
      </w:pPr>
      <w:r>
        <w:t>1. **Subventions massives** : 500M€ PAC numérique 2027</w:t>
      </w:r>
    </w:p>
    <w:p>
      <w:pPr>
        <w:spacing w:line="276" w:lineRule="auto"/>
      </w:pPr>
      <w:r>
        <w:t>2. **Urgence climatique** : Adoption accélérée par contraintes</w:t>
      </w:r>
    </w:p>
    <w:p>
      <w:pPr>
        <w:spacing w:line="276" w:lineRule="auto"/>
      </w:pPr>
      <w:r>
        <w:t>3. **Consolidation marché** : Acquisitions possibles post-2028</w:t>
      </w:r>
    </w:p>
    <w:p>
      <w:pPr>
        <w:spacing w:line="276" w:lineRule="auto"/>
      </w:pPr>
      <w:r>
        <w:t>4. **Export Europe** : Modèle français exportable Sud</w:t>
      </w:r>
    </w:p>
    <w:p>
      <w:pPr>
        <w:pStyle w:val="Heading2"/>
      </w:pPr>
      <w:r>
        <w:rPr>
          <w:b/>
          <w:sz w:val="28"/>
        </w:rPr>
        <w:t>6.4 Menaces externes</w:t>
      </w:r>
    </w:p>
    <w:p>
      <w:pPr>
        <w:spacing w:line="276" w:lineRule="auto"/>
      </w:pPr>
      <w:r>
        <w:t>1. **Entrée géants** : Bayer/BASF/Corteva sur data agricole</w:t>
      </w:r>
    </w:p>
    <w:p>
      <w:pPr>
        <w:spacing w:line="276" w:lineRule="auto"/>
      </w:pPr>
      <w:r>
        <w:t>2. **Ruptures composants** : Semi-conducteurs volatils</w:t>
      </w:r>
    </w:p>
    <w:p>
      <w:pPr>
        <w:spacing w:line="276" w:lineRule="auto"/>
      </w:pPr>
      <w:r>
        <w:t>3. **Adoption lente** : Conservatisme agricole français</w:t>
      </w:r>
    </w:p>
    <w:p>
      <w:pPr>
        <w:spacing w:line="276" w:lineRule="auto"/>
      </w:pPr>
      <w:r>
        <w:t>4. **Cyber-risques** : Fermes connectées vulnérables</w:t>
      </w:r>
    </w:p>
    <w:p>
      <w:pPr>
        <w:pStyle w:val="Heading2"/>
      </w:pPr>
      <w:r>
        <w:rPr>
          <w:b/>
          <w:sz w:val="28"/>
        </w:rPr>
        <w:t>6.5 Matrice TOWS et stratégies</w:t>
      </w:r>
    </w:p>
    <w:p>
      <w:pPr>
        <w:pStyle w:val="ListBullet"/>
      </w:pPr>
      <w:r>
        <w:t>**SO :** Exploiter subventions + IA pour accélérer adoption</w:t>
      </w:r>
    </w:p>
    <w:p>
      <w:pPr>
        <w:pStyle w:val="ListBullet"/>
      </w:pPr>
      <w:r>
        <w:t>**ST :** Renforcer sécurité cyber + partenariats pour crédibilité</w:t>
      </w:r>
    </w:p>
    <w:p>
      <w:pPr>
        <w:pStyle w:val="ListBullet"/>
      </w:pPr>
      <w:r>
        <w:t>**WO :** Utiliser subventions pour compenser faiblesse notoriété</w:t>
      </w:r>
    </w:p>
    <w:p>
      <w:pPr>
        <w:pStyle w:val="ListBullet"/>
      </w:pPr>
      <w:r>
        <w:t>**WT :** Diversifier fournisseurs + focus niches résistantes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7. STRATÉGIE PRODUIT (PRODUCT)</w:t>
      </w:r>
    </w:p>
    <w:p>
      <w:pPr>
        <w:pStyle w:val="Heading2"/>
      </w:pPr>
      <w:r>
        <w:rPr>
          <w:b/>
          <w:sz w:val="28"/>
        </w:rPr>
        <w:t>7.1 Architecture d'offre</w:t>
      </w:r>
    </w:p>
    <w:p>
      <w:pPr>
        <w:spacing w:line="276" w:lineRule="auto"/>
      </w:pPr>
      <w:r>
        <w:t>**[VISUEL 4 : PYRAMIDE OFFRE 3 TIERS]**</w:t>
      </w:r>
    </w:p>
    <w:p>
      <w:pPr>
        <w:spacing w:line="276" w:lineRule="auto"/>
      </w:pPr>
      <w:r>
        <w:t>*Description : Pyramide avec 3 niveaux colorés*</w:t>
      </w:r>
    </w:p>
    <w:p>
      <w:pPr>
        <w:spacing w:line="276" w:lineRule="auto"/>
      </w:pPr>
      <w:r>
        <w:t>**Essential (Entrée de gamme) : 99€/an**</w:t>
      </w:r>
    </w:p>
    <w:p>
      <w:pPr>
        <w:pStyle w:val="ListBullet"/>
      </w:pPr>
      <w:r>
        <w:t>1 sonde météo</w:t>
      </w:r>
    </w:p>
    <w:p>
      <w:pPr>
        <w:pStyle w:val="ListBullet"/>
      </w:pPr>
      <w:r>
        <w:t>App mobile basique</w:t>
      </w:r>
    </w:p>
    <w:p>
      <w:pPr>
        <w:pStyle w:val="ListBullet"/>
      </w:pPr>
      <w:r>
        <w:t>Alertes seuils simples</w:t>
      </w:r>
    </w:p>
    <w:p>
      <w:pPr>
        <w:spacing w:line="276" w:lineRule="auto"/>
      </w:pPr>
      <w:r>
        <w:t>**Standard (Cœur cible) : 299€/an**</w:t>
      </w:r>
    </w:p>
    <w:p>
      <w:pPr>
        <w:pStyle w:val="ListBullet"/>
      </w:pPr>
      <w:r>
        <w:t>3 sondes sol + météo</w:t>
      </w:r>
    </w:p>
    <w:p>
      <w:pPr>
        <w:pStyle w:val="ListBullet"/>
      </w:pPr>
      <w:r>
        <w:t>Dashboard complet</w:t>
      </w:r>
    </w:p>
    <w:p>
      <w:pPr>
        <w:pStyle w:val="ListBullet"/>
      </w:pPr>
      <w:r>
        <w:t>Recommandations IA</w:t>
      </w:r>
    </w:p>
    <w:p>
      <w:pPr>
        <w:spacing w:line="276" w:lineRule="auto"/>
      </w:pPr>
      <w:r>
        <w:t>**Premium (Haut de gamme) : 499€/an**</w:t>
      </w:r>
    </w:p>
    <w:p>
      <w:pPr>
        <w:pStyle w:val="ListBullet"/>
      </w:pPr>
      <w:r>
        <w:t>Sondes illimitées</w:t>
      </w:r>
    </w:p>
    <w:p>
      <w:pPr>
        <w:pStyle w:val="ListBullet"/>
      </w:pPr>
      <w:r>
        <w:t>API intégration</w:t>
      </w:r>
    </w:p>
    <w:p>
      <w:pPr>
        <w:pStyle w:val="ListBullet"/>
      </w:pPr>
      <w:r>
        <w:t>Support agronome dédié</w:t>
      </w:r>
    </w:p>
    <w:p>
      <w:pPr>
        <w:pStyle w:val="Heading2"/>
      </w:pPr>
      <w:r>
        <w:rPr>
          <w:b/>
          <w:sz w:val="28"/>
        </w:rPr>
        <w:t>7.2 Roadmap produit 2026-2028</w:t>
      </w:r>
    </w:p>
    <w:p>
      <w:pPr>
        <w:pStyle w:val="ListBullet"/>
      </w:pPr>
      <w:r>
        <w:t>**Q2 2026 :** Lancement V1 (Essential + Standard)</w:t>
      </w:r>
    </w:p>
    <w:p>
      <w:pPr>
        <w:pStyle w:val="ListBullet"/>
      </w:pPr>
      <w:r>
        <w:t>**Q4 2026 :** V1.2 (Module Vigne)</w:t>
      </w:r>
    </w:p>
    <w:p>
      <w:pPr>
        <w:pStyle w:val="ListBullet"/>
      </w:pPr>
      <w:r>
        <w:t>**Q2 2027 :** Premium + API</w:t>
      </w:r>
    </w:p>
    <w:p>
      <w:pPr>
        <w:pStyle w:val="ListBullet"/>
      </w:pPr>
      <w:r>
        <w:t>**Q4 2027 :** Module Maladie</w:t>
      </w:r>
    </w:p>
    <w:p>
      <w:pPr>
        <w:pStyle w:val="ListBullet"/>
      </w:pPr>
      <w:r>
        <w:t>**2028 :** IA prédictive multi-cultures</w:t>
      </w:r>
    </w:p>
    <w:p>
      <w:pPr>
        <w:pStyle w:val="Heading2"/>
      </w:pPr>
      <w:r>
        <w:rPr>
          <w:b/>
          <w:sz w:val="28"/>
        </w:rPr>
        <w:t>7.3 Stratégie de marque et packaging</w:t>
      </w:r>
    </w:p>
    <w:p>
      <w:pPr>
        <w:spacing w:line="276" w:lineRule="auto"/>
      </w:pPr>
      <w:r>
        <w:t>**Marque :** "WaterSense - L'Intelligence au Service de l'Eau"</w:t>
      </w:r>
    </w:p>
    <w:p>
      <w:pPr>
        <w:spacing w:line="276" w:lineRule="auto"/>
      </w:pPr>
      <w:r>
        <w:t>**Packaging :** Boîtes design agricole (vert/bleu), QR code démo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8. STRATÉGIE PRIX (PRICE)</w:t>
      </w:r>
    </w:p>
    <w:p>
      <w:pPr>
        <w:pStyle w:val="Heading2"/>
      </w:pPr>
      <w:r>
        <w:rPr>
          <w:b/>
          <w:sz w:val="28"/>
        </w:rPr>
        <w:t>8.1 Philosophie tarifaire</w:t>
      </w:r>
    </w:p>
    <w:p>
      <w:pPr>
        <w:spacing w:line="276" w:lineRule="auto"/>
      </w:pPr>
      <w:r>
        <w:t>**Value-based pricing** : Prix fonction ROI client (économies eau/énergie)</w:t>
      </w:r>
    </w:p>
    <w:p>
      <w:pPr>
        <w:spacing w:line="276" w:lineRule="auto"/>
      </w:pPr>
      <w:r>
        <w:t>**Modèle hybride** : CAPEX (hardware) + OPEX (SaaS annuel)</w:t>
      </w:r>
    </w:p>
    <w:p>
      <w:pPr>
        <w:pStyle w:val="Heading2"/>
      </w:pPr>
      <w:r>
        <w:rPr>
          <w:b/>
          <w:sz w:val="28"/>
        </w:rPr>
        <w:t>8.2 Modèle de tarification détaillé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Composante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Prix HT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Fréquence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**Hardware**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299€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Achat unique</w:t>
            </w:r>
          </w:p>
        </w:tc>
      </w:tr>
      <w:tr>
        <w:tc>
          <w:tcPr>
            <w:tcW w:type="dxa" w:w="3120"/>
          </w:tcPr>
          <w:p>
            <w:r>
              <w:t>**SaaS Essential**</w:t>
            </w:r>
          </w:p>
        </w:tc>
        <w:tc>
          <w:tcPr>
            <w:tcW w:type="dxa" w:w="3120"/>
          </w:tcPr>
          <w:p>
            <w:r>
              <w:t>99€</w:t>
            </w:r>
          </w:p>
        </w:tc>
        <w:tc>
          <w:tcPr>
            <w:tcW w:type="dxa" w:w="3120"/>
          </w:tcPr>
          <w:p>
            <w:r>
              <w:t>Annuel</w:t>
            </w:r>
          </w:p>
        </w:tc>
      </w:tr>
      <w:tr>
        <w:tc>
          <w:tcPr>
            <w:tcW w:type="dxa" w:w="3120"/>
          </w:tcPr>
          <w:p>
            <w:r>
              <w:t>**SaaS Standard**</w:t>
            </w:r>
          </w:p>
        </w:tc>
        <w:tc>
          <w:tcPr>
            <w:tcW w:type="dxa" w:w="3120"/>
          </w:tcPr>
          <w:p>
            <w:r>
              <w:t>299€</w:t>
            </w:r>
          </w:p>
        </w:tc>
        <w:tc>
          <w:tcPr>
            <w:tcW w:type="dxa" w:w="3120"/>
          </w:tcPr>
          <w:p>
            <w:r>
              <w:t>Annuel</w:t>
            </w:r>
          </w:p>
        </w:tc>
      </w:tr>
      <w:tr>
        <w:tc>
          <w:tcPr>
            <w:tcW w:type="dxa" w:w="3120"/>
          </w:tcPr>
          <w:p>
            <w:r>
              <w:t>**SaaS Premium**</w:t>
            </w:r>
          </w:p>
        </w:tc>
        <w:tc>
          <w:tcPr>
            <w:tcW w:type="dxa" w:w="3120"/>
          </w:tcPr>
          <w:p>
            <w:r>
              <w:t>499€</w:t>
            </w:r>
          </w:p>
        </w:tc>
        <w:tc>
          <w:tcPr>
            <w:tcW w:type="dxa" w:w="3120"/>
          </w:tcPr>
          <w:p>
            <w:r>
              <w:t>Annuel</w:t>
            </w:r>
          </w:p>
        </w:tc>
      </w:tr>
    </w:tbl>
    <w:p>
      <w:pPr>
        <w:pStyle w:val="Heading2"/>
      </w:pPr>
      <w:r>
        <w:rPr>
          <w:b/>
          <w:sz w:val="28"/>
        </w:rPr>
        <w:t>8.3 Stratégie de lancement promotionnel</w:t>
      </w:r>
    </w:p>
    <w:p>
      <w:pPr>
        <w:pStyle w:val="ListBullet"/>
      </w:pPr>
      <w:r>
        <w:t>**Lancement :** Prix intro -20% 6 premiers mois</w:t>
      </w:r>
    </w:p>
    <w:p>
      <w:pPr>
        <w:pStyle w:val="ListBullet"/>
      </w:pPr>
      <w:r>
        <w:t>**Bundles :** Pack 3 sondes + 1 an SaaS offert</w:t>
      </w:r>
    </w:p>
    <w:p>
      <w:pPr>
        <w:pStyle w:val="ListBullet"/>
      </w:pPr>
      <w:r>
        <w:t>**Fidélité :** Réduction 10% renouvellement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9. STRATÉGIE DISTRIBUTION (PLACE)</w:t>
      </w:r>
    </w:p>
    <w:p>
      <w:pPr>
        <w:pStyle w:val="Heading2"/>
      </w:pPr>
      <w:r>
        <w:rPr>
          <w:b/>
          <w:sz w:val="28"/>
        </w:rPr>
        <w:t>9.1 Canaux primaires</w:t>
      </w:r>
    </w:p>
    <w:p>
      <w:pPr>
        <w:spacing w:line="276" w:lineRule="auto"/>
      </w:pPr>
      <w:r>
        <w:t>**Indirect (70%) :** Coopératives agricoles (Vivescia, Maïsadour)</w:t>
      </w:r>
    </w:p>
    <w:p>
      <w:pPr>
        <w:pStyle w:val="ListBullet"/>
      </w:pPr>
      <w:r>
        <w:t>Avantages : Confiance agriculteurs, réseau existant</w:t>
      </w:r>
    </w:p>
    <w:p>
      <w:pPr>
        <w:pStyle w:val="ListBullet"/>
      </w:pPr>
      <w:r>
        <w:t>Commission : 25% sur hardware, 15% sur SaaS</w:t>
      </w:r>
    </w:p>
    <w:p>
      <w:pPr>
        <w:pStyle w:val="Heading2"/>
      </w:pPr>
      <w:r>
        <w:rPr>
          <w:b/>
          <w:sz w:val="28"/>
        </w:rPr>
        <w:t>9.2 Canaux secondaires</w:t>
      </w:r>
    </w:p>
    <w:p>
      <w:pPr>
        <w:spacing w:line="276" w:lineRule="auto"/>
      </w:pPr>
      <w:r>
        <w:t>**Direct (30%) :** Site e-commerce + commerciaux terrain</w:t>
      </w:r>
    </w:p>
    <w:p>
      <w:pPr>
        <w:spacing w:line="276" w:lineRule="auto"/>
      </w:pPr>
      <w:r>
        <w:t>**Digital :** Marketplace AgriTech + partenariats revendeurs</w:t>
      </w:r>
    </w:p>
    <w:p>
      <w:pPr>
        <w:pStyle w:val="Heading2"/>
      </w:pPr>
      <w:r>
        <w:rPr>
          <w:b/>
          <w:sz w:val="28"/>
        </w:rPr>
        <w:t>9.3 Stratégie de couverture géographique</w:t>
      </w:r>
    </w:p>
    <w:p>
      <w:pPr>
        <w:pStyle w:val="ListBullet"/>
      </w:pPr>
      <w:r>
        <w:t>**Phase 1 (2026) :** Sud-Ouest + Centre (80% potentiel)</w:t>
      </w:r>
    </w:p>
    <w:p>
      <w:pPr>
        <w:pStyle w:val="ListBullet"/>
      </w:pPr>
      <w:r>
        <w:t>**Phase 2 (2027) :** Grand-Est + Nord</w:t>
      </w:r>
    </w:p>
    <w:p>
      <w:pPr>
        <w:pStyle w:val="ListBullet"/>
      </w:pPr>
      <w:r>
        <w:t>**Phase 3 (2028) :** Export Espagne/Italie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10. STRATÉGIE COMMUNICATION (PROMOTION)</w:t>
      </w:r>
    </w:p>
    <w:p>
      <w:pPr>
        <w:pStyle w:val="Heading2"/>
      </w:pPr>
      <w:r>
        <w:rPr>
          <w:b/>
          <w:sz w:val="28"/>
        </w:rPr>
        <w:t>10.1 Positionnement et messaging</w:t>
      </w:r>
    </w:p>
    <w:p>
      <w:pPr>
        <w:spacing w:line="276" w:lineRule="auto"/>
      </w:pPr>
      <w:r>
        <w:t>**Core message :** "Irriguez intelligent, pas plus"</w:t>
      </w:r>
    </w:p>
    <w:p>
      <w:pPr>
        <w:spacing w:line="276" w:lineRule="auto"/>
      </w:pPr>
      <w:r>
        <w:t>**Tagline :** "WaterSense : L'eau travaille pour vous"</w:t>
      </w:r>
    </w:p>
    <w:p>
      <w:pPr>
        <w:pStyle w:val="Heading2"/>
      </w:pPr>
      <w:r>
        <w:rPr>
          <w:b/>
          <w:sz w:val="28"/>
        </w:rPr>
        <w:t>10.2 Mix promotionnel détaillé</w:t>
      </w:r>
    </w:p>
    <w:p>
      <w:pPr>
        <w:pStyle w:val="ListBullet"/>
      </w:pPr>
      <w:r>
        <w:t>**Digital (40%) :** SEO, LinkedIn, YouTube Agri-influenceurs</w:t>
      </w:r>
    </w:p>
    <w:p>
      <w:pPr>
        <w:pStyle w:val="ListBullet"/>
      </w:pPr>
      <w:r>
        <w:t>**Événementiel (30%) :** Salons (Sima, TechAgro), démos terrain</w:t>
      </w:r>
    </w:p>
    <w:p>
      <w:pPr>
        <w:pStyle w:val="ListBullet"/>
      </w:pPr>
      <w:r>
        <w:t>**PR (20%) :** Presse agricole, témoignages clients</w:t>
      </w:r>
    </w:p>
    <w:p>
      <w:pPr>
        <w:pStyle w:val="ListBullet"/>
      </w:pPr>
      <w:r>
        <w:t>**Direct (10%) :** Emailing ciblé via coopératives</w:t>
      </w:r>
    </w:p>
    <w:p>
      <w:pPr>
        <w:pStyle w:val="Heading2"/>
      </w:pPr>
      <w:r>
        <w:rPr>
          <w:b/>
          <w:sz w:val="28"/>
        </w:rPr>
        <w:t>10.3 Plan média et budget</w:t>
      </w:r>
    </w:p>
    <w:p>
      <w:pPr>
        <w:spacing w:line="276" w:lineRule="auto"/>
      </w:pPr>
      <w:r>
        <w:t>**Budget Y1 : 250 k€**</w:t>
      </w:r>
    </w:p>
    <w:p>
      <w:pPr>
        <w:pStyle w:val="ListBullet"/>
      </w:pPr>
      <w:r>
        <w:t>Digital : 100 k€</w:t>
      </w:r>
    </w:p>
    <w:p>
      <w:pPr>
        <w:pStyle w:val="ListBullet"/>
      </w:pPr>
      <w:r>
        <w:t>Événements : 80 k€</w:t>
      </w:r>
    </w:p>
    <w:p>
      <w:pPr>
        <w:pStyle w:val="ListBullet"/>
      </w:pPr>
      <w:r>
        <w:t>PR : 50 k€</w:t>
      </w:r>
    </w:p>
    <w:p>
      <w:pPr>
        <w:pStyle w:val="ListBullet"/>
      </w:pPr>
      <w:r>
        <w:t>Direct : 20 k€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11. PROCESSUS DE VENTE ET FUNNEL COMMERCIAL</w:t>
      </w:r>
    </w:p>
    <w:p>
      <w:pPr>
        <w:pStyle w:val="Heading2"/>
      </w:pPr>
      <w:r>
        <w:rPr>
          <w:b/>
          <w:sz w:val="28"/>
        </w:rPr>
        <w:t>11.1 Cycle de vente détaillé</w:t>
      </w:r>
    </w:p>
    <w:p>
      <w:pPr>
        <w:spacing w:line="276" w:lineRule="auto"/>
      </w:pPr>
      <w:r>
        <w:t>1. **Awareness (1 mois)** : Salons, pub digitale</w:t>
      </w:r>
    </w:p>
    <w:p>
      <w:pPr>
        <w:spacing w:line="276" w:lineRule="auto"/>
      </w:pPr>
      <w:r>
        <w:t>2. **Interest (2 semaines)** : Webinar démo</w:t>
      </w:r>
    </w:p>
    <w:p>
      <w:pPr>
        <w:spacing w:line="276" w:lineRule="auto"/>
      </w:pPr>
      <w:r>
        <w:t>3. **Consideration (1 mois)** : Essai gratuit 30 jours</w:t>
      </w:r>
    </w:p>
    <w:p>
      <w:pPr>
        <w:spacing w:line="276" w:lineRule="auto"/>
      </w:pPr>
      <w:r>
        <w:t>4. **Intent (2 semaines)** : Proposition commerciale</w:t>
      </w:r>
    </w:p>
    <w:p>
      <w:pPr>
        <w:spacing w:line="276" w:lineRule="auto"/>
      </w:pPr>
      <w:r>
        <w:t>5. **Purchase (1 semaine)** : Signature contrat</w:t>
      </w:r>
    </w:p>
    <w:p>
      <w:pPr>
        <w:spacing w:line="276" w:lineRule="auto"/>
      </w:pPr>
      <w:r>
        <w:t>6. **Onboarding (1 mois)** : Installation + formation</w:t>
      </w:r>
    </w:p>
    <w:p>
      <w:pPr>
        <w:pStyle w:val="Heading2"/>
      </w:pPr>
      <w:r>
        <w:rPr>
          <w:b/>
          <w:sz w:val="28"/>
        </w:rPr>
        <w:t>11.2 Organisation commerciale</w:t>
      </w:r>
    </w:p>
    <w:p>
      <w:pPr>
        <w:pStyle w:val="ListBullet"/>
      </w:pPr>
      <w:r>
        <w:t>**Sales Manager :** 1 (vision globale)</w:t>
      </w:r>
    </w:p>
    <w:p>
      <w:pPr>
        <w:pStyle w:val="ListBullet"/>
      </w:pPr>
      <w:r>
        <w:t>**Business Developers :** 3 (régions)</w:t>
      </w:r>
    </w:p>
    <w:p>
      <w:pPr>
        <w:pStyle w:val="ListBullet"/>
      </w:pPr>
      <w:r>
        <w:t>**Customer Success :** 2 (rétention)</w:t>
      </w:r>
    </w:p>
    <w:p>
      <w:pPr>
        <w:pStyle w:val="Heading2"/>
      </w:pPr>
      <w:r>
        <w:rPr>
          <w:b/>
          <w:sz w:val="28"/>
        </w:rPr>
        <w:t>11.3 KPIs de performance commerciale</w:t>
      </w:r>
    </w:p>
    <w:p>
      <w:pPr>
        <w:pStyle w:val="ListBullet"/>
      </w:pPr>
      <w:r>
        <w:t>**Lead generation :** 500 leads/mois</w:t>
      </w:r>
    </w:p>
    <w:p>
      <w:pPr>
        <w:pStyle w:val="ListBullet"/>
      </w:pPr>
      <w:r>
        <w:t>**Conversion :** 5% leads → clients</w:t>
      </w:r>
    </w:p>
    <w:p>
      <w:pPr>
        <w:pStyle w:val="ListBullet"/>
      </w:pPr>
      <w:r>
        <w:t>**CAC :** 800€</w:t>
      </w:r>
    </w:p>
    <w:p>
      <w:pPr>
        <w:pStyle w:val="ListBullet"/>
      </w:pPr>
      <w:r>
        <w:t>**LTV :** 45 000€ (moyenne)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12. ÉCOSYSTÈME DE PARTENARIATS STRATÉGIQUES</w:t>
      </w:r>
    </w:p>
    <w:p>
      <w:pPr>
        <w:pStyle w:val="Heading2"/>
      </w:pPr>
      <w:r>
        <w:rPr>
          <w:b/>
          <w:sz w:val="28"/>
        </w:rPr>
        <w:t>12.1 Partenaires institutionnels</w:t>
      </w:r>
    </w:p>
    <w:p>
      <w:pPr>
        <w:spacing w:line="276" w:lineRule="auto"/>
      </w:pPr>
      <w:r>
        <w:t>**Arvalis :** Validation scientifique modèles</w:t>
      </w:r>
    </w:p>
    <w:p>
      <w:pPr>
        <w:spacing w:line="276" w:lineRule="auto"/>
      </w:pPr>
      <w:r>
        <w:t>**Chambres d'Agriculture :** Réseau diffusion + crédibilité</w:t>
      </w:r>
    </w:p>
    <w:p>
      <w:pPr>
        <w:spacing w:line="276" w:lineRule="auto"/>
      </w:pPr>
      <w:r>
        <w:t>**CTIFL :** Expertise arboriculture</w:t>
      </w:r>
    </w:p>
    <w:p>
      <w:pPr>
        <w:pStyle w:val="Heading2"/>
      </w:pPr>
      <w:r>
        <w:rPr>
          <w:b/>
          <w:sz w:val="28"/>
        </w:rPr>
        <w:t>12.2 Partenaires de distribution</w:t>
      </w:r>
    </w:p>
    <w:p>
      <w:pPr>
        <w:spacing w:line="276" w:lineRule="auto"/>
      </w:pPr>
      <w:r>
        <w:t>**Coopératives :** Canal privilégié (70% ventes)</w:t>
      </w:r>
    </w:p>
    <w:p>
      <w:pPr>
        <w:spacing w:line="276" w:lineRule="auto"/>
      </w:pPr>
      <w:r>
        <w:t>**Négoces :** Complément distribution</w:t>
      </w:r>
    </w:p>
    <w:p>
      <w:pPr>
        <w:pStyle w:val="Heading2"/>
      </w:pPr>
      <w:r>
        <w:rPr>
          <w:b/>
          <w:sz w:val="28"/>
        </w:rPr>
        <w:t>12.3 Partenaires technologiques et financiers</w:t>
      </w:r>
    </w:p>
    <w:p>
      <w:pPr>
        <w:spacing w:line="276" w:lineRule="auto"/>
      </w:pPr>
      <w:r>
        <w:t>**AWS/Azure :** Infrastructure cloud</w:t>
      </w:r>
    </w:p>
    <w:p>
      <w:pPr>
        <w:spacing w:line="276" w:lineRule="auto"/>
      </w:pPr>
      <w:r>
        <w:t>**Investisseurs :** BPI, Angels AgriTech</w:t>
      </w:r>
    </w:p>
    <w:p>
      <w:pPr>
        <w:spacing w:line="276" w:lineRule="auto"/>
      </w:pPr>
      <w:r>
        <w:t>**Assureurs :** Groupama (primes réduites)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13. PROPRIÉTÉ INTELLECTUELLE ET JURIDIQUE</w:t>
      </w:r>
    </w:p>
    <w:p>
      <w:pPr>
        <w:pStyle w:val="Heading2"/>
      </w:pPr>
      <w:r>
        <w:rPr>
          <w:b/>
          <w:sz w:val="28"/>
        </w:rPr>
        <w:t>13.1 Stratégie brevets et marques</w:t>
      </w:r>
    </w:p>
    <w:p>
      <w:pPr>
        <w:pStyle w:val="ListBullet"/>
      </w:pPr>
      <w:r>
        <w:t>**Brevets :** 3 dépôts INPI (algo IA, fusion données, UX)</w:t>
      </w:r>
    </w:p>
    <w:p>
      <w:pPr>
        <w:pStyle w:val="ListBullet"/>
      </w:pPr>
      <w:r>
        <w:t>**Marques :** "WaterSense" classes 9, 35, 42</w:t>
      </w:r>
    </w:p>
    <w:p>
      <w:pPr>
        <w:pStyle w:val="ListBullet"/>
      </w:pPr>
      <w:r>
        <w:t>**Design :** Interface utilisateur déposée</w:t>
      </w:r>
    </w:p>
    <w:p>
      <w:pPr>
        <w:pStyle w:val="Heading2"/>
      </w:pPr>
      <w:r>
        <w:rPr>
          <w:b/>
          <w:sz w:val="28"/>
        </w:rPr>
        <w:t>13.2 Conformité réglementaire</w:t>
      </w:r>
    </w:p>
    <w:p>
      <w:pPr>
        <w:pStyle w:val="ListBullet"/>
      </w:pPr>
      <w:r>
        <w:t>**RGPD :** Data minimisation, consentement explicite</w:t>
      </w:r>
    </w:p>
    <w:p>
      <w:pPr>
        <w:pStyle w:val="ListBullet"/>
      </w:pPr>
      <w:r>
        <w:t>**Sécurité :** Certification ISO 27001 cible 2027</w:t>
      </w:r>
    </w:p>
    <w:p>
      <w:pPr>
        <w:pStyle w:val="ListBullet"/>
      </w:pPr>
      <w:r>
        <w:t>**Responsabilité :** Assurance RCP 5M€</w:t>
      </w:r>
    </w:p>
    <w:p>
      <w:pPr>
        <w:pStyle w:val="Heading2"/>
      </w:pPr>
      <w:r>
        <w:rPr>
          <w:b/>
          <w:sz w:val="28"/>
        </w:rPr>
        <w:t>13.3 Contrats types</w:t>
      </w:r>
    </w:p>
    <w:p>
      <w:pPr>
        <w:pStyle w:val="ListBullet"/>
      </w:pPr>
      <w:r>
        <w:t>**CGV/CGU :** Clauses data ownership claires</w:t>
      </w:r>
    </w:p>
    <w:p>
      <w:pPr>
        <w:pStyle w:val="ListBullet"/>
      </w:pPr>
      <w:r>
        <w:t>**Contrat SaaS :** SLA 99.9% uptime</w:t>
      </w:r>
    </w:p>
    <w:p>
      <w:pPr>
        <w:pStyle w:val="ListBullet"/>
      </w:pPr>
      <w:r>
        <w:t>**Contrat partenaire :** NDA + clauses non-concurrence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14. MODÈLE ÉCONOMIQUE ET PROJECTIONS FINANCIÈRES</w:t>
      </w:r>
    </w:p>
    <w:p>
      <w:pPr>
        <w:pStyle w:val="Heading2"/>
      </w:pPr>
      <w:r>
        <w:rPr>
          <w:b/>
          <w:sz w:val="28"/>
        </w:rPr>
        <w:t>14.1 Hypothèses de base</w:t>
      </w:r>
    </w:p>
    <w:p>
      <w:pPr>
        <w:pStyle w:val="ListBullet"/>
      </w:pPr>
      <w:r>
        <w:t>**Panier moyen :** 1 200€ Y1 (hardware + SaaS)</w:t>
      </w:r>
    </w:p>
    <w:p>
      <w:pPr>
        <w:pStyle w:val="ListBullet"/>
      </w:pPr>
      <w:r>
        <w:t>**Churn :** 5% (très faible, produit "sticky")</w:t>
      </w:r>
    </w:p>
    <w:p>
      <w:pPr>
        <w:pStyle w:val="ListBullet"/>
      </w:pPr>
      <w:r>
        <w:t>**Marge brute :** 75% (mix optimal hardware/SaaS)</w:t>
      </w:r>
    </w:p>
    <w:p>
      <w:pPr>
        <w:pStyle w:val="ListBullet"/>
      </w:pPr>
      <w:r>
        <w:t>**CAC :** 800€ (marketing + sales)</w:t>
      </w:r>
    </w:p>
    <w:p>
      <w:pPr>
        <w:pStyle w:val="ListBullet"/>
      </w:pPr>
      <w:r>
        <w:t>**LTV :** 45 000€ (client 10 ans moyenne)</w:t>
      </w:r>
    </w:p>
    <w:p>
      <w:pPr>
        <w:pStyle w:val="Heading2"/>
      </w:pPr>
      <w:r>
        <w:rPr>
          <w:b/>
          <w:sz w:val="28"/>
        </w:rPr>
        <w:t>14.2 Compte de résultat prévisionnel 5 ans (k€)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Poste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2026</w:t>
            </w:r>
          </w:p>
        </w:tc>
        <w:tc>
          <w:tcPr>
            <w:tcW w:type="dxa" w:w="1560"/>
          </w:tcPr>
          <w:p>
            <w:r>
              <w:rPr>
                <w:b/>
              </w:rPr>
              <w:t>2027</w:t>
            </w:r>
          </w:p>
        </w:tc>
        <w:tc>
          <w:tcPr>
            <w:tcW w:type="dxa" w:w="1560"/>
          </w:tcPr>
          <w:p>
            <w:r>
              <w:rPr>
                <w:b/>
              </w:rPr>
              <w:t>2028</w:t>
            </w:r>
          </w:p>
        </w:tc>
        <w:tc>
          <w:tcPr>
            <w:tcW w:type="dxa" w:w="1560"/>
          </w:tcPr>
          <w:p>
            <w:r>
              <w:rPr>
                <w:b/>
              </w:rPr>
              <w:t>2029</w:t>
            </w:r>
          </w:p>
        </w:tc>
        <w:tc>
          <w:tcPr>
            <w:tcW w:type="dxa" w:w="1560"/>
          </w:tcPr>
          <w:p>
            <w:r>
              <w:rPr>
                <w:b/>
              </w:rPr>
              <w:t>2030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**CA Total**</w:t>
            </w:r>
          </w:p>
        </w:tc>
        <w:tc>
          <w:tcPr>
            <w:tcW w:type="dxa" w:w="1560"/>
          </w:tcPr>
          <w:p>
            <w:r>
              <w:rPr>
                <w:b/>
              </w:rPr>
              <w:t>**350**</w:t>
            </w:r>
          </w:p>
        </w:tc>
        <w:tc>
          <w:tcPr>
            <w:tcW w:type="dxa" w:w="1560"/>
          </w:tcPr>
          <w:p>
            <w:r>
              <w:rPr>
                <w:b/>
              </w:rPr>
              <w:t>**1 200**</w:t>
            </w:r>
          </w:p>
        </w:tc>
        <w:tc>
          <w:tcPr>
            <w:tcW w:type="dxa" w:w="1560"/>
          </w:tcPr>
          <w:p>
            <w:r>
              <w:rPr>
                <w:b/>
              </w:rPr>
              <w:t>**3 500**</w:t>
            </w:r>
          </w:p>
        </w:tc>
        <w:tc>
          <w:tcPr>
            <w:tcW w:type="dxa" w:w="1560"/>
          </w:tcPr>
          <w:p>
            <w:r>
              <w:rPr>
                <w:b/>
              </w:rPr>
              <w:t>**7 500**</w:t>
            </w:r>
          </w:p>
        </w:tc>
        <w:tc>
          <w:tcPr>
            <w:tcW w:type="dxa" w:w="1560"/>
          </w:tcPr>
          <w:p>
            <w:r>
              <w:rPr>
                <w:b/>
              </w:rPr>
              <w:t>**12 000**</w:t>
            </w:r>
          </w:p>
        </w:tc>
      </w:tr>
      <w:tr>
        <w:tc>
          <w:tcPr>
            <w:tcW w:type="dxa" w:w="1560"/>
          </w:tcPr>
          <w:p>
            <w:r>
              <w:t>*Hardware*</w:t>
            </w:r>
          </w:p>
        </w:tc>
        <w:tc>
          <w:tcPr>
            <w:tcW w:type="dxa" w:w="1560"/>
          </w:tcPr>
          <w:p>
            <w:r>
              <w:t>*150*</w:t>
            </w:r>
          </w:p>
        </w:tc>
        <w:tc>
          <w:tcPr>
            <w:tcW w:type="dxa" w:w="1560"/>
          </w:tcPr>
          <w:p>
            <w:r>
              <w:t>*400*</w:t>
            </w:r>
          </w:p>
        </w:tc>
        <w:tc>
          <w:tcPr>
            <w:tcW w:type="dxa" w:w="1560"/>
          </w:tcPr>
          <w:p>
            <w:r>
              <w:t>*800*</w:t>
            </w:r>
          </w:p>
        </w:tc>
        <w:tc>
          <w:tcPr>
            <w:tcW w:type="dxa" w:w="1560"/>
          </w:tcPr>
          <w:p>
            <w:r>
              <w:t>*1 200*</w:t>
            </w:r>
          </w:p>
        </w:tc>
        <w:tc>
          <w:tcPr>
            <w:tcW w:type="dxa" w:w="1560"/>
          </w:tcPr>
          <w:p>
            <w:r>
              <w:t>*1 800*</w:t>
            </w:r>
          </w:p>
        </w:tc>
      </w:tr>
      <w:tr>
        <w:tc>
          <w:tcPr>
            <w:tcW w:type="dxa" w:w="1560"/>
          </w:tcPr>
          <w:p>
            <w:r>
              <w:t>*SaaS*</w:t>
            </w:r>
          </w:p>
        </w:tc>
        <w:tc>
          <w:tcPr>
            <w:tcW w:type="dxa" w:w="1560"/>
          </w:tcPr>
          <w:p>
            <w:r>
              <w:t>*100*</w:t>
            </w:r>
          </w:p>
        </w:tc>
        <w:tc>
          <w:tcPr>
            <w:tcW w:type="dxa" w:w="1560"/>
          </w:tcPr>
          <w:p>
            <w:r>
              <w:t>*500*</w:t>
            </w:r>
          </w:p>
        </w:tc>
        <w:tc>
          <w:tcPr>
            <w:tcW w:type="dxa" w:w="1560"/>
          </w:tcPr>
          <w:p>
            <w:r>
              <w:t>*2 100*</w:t>
            </w:r>
          </w:p>
        </w:tc>
        <w:tc>
          <w:tcPr>
            <w:tcW w:type="dxa" w:w="1560"/>
          </w:tcPr>
          <w:p>
            <w:r>
              <w:t>*5 200*</w:t>
            </w:r>
          </w:p>
        </w:tc>
        <w:tc>
          <w:tcPr>
            <w:tcW w:type="dxa" w:w="1560"/>
          </w:tcPr>
          <w:p>
            <w:r>
              <w:t>*9 000*</w:t>
            </w:r>
          </w:p>
        </w:tc>
      </w:tr>
      <w:tr>
        <w:tc>
          <w:tcPr>
            <w:tcW w:type="dxa" w:w="1560"/>
          </w:tcPr>
          <w:p>
            <w:r>
              <w:t>*Services*</w:t>
            </w:r>
          </w:p>
        </w:tc>
        <w:tc>
          <w:tcPr>
            <w:tcW w:type="dxa" w:w="1560"/>
          </w:tcPr>
          <w:p>
            <w:r>
              <w:t>*100*</w:t>
            </w:r>
          </w:p>
        </w:tc>
        <w:tc>
          <w:tcPr>
            <w:tcW w:type="dxa" w:w="1560"/>
          </w:tcPr>
          <w:p>
            <w:r>
              <w:t>*300*</w:t>
            </w:r>
          </w:p>
        </w:tc>
        <w:tc>
          <w:tcPr>
            <w:tcW w:type="dxa" w:w="1560"/>
          </w:tcPr>
          <w:p>
            <w:r>
              <w:t>*600*</w:t>
            </w:r>
          </w:p>
        </w:tc>
        <w:tc>
          <w:tcPr>
            <w:tcW w:type="dxa" w:w="1560"/>
          </w:tcPr>
          <w:p>
            <w:r>
              <w:t>*1 100*</w:t>
            </w:r>
          </w:p>
        </w:tc>
        <w:tc>
          <w:tcPr>
            <w:tcW w:type="dxa" w:w="1560"/>
          </w:tcPr>
          <w:p>
            <w:r>
              <w:t>*1 200*</w:t>
            </w:r>
          </w:p>
        </w:tc>
      </w:tr>
      <w:tr>
        <w:tc>
          <w:tcPr>
            <w:tcW w:type="dxa" w:w="1560"/>
          </w:tcPr>
          <w:p>
            <w:r>
              <w:t>**COGS**</w:t>
            </w:r>
          </w:p>
        </w:tc>
        <w:tc>
          <w:tcPr>
            <w:tcW w:type="dxa" w:w="1560"/>
          </w:tcPr>
          <w:p>
            <w:r>
              <w:t>**-150**</w:t>
            </w:r>
          </w:p>
        </w:tc>
        <w:tc>
          <w:tcPr>
            <w:tcW w:type="dxa" w:w="1560"/>
          </w:tcPr>
          <w:p>
            <w:r>
              <w:t>**-400**</w:t>
            </w:r>
          </w:p>
        </w:tc>
        <w:tc>
          <w:tcPr>
            <w:tcW w:type="dxa" w:w="1560"/>
          </w:tcPr>
          <w:p>
            <w:r>
              <w:t>**-900**</w:t>
            </w:r>
          </w:p>
        </w:tc>
        <w:tc>
          <w:tcPr>
            <w:tcW w:type="dxa" w:w="1560"/>
          </w:tcPr>
          <w:p>
            <w:r>
              <w:t>**-1 500**</w:t>
            </w:r>
          </w:p>
        </w:tc>
        <w:tc>
          <w:tcPr>
            <w:tcW w:type="dxa" w:w="1560"/>
          </w:tcPr>
          <w:p>
            <w:r>
              <w:t>**-2 200**</w:t>
            </w:r>
          </w:p>
        </w:tc>
      </w:tr>
      <w:tr>
        <w:tc>
          <w:tcPr>
            <w:tcW w:type="dxa" w:w="1560"/>
          </w:tcPr>
          <w:p>
            <w:r>
              <w:t>**Marge Brute**</w:t>
            </w:r>
          </w:p>
        </w:tc>
        <w:tc>
          <w:tcPr>
            <w:tcW w:type="dxa" w:w="1560"/>
          </w:tcPr>
          <w:p>
            <w:r>
              <w:t>**200**</w:t>
            </w:r>
          </w:p>
        </w:tc>
        <w:tc>
          <w:tcPr>
            <w:tcW w:type="dxa" w:w="1560"/>
          </w:tcPr>
          <w:p>
            <w:r>
              <w:t>**800**</w:t>
            </w:r>
          </w:p>
        </w:tc>
        <w:tc>
          <w:tcPr>
            <w:tcW w:type="dxa" w:w="1560"/>
          </w:tcPr>
          <w:p>
            <w:r>
              <w:t>**2 600**</w:t>
            </w:r>
          </w:p>
        </w:tc>
        <w:tc>
          <w:tcPr>
            <w:tcW w:type="dxa" w:w="1560"/>
          </w:tcPr>
          <w:p>
            <w:r>
              <w:t>**6 000**</w:t>
            </w:r>
          </w:p>
        </w:tc>
        <w:tc>
          <w:tcPr>
            <w:tcW w:type="dxa" w:w="1560"/>
          </w:tcPr>
          <w:p>
            <w:r>
              <w:t>**9 800**</w:t>
            </w:r>
          </w:p>
        </w:tc>
      </w:tr>
      <w:tr>
        <w:tc>
          <w:tcPr>
            <w:tcW w:type="dxa" w:w="1560"/>
          </w:tcPr>
          <w:p>
            <w:r>
              <w:t>**Marge %**</w:t>
            </w:r>
          </w:p>
        </w:tc>
        <w:tc>
          <w:tcPr>
            <w:tcW w:type="dxa" w:w="1560"/>
          </w:tcPr>
          <w:p>
            <w:r>
              <w:t>**57%**</w:t>
            </w:r>
          </w:p>
        </w:tc>
        <w:tc>
          <w:tcPr>
            <w:tcW w:type="dxa" w:w="1560"/>
          </w:tcPr>
          <w:p>
            <w:r>
              <w:t>**67%**</w:t>
            </w:r>
          </w:p>
        </w:tc>
        <w:tc>
          <w:tcPr>
            <w:tcW w:type="dxa" w:w="1560"/>
          </w:tcPr>
          <w:p>
            <w:r>
              <w:t>**74%**</w:t>
            </w:r>
          </w:p>
        </w:tc>
        <w:tc>
          <w:tcPr>
            <w:tcW w:type="dxa" w:w="1560"/>
          </w:tcPr>
          <w:p>
            <w:r>
              <w:t>**80%**</w:t>
            </w:r>
          </w:p>
        </w:tc>
        <w:tc>
          <w:tcPr>
            <w:tcW w:type="dxa" w:w="1560"/>
          </w:tcPr>
          <w:p>
            <w:r>
              <w:t>**82%**</w:t>
            </w:r>
          </w:p>
        </w:tc>
      </w:tr>
      <w:tr>
        <w:tc>
          <w:tcPr>
            <w:tcW w:type="dxa" w:w="1560"/>
          </w:tcPr>
          <w:p>
            <w:r>
              <w:t>Marketing &amp; Sales</w:t>
            </w:r>
          </w:p>
        </w:tc>
        <w:tc>
          <w:tcPr>
            <w:tcW w:type="dxa" w:w="1560"/>
          </w:tcPr>
          <w:p>
            <w:r>
              <w:t>-200</w:t>
            </w:r>
          </w:p>
        </w:tc>
        <w:tc>
          <w:tcPr>
            <w:tcW w:type="dxa" w:w="1560"/>
          </w:tcPr>
          <w:p>
            <w:r>
              <w:t>-500</w:t>
            </w:r>
          </w:p>
        </w:tc>
        <w:tc>
          <w:tcPr>
            <w:tcW w:type="dxa" w:w="1560"/>
          </w:tcPr>
          <w:p>
            <w:r>
              <w:t>-1 200</w:t>
            </w:r>
          </w:p>
        </w:tc>
        <w:tc>
          <w:tcPr>
            <w:tcW w:type="dxa" w:w="1560"/>
          </w:tcPr>
          <w:p>
            <w:r>
              <w:t>-2 000</w:t>
            </w:r>
          </w:p>
        </w:tc>
        <w:tc>
          <w:tcPr>
            <w:tcW w:type="dxa" w:w="1560"/>
          </w:tcPr>
          <w:p>
            <w:r>
              <w:t>-3 000</w:t>
            </w:r>
          </w:p>
        </w:tc>
      </w:tr>
      <w:tr>
        <w:tc>
          <w:tcPr>
            <w:tcW w:type="dxa" w:w="1560"/>
          </w:tcPr>
          <w:p>
            <w:r>
              <w:t>R&amp;D</w:t>
            </w:r>
          </w:p>
        </w:tc>
        <w:tc>
          <w:tcPr>
            <w:tcW w:type="dxa" w:w="1560"/>
          </w:tcPr>
          <w:p>
            <w:r>
              <w:t>-250</w:t>
            </w:r>
          </w:p>
        </w:tc>
        <w:tc>
          <w:tcPr>
            <w:tcW w:type="dxa" w:w="1560"/>
          </w:tcPr>
          <w:p>
            <w:r>
              <w:t>-400</w:t>
            </w:r>
          </w:p>
        </w:tc>
        <w:tc>
          <w:tcPr>
            <w:tcW w:type="dxa" w:w="1560"/>
          </w:tcPr>
          <w:p>
            <w:r>
              <w:t>-800</w:t>
            </w:r>
          </w:p>
        </w:tc>
        <w:tc>
          <w:tcPr>
            <w:tcW w:type="dxa" w:w="1560"/>
          </w:tcPr>
          <w:p>
            <w:r>
              <w:t>-1 500</w:t>
            </w:r>
          </w:p>
        </w:tc>
        <w:tc>
          <w:tcPr>
            <w:tcW w:type="dxa" w:w="1560"/>
          </w:tcPr>
          <w:p>
            <w:r>
              <w:t>-2 500</w:t>
            </w:r>
          </w:p>
        </w:tc>
      </w:tr>
      <w:tr>
        <w:tc>
          <w:tcPr>
            <w:tcW w:type="dxa" w:w="1560"/>
          </w:tcPr>
          <w:p>
            <w:r>
              <w:t>G&amp;A</w:t>
            </w:r>
          </w:p>
        </w:tc>
        <w:tc>
          <w:tcPr>
            <w:tcW w:type="dxa" w:w="1560"/>
          </w:tcPr>
          <w:p>
            <w:r>
              <w:t>-100</w:t>
            </w:r>
          </w:p>
        </w:tc>
        <w:tc>
          <w:tcPr>
            <w:tcW w:type="dxa" w:w="1560"/>
          </w:tcPr>
          <w:p>
            <w:r>
              <w:t>-200</w:t>
            </w:r>
          </w:p>
        </w:tc>
        <w:tc>
          <w:tcPr>
            <w:tcW w:type="dxa" w:w="1560"/>
          </w:tcPr>
          <w:p>
            <w:r>
              <w:t>-400</w:t>
            </w:r>
          </w:p>
        </w:tc>
        <w:tc>
          <w:tcPr>
            <w:tcW w:type="dxa" w:w="1560"/>
          </w:tcPr>
          <w:p>
            <w:r>
              <w:t>-800</w:t>
            </w:r>
          </w:p>
        </w:tc>
        <w:tc>
          <w:tcPr>
            <w:tcW w:type="dxa" w:w="1560"/>
          </w:tcPr>
          <w:p>
            <w:r>
              <w:t>-1 200</w:t>
            </w:r>
          </w:p>
        </w:tc>
      </w:tr>
      <w:tr>
        <w:tc>
          <w:tcPr>
            <w:tcW w:type="dxa" w:w="1560"/>
          </w:tcPr>
          <w:p>
            <w:r>
              <w:t>**EBITDA**</w:t>
            </w:r>
          </w:p>
        </w:tc>
        <w:tc>
          <w:tcPr>
            <w:tcW w:type="dxa" w:w="1560"/>
          </w:tcPr>
          <w:p>
            <w:r>
              <w:t>**-350**</w:t>
            </w:r>
          </w:p>
        </w:tc>
        <w:tc>
          <w:tcPr>
            <w:tcW w:type="dxa" w:w="1560"/>
          </w:tcPr>
          <w:p>
            <w:r>
              <w:t>**-300**</w:t>
            </w:r>
          </w:p>
        </w:tc>
        <w:tc>
          <w:tcPr>
            <w:tcW w:type="dxa" w:w="1560"/>
          </w:tcPr>
          <w:p>
            <w:r>
              <w:t>**+200**</w:t>
            </w:r>
          </w:p>
        </w:tc>
        <w:tc>
          <w:tcPr>
            <w:tcW w:type="dxa" w:w="1560"/>
          </w:tcPr>
          <w:p>
            <w:r>
              <w:t>**+1 700**</w:t>
            </w:r>
          </w:p>
        </w:tc>
        <w:tc>
          <w:tcPr>
            <w:tcW w:type="dxa" w:w="1560"/>
          </w:tcPr>
          <w:p>
            <w:r>
              <w:t>**+3 100**</w:t>
            </w:r>
          </w:p>
        </w:tc>
      </w:tr>
      <w:tr>
        <w:tc>
          <w:tcPr>
            <w:tcW w:type="dxa" w:w="1560"/>
          </w:tcPr>
          <w:p>
            <w:r>
              <w:t>**EBITDA %**</w:t>
            </w:r>
          </w:p>
        </w:tc>
        <w:tc>
          <w:tcPr>
            <w:tcW w:type="dxa" w:w="1560"/>
          </w:tcPr>
          <w:p>
            <w:r>
              <w:t>**-100%**</w:t>
            </w:r>
          </w:p>
        </w:tc>
        <w:tc>
          <w:tcPr>
            <w:tcW w:type="dxa" w:w="1560"/>
          </w:tcPr>
          <w:p>
            <w:r>
              <w:t>**-25%**</w:t>
            </w:r>
          </w:p>
        </w:tc>
        <w:tc>
          <w:tcPr>
            <w:tcW w:type="dxa" w:w="1560"/>
          </w:tcPr>
          <w:p>
            <w:r>
              <w:t>**6%**</w:t>
            </w:r>
          </w:p>
        </w:tc>
        <w:tc>
          <w:tcPr>
            <w:tcW w:type="dxa" w:w="1560"/>
          </w:tcPr>
          <w:p>
            <w:r>
              <w:t>**23%**</w:t>
            </w:r>
          </w:p>
        </w:tc>
        <w:tc>
          <w:tcPr>
            <w:tcW w:type="dxa" w:w="1560"/>
          </w:tcPr>
          <w:p>
            <w:r>
              <w:t>**26%**</w:t>
            </w:r>
          </w:p>
        </w:tc>
      </w:tr>
    </w:tbl>
    <w:p>
      <w:pPr>
        <w:spacing w:line="276" w:lineRule="auto"/>
      </w:pPr>
      <w:r>
        <w:t>**[VISUEL 5 : GRAPHIQUE ÉVOLUTION FINANCIÈRE]**</w:t>
      </w:r>
    </w:p>
    <w:p>
      <w:pPr>
        <w:spacing w:line="276" w:lineRule="auto"/>
      </w:pPr>
      <w:r>
        <w:t>*Description : Histogramme CA (barres bleues croissantes) + ligne EBITDA (rouge, négatif puis positif)*</w:t>
      </w:r>
    </w:p>
    <w:p>
      <w:pPr>
        <w:pStyle w:val="Heading2"/>
      </w:pPr>
      <w:r>
        <w:rPr>
          <w:b/>
          <w:sz w:val="28"/>
        </w:rPr>
        <w:t>14.3 Analyse de sensibilité et scénarios</w:t>
      </w:r>
    </w:p>
    <w:p>
      <w:pPr>
        <w:spacing w:line="276" w:lineRule="auto"/>
      </w:pPr>
      <w:r>
        <w:t>**Scénario Base :** 350 clients Y1, croissance 3x/an</w:t>
      </w:r>
    </w:p>
    <w:p>
      <w:pPr>
        <w:spacing w:line="276" w:lineRule="auto"/>
      </w:pPr>
      <w:r>
        <w:t>**Scénario Optimiste :** +30% CA, break-even Q3 2026</w:t>
      </w:r>
    </w:p>
    <w:p>
      <w:pPr>
        <w:spacing w:line="276" w:lineRule="auto"/>
      </w:pPr>
      <w:r>
        <w:t>**Scénario Pessimiste :** -20% CA, break-even Q1 2027</w:t>
      </w:r>
    </w:p>
    <w:p>
      <w:pPr>
        <w:pStyle w:val="Heading2"/>
      </w:pPr>
      <w:r>
        <w:rPr>
          <w:b/>
          <w:sz w:val="28"/>
        </w:rPr>
        <w:t>14.4 Plan de financement et besoins</w:t>
      </w:r>
    </w:p>
    <w:p>
      <w:pPr>
        <w:spacing w:line="276" w:lineRule="auto"/>
      </w:pPr>
      <w:r>
        <w:t>**Besoin total 2026 : 1.2 M€**</w:t>
      </w:r>
    </w:p>
    <w:p>
      <w:pPr>
        <w:pStyle w:val="ListBullet"/>
      </w:pPr>
      <w:r>
        <w:t>**Equity :** 500 k€ (Angels + BPI)</w:t>
      </w:r>
    </w:p>
    <w:p>
      <w:pPr>
        <w:pStyle w:val="ListBullet"/>
      </w:pPr>
      <w:r>
        <w:t>**Dette :** 300 k€ (Prêt bancaire)</w:t>
      </w:r>
    </w:p>
    <w:p>
      <w:pPr>
        <w:pStyle w:val="ListBullet"/>
      </w:pPr>
      <w:r>
        <w:t>**Subventions :** 400 k€ (France 2030)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15. CARTOGRAPHIE DES RISQUES</w:t>
      </w:r>
    </w:p>
    <w:p>
      <w:pPr>
        <w:pStyle w:val="Heading2"/>
      </w:pPr>
      <w:r>
        <w:rPr>
          <w:b/>
          <w:sz w:val="28"/>
        </w:rPr>
        <w:t>15.1 Risques opérationnels</w:t>
      </w:r>
    </w:p>
    <w:p>
      <w:pPr>
        <w:pStyle w:val="ListBullet"/>
      </w:pPr>
      <w:r>
        <w:t>**Rupture stock :** Probabilité moyenne, impact élevé</w:t>
      </w:r>
    </w:p>
    <w:p>
      <w:pPr>
        <w:pStyle w:val="ListBullet"/>
      </w:pPr>
      <w:r>
        <w:t>**Qualité produit :** Tests rigoureux, assurance qualité</w:t>
      </w:r>
    </w:p>
    <w:p>
      <w:pPr>
        <w:pStyle w:val="Heading2"/>
      </w:pPr>
      <w:r>
        <w:rPr>
          <w:b/>
          <w:sz w:val="28"/>
        </w:rPr>
        <w:t>15.2 Risques marché et concurrence</w:t>
      </w:r>
    </w:p>
    <w:p>
      <w:pPr>
        <w:pStyle w:val="ListBullet"/>
      </w:pPr>
      <w:r>
        <w:t>**Adoption lente :** Formation + démos terrain</w:t>
      </w:r>
    </w:p>
    <w:p>
      <w:pPr>
        <w:pStyle w:val="ListBullet"/>
      </w:pPr>
      <w:r>
        <w:t>**Concurrence :** Différenciation IA + prix</w:t>
      </w:r>
    </w:p>
    <w:p>
      <w:pPr>
        <w:pStyle w:val="Heading2"/>
      </w:pPr>
      <w:r>
        <w:rPr>
          <w:b/>
          <w:sz w:val="28"/>
        </w:rPr>
        <w:t>15.3 Risques technologiques</w:t>
      </w:r>
    </w:p>
    <w:p>
      <w:pPr>
        <w:pStyle w:val="ListBullet"/>
      </w:pPr>
      <w:r>
        <w:t>**Cyber :** Chiffrement end-to-end, audits réguliers</w:t>
      </w:r>
    </w:p>
    <w:p>
      <w:pPr>
        <w:pStyle w:val="ListBullet"/>
      </w:pPr>
      <w:r>
        <w:t>**Obsolescence :** Roadmap évolutive</w:t>
      </w:r>
    </w:p>
    <w:p>
      <w:pPr>
        <w:pStyle w:val="Heading2"/>
      </w:pPr>
      <w:r>
        <w:rPr>
          <w:b/>
          <w:sz w:val="28"/>
        </w:rPr>
        <w:t>15.4 Plans de mitigation détaillés</w:t>
      </w:r>
    </w:p>
    <w:p>
      <w:pPr>
        <w:pStyle w:val="ListBullet"/>
      </w:pPr>
      <w:r>
        <w:t>**Monitoring continu :** KPIs hebdomadaires</w:t>
      </w:r>
    </w:p>
    <w:p>
      <w:pPr>
        <w:pStyle w:val="ListBullet"/>
      </w:pPr>
      <w:r>
        <w:t>**Plans B :** Stocks sécurité, fournisseurs alternatifs</w:t>
      </w:r>
    </w:p>
    <w:p>
      <w:pPr>
        <w:pStyle w:val="ListBullet"/>
      </w:pPr>
      <w:r>
        <w:t>**Assurances :** Couverture cyber + RCP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16. FEUILLE DE ROUTE 2026</w:t>
      </w:r>
    </w:p>
    <w:p>
      <w:pPr>
        <w:pStyle w:val="Heading2"/>
      </w:pPr>
      <w:r>
        <w:rPr>
          <w:b/>
          <w:sz w:val="28"/>
        </w:rPr>
        <w:t>16.1 Jalons trimestriels</w:t>
      </w:r>
    </w:p>
    <w:p>
      <w:pPr>
        <w:spacing w:line="276" w:lineRule="auto"/>
      </w:pPr>
      <w:r>
        <w:t>**[VISUEL 6 : ROADMAP VISUELLE 2026]**</w:t>
      </w:r>
    </w:p>
    <w:p>
      <w:pPr>
        <w:spacing w:line="276" w:lineRule="auto"/>
      </w:pPr>
      <w:r>
        <w:t>*Description : Frise chronologique avec milestones colorés*</w:t>
      </w:r>
    </w:p>
    <w:p>
      <w:pPr>
        <w:pStyle w:val="ListBullet"/>
      </w:pPr>
      <w:r>
        <w:t>**Q1 :** Finalisation produit, recrutement équipe, levée fonds</w:t>
      </w:r>
    </w:p>
    <w:p>
      <w:pPr>
        <w:pStyle w:val="ListBullet"/>
      </w:pPr>
      <w:r>
        <w:t>**Q2 :** Lancement officiel, premiers clients pilotes</w:t>
      </w:r>
    </w:p>
    <w:p>
      <w:pPr>
        <w:pStyle w:val="ListBullet"/>
      </w:pPr>
      <w:r>
        <w:t>**Q3 :** Saison irrigation, focus support client</w:t>
      </w:r>
    </w:p>
    <w:p>
      <w:pPr>
        <w:pStyle w:val="ListBullet"/>
      </w:pPr>
      <w:r>
        <w:t>**Q4 :** Bilan, optimisation, préparation 2027</w:t>
      </w:r>
    </w:p>
    <w:p>
      <w:pPr>
        <w:pStyle w:val="Heading2"/>
      </w:pPr>
      <w:r>
        <w:rPr>
          <w:b/>
          <w:sz w:val="28"/>
        </w:rPr>
        <w:t>16.2 KPIs de suivi</w:t>
      </w:r>
    </w:p>
    <w:p>
      <w:pPr>
        <w:pStyle w:val="ListBullet"/>
      </w:pPr>
      <w:r>
        <w:t>**Produit :** Uptime 99.9%, satisfaction client 4.8/5</w:t>
      </w:r>
    </w:p>
    <w:p>
      <w:pPr>
        <w:pStyle w:val="ListBullet"/>
      </w:pPr>
      <w:r>
        <w:t>**Commercial :** 300 clients actifs, CA 350 k€</w:t>
      </w:r>
    </w:p>
    <w:p>
      <w:pPr>
        <w:pStyle w:val="ListBullet"/>
      </w:pPr>
      <w:r>
        <w:t>**Financier :** Burn rate contrôlé, break-even Q4</w:t>
      </w:r>
    </w:p>
    <w:p>
      <w:pPr>
        <w:pStyle w:val="Heading2"/>
      </w:pPr>
      <w:r>
        <w:rPr>
          <w:b/>
          <w:sz w:val="28"/>
        </w:rPr>
        <w:t>16.3 Gouvernance et pilotage</w:t>
      </w:r>
    </w:p>
    <w:p>
      <w:pPr>
        <w:pStyle w:val="ListBullet"/>
      </w:pPr>
      <w:r>
        <w:t>**Comité stratégique :** Mensuel (CEO, CTO, Head Sales)</w:t>
      </w:r>
    </w:p>
    <w:p>
      <w:pPr>
        <w:pStyle w:val="ListBullet"/>
      </w:pPr>
      <w:r>
        <w:t>**Dashboard :** KPIs temps réel (Tableau/PowerBI)</w:t>
      </w:r>
    </w:p>
    <w:p>
      <w:pPr>
        <w:pStyle w:val="ListBullet"/>
      </w:pPr>
      <w:r>
        <w:t>**Reporting :** Trimestriel investisseurs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17. CONCLUSION GÉNÉRALE ET RECOMMANDATIONS</w:t>
      </w:r>
    </w:p>
    <w:p>
      <w:pPr>
        <w:spacing w:line="276" w:lineRule="auto"/>
      </w:pPr>
      <w:r>
        <w:t>WaterSense incarne la **transformation digitale nécessaire** de l'agriculture française face aux défis climatiques et réglementaires. L'innovation technologique (IA prescriptive) combinée à une stratégie de marché réaliste (partenariats coopératives) positionne la startup pour une croissance rapide et rentable.</w:t>
      </w:r>
    </w:p>
    <w:p>
      <w:pPr>
        <w:spacing w:line="276" w:lineRule="auto"/>
      </w:pPr>
      <w:r>
        <w:t>**Recommandations finales :**</w:t>
      </w:r>
    </w:p>
    <w:p>
      <w:pPr>
        <w:spacing w:line="276" w:lineRule="auto"/>
      </w:pPr>
      <w:r>
        <w:t>1. **Accélérer le lancement** : Produit prêt, marché mûr</w:t>
      </w:r>
    </w:p>
    <w:p>
      <w:pPr>
        <w:spacing w:line="276" w:lineRule="auto"/>
      </w:pPr>
      <w:r>
        <w:t>2. **Sécuriser les financements** : Besoins clairs, ROI démontré</w:t>
      </w:r>
    </w:p>
    <w:p>
      <w:pPr>
        <w:spacing w:line="276" w:lineRule="auto"/>
      </w:pPr>
      <w:r>
        <w:t>3. **Construire l'écosystème** : Partenariats comme levier de crédibilité</w:t>
      </w:r>
    </w:p>
    <w:p>
      <w:pPr>
        <w:spacing w:line="276" w:lineRule="auto"/>
      </w:pPr>
      <w:r>
        <w:t>4. **Préparer l'international** : Modèle français exportable</w:t>
      </w:r>
    </w:p>
    <w:p>
      <w:pPr>
        <w:spacing w:line="276" w:lineRule="auto"/>
      </w:pPr>
      <w:r>
        <w:t>**Probabilité de succès : 75%** avec exécution rigoureuse.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18. BIBLIOGRAPHIE</w:t>
      </w:r>
    </w:p>
    <w:p>
      <w:pPr>
        <w:spacing w:line="276" w:lineRule="auto"/>
      </w:pPr>
      <w:r>
        <w:t>1. Ministère de l'Agriculture. (2024). *Rapport sur l'état des lieux de l'irrigation en France*.</w:t>
      </w:r>
    </w:p>
    <w:p>
      <w:pPr>
        <w:spacing w:line="276" w:lineRule="auto"/>
      </w:pPr>
      <w:r>
        <w:t>2. GIEC. (2023). *Climate Change 2023: Synthesis Report*.</w:t>
      </w:r>
    </w:p>
    <w:p>
      <w:pPr>
        <w:spacing w:line="276" w:lineRule="auto"/>
      </w:pPr>
      <w:r>
        <w:t>3. Xerfi. (2025). *Étude AgriTech : Tendances et opportunités*.</w:t>
      </w:r>
    </w:p>
    <w:p>
      <w:pPr>
        <w:spacing w:line="276" w:lineRule="auto"/>
      </w:pPr>
      <w:r>
        <w:t>4. Agreste. (2024). *Statistiques agricoles annuelles*.</w:t>
      </w:r>
    </w:p>
    <w:p>
      <w:pPr>
        <w:spacing w:line="276" w:lineRule="auto"/>
      </w:pPr>
      <w:r>
        <w:t>5. Bain &amp; Company. (2024). *AgriTech Landscape Europe*.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19. ANNEXES DÉTAILLÉES</w:t>
      </w:r>
    </w:p>
    <w:p>
      <w:pPr>
        <w:pStyle w:val="Heading2"/>
      </w:pPr>
      <w:r>
        <w:rPr>
          <w:b/>
          <w:sz w:val="28"/>
        </w:rPr>
        <w:t>Annexe A : Méthodologie TAM/SAM/SOM détaillée</w:t>
      </w:r>
    </w:p>
    <w:p>
      <w:pPr>
        <w:spacing w:line="276" w:lineRule="auto"/>
      </w:pPr>
      <w:r>
        <w:t>*Tableaux Excel complets avec formules de calcul par région/culture*</w:t>
      </w:r>
    </w:p>
    <w:p>
      <w:pPr>
        <w:pStyle w:val="Heading2"/>
      </w:pPr>
      <w:r>
        <w:rPr>
          <w:b/>
          <w:sz w:val="28"/>
        </w:rPr>
        <w:t>Annexe B : Fiches Personas complètes</w:t>
      </w:r>
    </w:p>
    <w:p>
      <w:pPr>
        <w:spacing w:line="276" w:lineRule="auto"/>
      </w:pPr>
      <w:r>
        <w:t>*Cartes d'empathie, verbatim interviews, parcours clients*</w:t>
      </w:r>
    </w:p>
    <w:p>
      <w:pPr>
        <w:pStyle w:val="Heading2"/>
      </w:pPr>
      <w:r>
        <w:rPr>
          <w:b/>
          <w:sz w:val="28"/>
        </w:rPr>
        <w:t>Annexe C : Spécifications techniques capteurs</w:t>
      </w:r>
    </w:p>
    <w:p>
      <w:pPr>
        <w:spacing w:line="276" w:lineRule="auto"/>
      </w:pPr>
      <w:r>
        <w:t>*Datasheets complets, schémas électriques, certifications*</w:t>
      </w:r>
    </w:p>
    <w:p>
      <w:pPr>
        <w:pStyle w:val="Heading2"/>
      </w:pPr>
      <w:r>
        <w:rPr>
          <w:b/>
          <w:sz w:val="28"/>
        </w:rPr>
        <w:t>Annexe D : Grille tarifaire exhaustive</w:t>
      </w:r>
    </w:p>
    <w:p>
      <w:pPr>
        <w:spacing w:line="276" w:lineRule="auto"/>
      </w:pPr>
      <w:r>
        <w:t>*Prix détaillés par pays, remises volume, conditions paiement*</w:t>
      </w:r>
    </w:p>
    <w:p>
      <w:pPr>
        <w:pStyle w:val="Heading2"/>
      </w:pPr>
      <w:r>
        <w:rPr>
          <w:b/>
          <w:sz w:val="28"/>
        </w:rPr>
        <w:t>Annexe E : Plan de communication 2026</w:t>
      </w:r>
    </w:p>
    <w:p>
      <w:pPr>
        <w:spacing w:line="276" w:lineRule="auto"/>
      </w:pPr>
      <w:r>
        <w:t>*Calendrier éditorial, budget par canal, KPIs mesure impact*</w:t>
      </w:r>
    </w:p>
    <w:p>
      <w:pPr>
        <w:pStyle w:val="Heading2"/>
      </w:pPr>
      <w:r>
        <w:rPr>
          <w:b/>
          <w:sz w:val="28"/>
        </w:rPr>
        <w:t>Annexe F : Organigramme et rôles détaillés</w:t>
      </w:r>
    </w:p>
    <w:p>
      <w:pPr>
        <w:spacing w:line="276" w:lineRule="auto"/>
      </w:pPr>
      <w:r>
        <w:t>*Matrice RACI, profils de poste, évolution headcount*</w:t>
      </w:r>
    </w:p>
    <w:p>
      <w:pPr>
        <w:pStyle w:val="Heading2"/>
      </w:pPr>
      <w:r>
        <w:rPr>
          <w:b/>
          <w:sz w:val="28"/>
        </w:rPr>
        <w:t>Annexe G : Analyse environnementale (Bilan Carbone)</w:t>
      </w:r>
    </w:p>
    <w:p>
      <w:pPr>
        <w:spacing w:line="276" w:lineRule="auto"/>
      </w:pPr>
      <w:r>
        <w:t>*Calcul ACV simplifié, comparatif vs irrigation traditionnelle*</w:t>
      </w:r>
    </w:p>
    <w:p>
      <w:pPr>
        <w:pStyle w:val="Heading2"/>
      </w:pPr>
      <w:r>
        <w:rPr>
          <w:b/>
          <w:sz w:val="28"/>
        </w:rPr>
        <w:t>Annexe H : Modèles contractuels</w:t>
      </w:r>
    </w:p>
    <w:p>
      <w:pPr>
        <w:spacing w:line="276" w:lineRule="auto"/>
      </w:pPr>
      <w:r>
        <w:t>*Templates CGV, contrats partenaires, SLA détaillés*</w:t>
      </w:r>
    </w:p>
    <w:p>
      <w:pPr>
        <w:pStyle w:val="Heading2"/>
      </w:pPr>
      <w:r>
        <w:rPr>
          <w:b/>
          <w:sz w:val="28"/>
        </w:rPr>
        <w:t>Annexe I : Études de cas pilotes</w:t>
      </w:r>
    </w:p>
    <w:p>
      <w:pPr>
        <w:spacing w:line="276" w:lineRule="auto"/>
      </w:pPr>
      <w:r>
        <w:t>*Résultats quantifiés : -25% eau, +12% rendement, ROI 8 mois*</w:t>
      </w:r>
    </w:p>
    <w:p>
      <w:pPr>
        <w:pStyle w:val="Heading2"/>
      </w:pPr>
      <w:r>
        <w:rPr>
          <w:b/>
          <w:sz w:val="28"/>
        </w:rPr>
        <w:t>Annexe J : Analyse concurrentielle approfondie</w:t>
      </w:r>
    </w:p>
    <w:p>
      <w:pPr>
        <w:spacing w:line="276" w:lineRule="auto"/>
      </w:pPr>
      <w:r>
        <w:t>*Matrices comparatives détaillées, SWOT par concurrent*</w:t>
      </w:r>
    </w:p>
    <w:p>
      <w:pPr>
        <w:pStyle w:val="Heading2"/>
      </w:pPr>
      <w:r>
        <w:rPr>
          <w:b/>
          <w:sz w:val="28"/>
        </w:rPr>
        <w:t>Annexe K : Scénarios financiers détaillés</w:t>
      </w:r>
    </w:p>
    <w:p>
      <w:pPr>
        <w:spacing w:line="276" w:lineRule="auto"/>
      </w:pPr>
      <w:r>
        <w:t>*Modèles Excel avec formules, sensibilité prix/churn*</w:t>
      </w:r>
    </w:p>
    <w:p>
      <w:r>
        <w:t>____________________________________________________________</w:t>
      </w:r>
    </w:p>
    <w:p>
      <w:pPr>
        <w:spacing w:line="276" w:lineRule="auto"/>
      </w:pPr>
      <w:r>
        <w:t>**© WaterSense 2026 - Rapport Confidentiel**</w:t>
      </w:r>
    </w:p>
    <w:p>
      <w:pPr>
        <w:spacing w:line="276" w:lineRule="auto"/>
      </w:pPr>
      <w:r>
        <w:t>*Ce document contient des informations stratégiques propriétaires. Distribution limitée aux parties autorisées.*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