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FA4BD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Шаблон отчета по практическому занятию №2 (Классная работа)</w:t>
      </w:r>
    </w:p>
    <w:p w14:paraId="3C1FEC2F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Тема занятия: Виды, цели и уровни интеграции программных модулей. Автоматизация бизнес-процессов.</w:t>
      </w:r>
    </w:p>
    <w:p w14:paraId="2FB494ED" w14:textId="143038B9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ФИО студента (или участников группы): Слободина Виктория Владиславовна</w:t>
      </w:r>
      <w:r>
        <w:rPr>
          <w:rFonts w:ascii="Times New Roman" w:hAnsi="Times New Roman" w:cs="Times New Roman"/>
          <w:sz w:val="28"/>
          <w:szCs w:val="28"/>
        </w:rPr>
        <w:t>, Тимофее Полина Антоновна, Немцов Александр Дмитриевич, Наумов Артём Сергеевич</w:t>
      </w:r>
      <w:r w:rsidRPr="00DF70E9">
        <w:rPr>
          <w:rFonts w:ascii="Times New Roman" w:hAnsi="Times New Roman" w:cs="Times New Roman"/>
          <w:sz w:val="28"/>
          <w:szCs w:val="28"/>
        </w:rPr>
        <w:t>.</w:t>
      </w:r>
    </w:p>
    <w:p w14:paraId="3DC2175F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Группа: И-14-23-9</w:t>
      </w:r>
    </w:p>
    <w:p w14:paraId="5A077818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Выбранный учебный кейс: Корпоративный портал</w:t>
      </w:r>
    </w:p>
    <w:p w14:paraId="6B970FBA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Задание 1 (Групповое). Разработка модульной структуры проекта и границ компонентов</w:t>
      </w:r>
    </w:p>
    <w:p w14:paraId="1D4338B3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1. Описание границ компонентов системы:</w:t>
      </w:r>
    </w:p>
    <w:p w14:paraId="36E2F4AF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Компонент 1 (Источник / Внешний интерфейс): Веб-интерфейс сотрудника (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Portal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>). Позволяет пользователю создавать заявки (на отпуск, командировку, закупку), просматривать статусы и получать уведомления.</w:t>
      </w:r>
    </w:p>
    <w:p w14:paraId="3BD1A641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Компонент 2 (Интеграционный шлюз / Бизнес-логика): Сервис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(Process Engine). Отвечает за маршрутизацию заявок согласно организационной структуре, проверку лимитов, управление состояниями процесса (</w:t>
      </w:r>
      <w:proofErr w:type="gramStart"/>
      <w:r w:rsidRPr="00DF70E9">
        <w:rPr>
          <w:rFonts w:ascii="Times New Roman" w:hAnsi="Times New Roman" w:cs="Times New Roman"/>
          <w:sz w:val="28"/>
          <w:szCs w:val="28"/>
        </w:rPr>
        <w:t>черновик &gt;</w:t>
      </w:r>
      <w:proofErr w:type="gramEnd"/>
      <w:r w:rsidRPr="00DF70E9">
        <w:rPr>
          <w:rFonts w:ascii="Times New Roman" w:hAnsi="Times New Roman" w:cs="Times New Roman"/>
          <w:sz w:val="28"/>
          <w:szCs w:val="28"/>
        </w:rPr>
        <w:t xml:space="preserve"> на согласовании &gt; утверждено/отклонено) и интеграцию с внешними системами.</w:t>
      </w:r>
    </w:p>
    <w:p w14:paraId="74E3ECCB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Компонент 3 (Приемник / Внутренняя система): HR-система (кадровый учет) и ERP-система (финансы/склад). Являются системами-рекордсменами, где фиксируются итоговые изменения: списание дней отпуска, создание приказа или формирование счета на оплату.</w:t>
      </w:r>
    </w:p>
    <w:p w14:paraId="67001823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2. Схема взаимодействия компонентов (текстовая или графическая матрица потоков):</w:t>
      </w:r>
    </w:p>
    <w:p w14:paraId="09AAE23E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Шаг 1. Сотрудник заполняет форму заявки на </w:t>
      </w:r>
      <w:proofErr w:type="gramStart"/>
      <w:r w:rsidRPr="00DF70E9">
        <w:rPr>
          <w:rFonts w:ascii="Times New Roman" w:hAnsi="Times New Roman" w:cs="Times New Roman"/>
          <w:sz w:val="28"/>
          <w:szCs w:val="28"/>
        </w:rPr>
        <w:t>портале &gt;</w:t>
      </w:r>
      <w:proofErr w:type="gramEnd"/>
      <w:r w:rsidRPr="00DF70E9">
        <w:rPr>
          <w:rFonts w:ascii="Times New Roman" w:hAnsi="Times New Roman" w:cs="Times New Roman"/>
          <w:sz w:val="28"/>
          <w:szCs w:val="28"/>
        </w:rPr>
        <w:t xml:space="preserve"> Компонент 1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валидирует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обязательные поля на клиенте и отправляет данные на сервер.</w:t>
      </w:r>
    </w:p>
    <w:p w14:paraId="7BB60ABC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Шаг 2. Компонент 2 (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Engine) принимает заявку, определяет цепочку согласующих лиц на основе должности заявителя, блокирует ресурс (например, дни отпуска) в предварительном режиме и отправляет уведомления руководителям.</w:t>
      </w:r>
    </w:p>
    <w:p w14:paraId="11C6C091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Шаг 3. После финального утверждения Компонент 2 передает структурированные данные в Компонент 3 (HR/ERP), где создается официальный документ (приказ/счет), и статус заявки на портале обновляется на «Выполнено».</w:t>
      </w:r>
    </w:p>
    <w:p w14:paraId="10D62E4E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lastRenderedPageBreak/>
        <w:t>Задание 2 (Индивидуальное/парное). Проектирование перечня артефактов и протоколов проекта</w:t>
      </w:r>
    </w:p>
    <w:p w14:paraId="0B7F92CA" w14:textId="5AA9BA5D" w:rsidR="00C367A3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Спецификация межмодульного взаимодействия:</w:t>
      </w:r>
    </w:p>
    <w:tbl>
      <w:tblPr>
        <w:tblW w:w="11057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49"/>
        <w:gridCol w:w="1821"/>
        <w:gridCol w:w="1590"/>
        <w:gridCol w:w="1716"/>
        <w:gridCol w:w="1468"/>
        <w:gridCol w:w="1894"/>
      </w:tblGrid>
      <w:tr w:rsidR="00DF70E9" w:rsidRPr="00DF70E9" w14:paraId="28C3DFC3" w14:textId="77777777" w:rsidTr="00DF70E9">
        <w:trPr>
          <w:trHeight w:val="315"/>
        </w:trPr>
        <w:tc>
          <w:tcPr>
            <w:tcW w:w="539" w:type="dxa"/>
            <w:shd w:val="clear" w:color="auto" w:fill="auto"/>
            <w:noWrap/>
            <w:vAlign w:val="bottom"/>
            <w:hideMark/>
          </w:tcPr>
          <w:p w14:paraId="3917009C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44" w:type="dxa"/>
            <w:shd w:val="clear" w:color="auto" w:fill="auto"/>
            <w:noWrap/>
            <w:vAlign w:val="bottom"/>
            <w:hideMark/>
          </w:tcPr>
          <w:p w14:paraId="427F4364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Компонент-источник</w:t>
            </w:r>
          </w:p>
        </w:tc>
        <w:tc>
          <w:tcPr>
            <w:tcW w:w="1821" w:type="dxa"/>
            <w:shd w:val="clear" w:color="auto" w:fill="auto"/>
            <w:noWrap/>
            <w:vAlign w:val="bottom"/>
            <w:hideMark/>
          </w:tcPr>
          <w:p w14:paraId="274925E7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Компонент-приемник</w:t>
            </w:r>
          </w:p>
        </w:tc>
        <w:tc>
          <w:tcPr>
            <w:tcW w:w="1587" w:type="dxa"/>
            <w:shd w:val="clear" w:color="auto" w:fill="auto"/>
            <w:noWrap/>
            <w:vAlign w:val="bottom"/>
            <w:hideMark/>
          </w:tcPr>
          <w:p w14:paraId="3C3FC8D7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Уровень интеграции (Данные / API / Бизнес-логика)</w:t>
            </w:r>
          </w:p>
        </w:tc>
        <w:tc>
          <w:tcPr>
            <w:tcW w:w="1712" w:type="dxa"/>
            <w:shd w:val="clear" w:color="auto" w:fill="auto"/>
            <w:noWrap/>
            <w:vAlign w:val="bottom"/>
            <w:hideMark/>
          </w:tcPr>
          <w:p w14:paraId="7608A33D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Транспортный протокол (HTTPS / SFTP / TCP)</w:t>
            </w:r>
          </w:p>
        </w:tc>
        <w:tc>
          <w:tcPr>
            <w:tcW w:w="1468" w:type="dxa"/>
            <w:shd w:val="clear" w:color="auto" w:fill="auto"/>
            <w:noWrap/>
            <w:vAlign w:val="bottom"/>
            <w:hideMark/>
          </w:tcPr>
          <w:p w14:paraId="446B51C6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Формат данных / Артефакт (JSON / XML / CSV)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14:paraId="642CE115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Описание передаваемых данных и назначения</w:t>
            </w:r>
          </w:p>
        </w:tc>
      </w:tr>
      <w:tr w:rsidR="00DF70E9" w:rsidRPr="00DF70E9" w14:paraId="18CC56AC" w14:textId="77777777" w:rsidTr="00DF70E9">
        <w:trPr>
          <w:trHeight w:val="315"/>
        </w:trPr>
        <w:tc>
          <w:tcPr>
            <w:tcW w:w="539" w:type="dxa"/>
            <w:shd w:val="clear" w:color="auto" w:fill="auto"/>
            <w:noWrap/>
            <w:vAlign w:val="bottom"/>
            <w:hideMark/>
          </w:tcPr>
          <w:p w14:paraId="7D6BFC5A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44" w:type="dxa"/>
            <w:shd w:val="clear" w:color="auto" w:fill="auto"/>
            <w:noWrap/>
            <w:vAlign w:val="bottom"/>
            <w:hideMark/>
          </w:tcPr>
          <w:p w14:paraId="32BCF199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Веб-интерфейс сотрудника</w:t>
            </w:r>
          </w:p>
        </w:tc>
        <w:tc>
          <w:tcPr>
            <w:tcW w:w="1821" w:type="dxa"/>
            <w:shd w:val="clear" w:color="auto" w:fill="auto"/>
            <w:noWrap/>
            <w:vAlign w:val="bottom"/>
            <w:hideMark/>
          </w:tcPr>
          <w:p w14:paraId="158D3973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Сервис 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87" w:type="dxa"/>
            <w:shd w:val="clear" w:color="auto" w:fill="auto"/>
            <w:noWrap/>
            <w:vAlign w:val="bottom"/>
            <w:hideMark/>
          </w:tcPr>
          <w:p w14:paraId="65E1B376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Уровень интерфейсов (API)</w:t>
            </w:r>
          </w:p>
        </w:tc>
        <w:tc>
          <w:tcPr>
            <w:tcW w:w="1712" w:type="dxa"/>
            <w:shd w:val="clear" w:color="auto" w:fill="auto"/>
            <w:noWrap/>
            <w:vAlign w:val="bottom"/>
            <w:hideMark/>
          </w:tcPr>
          <w:p w14:paraId="1EAEA909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HTTPS (REST API)</w:t>
            </w:r>
          </w:p>
        </w:tc>
        <w:tc>
          <w:tcPr>
            <w:tcW w:w="1468" w:type="dxa"/>
            <w:shd w:val="clear" w:color="auto" w:fill="auto"/>
            <w:noWrap/>
            <w:vAlign w:val="bottom"/>
            <w:hideMark/>
          </w:tcPr>
          <w:p w14:paraId="2D9778B7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14:paraId="26FED208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Создание новой заявки: передача типа заявки, дат, суммы и комментариев для запуска бизнес-процесса.</w:t>
            </w:r>
          </w:p>
        </w:tc>
      </w:tr>
      <w:tr w:rsidR="00DF70E9" w:rsidRPr="00DF70E9" w14:paraId="20C894C0" w14:textId="77777777" w:rsidTr="00DF70E9">
        <w:trPr>
          <w:trHeight w:val="315"/>
        </w:trPr>
        <w:tc>
          <w:tcPr>
            <w:tcW w:w="539" w:type="dxa"/>
            <w:shd w:val="clear" w:color="auto" w:fill="auto"/>
            <w:noWrap/>
            <w:vAlign w:val="bottom"/>
            <w:hideMark/>
          </w:tcPr>
          <w:p w14:paraId="7225CF2F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44" w:type="dxa"/>
            <w:shd w:val="clear" w:color="auto" w:fill="auto"/>
            <w:noWrap/>
            <w:vAlign w:val="bottom"/>
            <w:hideMark/>
          </w:tcPr>
          <w:p w14:paraId="2F8A41F3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Сервис 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  <w:proofErr w:type="spellEnd"/>
          </w:p>
        </w:tc>
        <w:tc>
          <w:tcPr>
            <w:tcW w:w="1821" w:type="dxa"/>
            <w:shd w:val="clear" w:color="auto" w:fill="auto"/>
            <w:noWrap/>
            <w:vAlign w:val="bottom"/>
            <w:hideMark/>
          </w:tcPr>
          <w:p w14:paraId="6610D520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HR-система (1C/SAP)</w:t>
            </w:r>
          </w:p>
        </w:tc>
        <w:tc>
          <w:tcPr>
            <w:tcW w:w="1587" w:type="dxa"/>
            <w:shd w:val="clear" w:color="auto" w:fill="auto"/>
            <w:noWrap/>
            <w:vAlign w:val="bottom"/>
            <w:hideMark/>
          </w:tcPr>
          <w:p w14:paraId="2ECD2244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Уровень бизнес-логики</w:t>
            </w:r>
          </w:p>
        </w:tc>
        <w:tc>
          <w:tcPr>
            <w:tcW w:w="1712" w:type="dxa"/>
            <w:shd w:val="clear" w:color="auto" w:fill="auto"/>
            <w:noWrap/>
            <w:vAlign w:val="bottom"/>
            <w:hideMark/>
          </w:tcPr>
          <w:p w14:paraId="0EA844ED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HTTPS (SOAP/REST)</w:t>
            </w:r>
          </w:p>
        </w:tc>
        <w:tc>
          <w:tcPr>
            <w:tcW w:w="1468" w:type="dxa"/>
            <w:shd w:val="clear" w:color="auto" w:fill="auto"/>
            <w:noWrap/>
            <w:vAlign w:val="bottom"/>
            <w:hideMark/>
          </w:tcPr>
          <w:p w14:paraId="6868F0BE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XML / JSON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14:paraId="1CE88F27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Передача утвержденной заявки на отпуск для формирования кадрового приказа и списания баланса дней сотрудника.</w:t>
            </w:r>
          </w:p>
        </w:tc>
      </w:tr>
      <w:tr w:rsidR="00DF70E9" w:rsidRPr="00DF70E9" w14:paraId="4C67708E" w14:textId="77777777" w:rsidTr="00DF70E9">
        <w:trPr>
          <w:trHeight w:val="315"/>
        </w:trPr>
        <w:tc>
          <w:tcPr>
            <w:tcW w:w="539" w:type="dxa"/>
            <w:shd w:val="clear" w:color="auto" w:fill="auto"/>
            <w:noWrap/>
            <w:vAlign w:val="bottom"/>
            <w:hideMark/>
          </w:tcPr>
          <w:p w14:paraId="49FF4B76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44" w:type="dxa"/>
            <w:shd w:val="clear" w:color="auto" w:fill="auto"/>
            <w:noWrap/>
            <w:vAlign w:val="bottom"/>
            <w:hideMark/>
          </w:tcPr>
          <w:p w14:paraId="61FED32B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Модуль аутентификации Портала</w:t>
            </w:r>
          </w:p>
        </w:tc>
        <w:tc>
          <w:tcPr>
            <w:tcW w:w="1821" w:type="dxa"/>
            <w:shd w:val="clear" w:color="auto" w:fill="auto"/>
            <w:noWrap/>
            <w:vAlign w:val="bottom"/>
            <w:hideMark/>
          </w:tcPr>
          <w:p w14:paraId="07F808A5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Active Directory (LDAP)</w:t>
            </w:r>
          </w:p>
        </w:tc>
        <w:tc>
          <w:tcPr>
            <w:tcW w:w="1587" w:type="dxa"/>
            <w:shd w:val="clear" w:color="auto" w:fill="auto"/>
            <w:noWrap/>
            <w:vAlign w:val="bottom"/>
            <w:hideMark/>
          </w:tcPr>
          <w:p w14:paraId="51704442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Уровень данных и безопасности</w:t>
            </w:r>
          </w:p>
        </w:tc>
        <w:tc>
          <w:tcPr>
            <w:tcW w:w="1712" w:type="dxa"/>
            <w:shd w:val="clear" w:color="auto" w:fill="auto"/>
            <w:noWrap/>
            <w:vAlign w:val="bottom"/>
            <w:hideMark/>
          </w:tcPr>
          <w:p w14:paraId="5AF77928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LDAPS (LDAP 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 SSL)</w:t>
            </w:r>
          </w:p>
        </w:tc>
        <w:tc>
          <w:tcPr>
            <w:tcW w:w="1468" w:type="dxa"/>
            <w:shd w:val="clear" w:color="auto" w:fill="auto"/>
            <w:noWrap/>
            <w:vAlign w:val="bottom"/>
            <w:hideMark/>
          </w:tcPr>
          <w:p w14:paraId="62EFE3EC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Бинарный поток / ASN.1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14:paraId="2807C042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Проверка учетных данных пользователя при входе и получение атрибутов безопасности (группы, роли) для построения маршрутов согласования.</w:t>
            </w:r>
          </w:p>
        </w:tc>
      </w:tr>
      <w:tr w:rsidR="00DF70E9" w:rsidRPr="00DF70E9" w14:paraId="08583206" w14:textId="77777777" w:rsidTr="00DF70E9">
        <w:trPr>
          <w:trHeight w:val="315"/>
        </w:trPr>
        <w:tc>
          <w:tcPr>
            <w:tcW w:w="539" w:type="dxa"/>
            <w:shd w:val="clear" w:color="auto" w:fill="auto"/>
            <w:noWrap/>
            <w:vAlign w:val="bottom"/>
            <w:hideMark/>
          </w:tcPr>
          <w:p w14:paraId="3755C37D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44" w:type="dxa"/>
            <w:shd w:val="clear" w:color="auto" w:fill="auto"/>
            <w:noWrap/>
            <w:vAlign w:val="bottom"/>
            <w:hideMark/>
          </w:tcPr>
          <w:p w14:paraId="70396C52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Корпоративный портал (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21" w:type="dxa"/>
            <w:shd w:val="clear" w:color="auto" w:fill="auto"/>
            <w:noWrap/>
            <w:vAlign w:val="bottom"/>
            <w:hideMark/>
          </w:tcPr>
          <w:p w14:paraId="65FD84CA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Центр авторизации SSO (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Keycloak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87" w:type="dxa"/>
            <w:shd w:val="clear" w:color="auto" w:fill="auto"/>
            <w:noWrap/>
            <w:vAlign w:val="bottom"/>
            <w:hideMark/>
          </w:tcPr>
          <w:p w14:paraId="49DC3517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Уровень интерфейсов и бизнес-логики</w:t>
            </w:r>
          </w:p>
        </w:tc>
        <w:tc>
          <w:tcPr>
            <w:tcW w:w="1712" w:type="dxa"/>
            <w:shd w:val="clear" w:color="auto" w:fill="auto"/>
            <w:noWrap/>
            <w:vAlign w:val="bottom"/>
            <w:hideMark/>
          </w:tcPr>
          <w:p w14:paraId="1FED88ED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1468" w:type="dxa"/>
            <w:shd w:val="clear" w:color="auto" w:fill="auto"/>
            <w:noWrap/>
            <w:vAlign w:val="bottom"/>
            <w:hideMark/>
          </w:tcPr>
          <w:p w14:paraId="76AAB034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JWT (JSON Web 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14:paraId="0D36BF5E" w14:textId="77777777" w:rsidR="00DF70E9" w:rsidRPr="00DF70E9" w:rsidRDefault="00DF70E9" w:rsidP="00DF7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70E9">
              <w:rPr>
                <w:rFonts w:ascii="Times New Roman" w:hAnsi="Times New Roman" w:cs="Times New Roman"/>
                <w:sz w:val="24"/>
                <w:szCs w:val="24"/>
              </w:rPr>
              <w:t xml:space="preserve">Обмен токенами доступа и обновления. </w:t>
            </w:r>
            <w:r w:rsidRPr="00DF70E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Получение единого идентификатора пользователя и списка разрешений (</w:t>
            </w:r>
            <w:proofErr w:type="spellStart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scopes</w:t>
            </w:r>
            <w:proofErr w:type="spellEnd"/>
            <w:r w:rsidRPr="00DF70E9">
              <w:rPr>
                <w:rFonts w:ascii="Times New Roman" w:hAnsi="Times New Roman" w:cs="Times New Roman"/>
                <w:sz w:val="24"/>
                <w:szCs w:val="24"/>
              </w:rPr>
              <w:t>) для бесшовного доступа к ресурсам.</w:t>
            </w:r>
          </w:p>
        </w:tc>
      </w:tr>
    </w:tbl>
    <w:p w14:paraId="3C5F5974" w14:textId="2939466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</w:p>
    <w:p w14:paraId="0C06584B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15. Интеграция модуля единого входа (SSO — Single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>-On)</w:t>
      </w:r>
    </w:p>
    <w:p w14:paraId="6A75F382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Задача. Обеспечение авторизации пользователей на всех внутренних порталах компании через единый центр (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Keycloak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/ OAuth2).</w:t>
      </w:r>
    </w:p>
    <w:p w14:paraId="4A0BC041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Источники/Приемники. Внутренние веб-приложения компании (Корпоративный портал, CRM,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FB36C69" w14:textId="5383C383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Центр авторизации SSO.</w:t>
      </w:r>
    </w:p>
    <w:p w14:paraId="0152E1DF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Уровень интеграции. Интерфейсы и бизнес-логика (токены доступа JWT, протоколы OAuth2 /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OpenID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Connect).</w:t>
      </w:r>
    </w:p>
    <w:p w14:paraId="63AFE6CD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Детали реализации:</w:t>
      </w:r>
    </w:p>
    <w:p w14:paraId="6E36288D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При попытке доступа к защищенному ресурсу портала пользователь перенаправляется на страницу входа SSO-провайдера.</w:t>
      </w:r>
    </w:p>
    <w:p w14:paraId="2EBEABF9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После успешной аутентификации провайдер выдает Access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в формате JWT.</w:t>
      </w:r>
    </w:p>
    <w:p w14:paraId="63D847F2" w14:textId="77777777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 xml:space="preserve">Портал проверяет подпись токена и извлекает из него </w:t>
      </w:r>
      <w:proofErr w:type="spellStart"/>
      <w:r w:rsidRPr="00DF70E9">
        <w:rPr>
          <w:rFonts w:ascii="Times New Roman" w:hAnsi="Times New Roman" w:cs="Times New Roman"/>
          <w:sz w:val="28"/>
          <w:szCs w:val="28"/>
        </w:rPr>
        <w:t>claims</w:t>
      </w:r>
      <w:proofErr w:type="spellEnd"/>
      <w:r w:rsidRPr="00DF70E9">
        <w:rPr>
          <w:rFonts w:ascii="Times New Roman" w:hAnsi="Times New Roman" w:cs="Times New Roman"/>
          <w:sz w:val="28"/>
          <w:szCs w:val="28"/>
        </w:rPr>
        <w:t xml:space="preserve"> (утверждения): ID пользователя, роль, время истечения срока действия.</w:t>
      </w:r>
    </w:p>
    <w:p w14:paraId="154EB7EF" w14:textId="7B4CFC9B" w:rsidR="00DF70E9" w:rsidRPr="00DF70E9" w:rsidRDefault="00DF70E9" w:rsidP="00DF70E9">
      <w:pPr>
        <w:rPr>
          <w:rFonts w:ascii="Times New Roman" w:hAnsi="Times New Roman" w:cs="Times New Roman"/>
          <w:sz w:val="28"/>
          <w:szCs w:val="28"/>
        </w:rPr>
      </w:pPr>
      <w:r w:rsidRPr="00DF70E9">
        <w:rPr>
          <w:rFonts w:ascii="Times New Roman" w:hAnsi="Times New Roman" w:cs="Times New Roman"/>
          <w:sz w:val="28"/>
          <w:szCs w:val="28"/>
        </w:rPr>
        <w:t>Это позволяет пользователю не вводить пароль повторно при переходе между различными внутренними системами компании.</w:t>
      </w:r>
    </w:p>
    <w:sectPr w:rsidR="00DF70E9" w:rsidRPr="00DF7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A3"/>
    <w:rsid w:val="00C023E8"/>
    <w:rsid w:val="00C367A3"/>
    <w:rsid w:val="00D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44CA5"/>
  <w15:chartTrackingRefBased/>
  <w15:docId w15:val="{8FD1F8DE-9F9E-4858-9094-5A2E25A8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1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92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2026-09-07T08:12:00Z</dcterms:created>
  <dcterms:modified xsi:type="dcterms:W3CDTF">2026-09-07T08:41:00Z</dcterms:modified>
</cp:coreProperties>
</file>