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41DFD" w14:textId="1A5C2B09" w:rsidR="00EF7C4A" w:rsidRDefault="00EF7C4A" w:rsidP="00CE2733">
      <w:pPr>
        <w:pStyle w:val="Heading1"/>
      </w:pPr>
      <w:r w:rsidRPr="00EF7C4A">
        <w:t>Excel Homework: Kickstart My Chart</w:t>
      </w:r>
    </w:p>
    <w:p w14:paraId="5CEBB2A3" w14:textId="61EAF5C3" w:rsidR="00EF7C4A" w:rsidRPr="00EF7C4A" w:rsidRDefault="00EF7C4A" w:rsidP="00CE2733">
      <w:r>
        <w:t>Student: Welan Chu | Monash University Data Analytics Bootcamp | Nov. 2020 PT | Week 01</w:t>
      </w:r>
    </w:p>
    <w:p w14:paraId="08D05A37" w14:textId="4109CE14" w:rsidR="006D435B" w:rsidRDefault="006D38D5" w:rsidP="00CE2733">
      <w:pPr>
        <w:pStyle w:val="Heading2"/>
      </w:pPr>
      <w:r>
        <w:t>Kickstarter Data Analysis</w:t>
      </w:r>
    </w:p>
    <w:p w14:paraId="0777C542" w14:textId="77777777" w:rsidR="00CE2733" w:rsidRDefault="00EF7C4A" w:rsidP="00CE2733">
      <w:pPr>
        <w:pStyle w:val="BlockText"/>
      </w:pPr>
      <w:r>
        <w:t xml:space="preserve">The charts below represent a set of Kickstarter campaign data and their states ranging from successfully backed, failed, cancelled and live. </w:t>
      </w:r>
    </w:p>
    <w:p w14:paraId="22B58054" w14:textId="502EE9AA" w:rsidR="00E22651" w:rsidRDefault="00CE2733" w:rsidP="00CE2733">
      <w:pPr>
        <w:pStyle w:val="BlockText"/>
        <w:jc w:val="center"/>
        <w:rPr>
          <w:i/>
          <w:iCs w:val="0"/>
          <w:sz w:val="22"/>
          <w:szCs w:val="14"/>
        </w:rPr>
      </w:pPr>
      <w:r>
        <w:rPr>
          <w:i/>
          <w:iCs w:val="0"/>
          <w:noProof/>
          <w:sz w:val="22"/>
          <w:szCs w:val="14"/>
        </w:rPr>
        <w:lastRenderedPageBreak/>
        <w:drawing>
          <wp:inline distT="0" distB="0" distL="0" distR="0" wp14:anchorId="3CB6B1B7" wp14:editId="4EFB1359">
            <wp:extent cx="6395085" cy="33851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5085" cy="3385185"/>
                    </a:xfrm>
                    <a:prstGeom prst="rect">
                      <a:avLst/>
                    </a:prstGeom>
                    <a:noFill/>
                    <a:ln>
                      <a:noFill/>
                    </a:ln>
                  </pic:spPr>
                </pic:pic>
              </a:graphicData>
            </a:graphic>
          </wp:inline>
        </w:drawing>
      </w:r>
      <w:r w:rsidRPr="00CE2733">
        <w:rPr>
          <w:i/>
          <w:iCs w:val="0"/>
          <w:sz w:val="22"/>
          <w:szCs w:val="14"/>
        </w:rPr>
        <w:t xml:space="preserve"> </w:t>
      </w:r>
      <w:r>
        <w:rPr>
          <w:i/>
          <w:iCs w:val="0"/>
          <w:sz w:val="22"/>
          <w:szCs w:val="14"/>
        </w:rPr>
        <w:t>Chart 01.</w:t>
      </w:r>
    </w:p>
    <w:p w14:paraId="68AE1ECC" w14:textId="74D24017" w:rsidR="00AC622D" w:rsidRDefault="00CE2733" w:rsidP="00CE2733">
      <w:pPr>
        <w:pStyle w:val="BlockText"/>
        <w:jc w:val="center"/>
        <w:rPr>
          <w:i/>
          <w:iCs w:val="0"/>
          <w:sz w:val="22"/>
          <w:szCs w:val="14"/>
        </w:rPr>
      </w:pPr>
      <w:r>
        <w:rPr>
          <w:noProof/>
        </w:rPr>
        <w:drawing>
          <wp:inline distT="0" distB="0" distL="0" distR="0" wp14:anchorId="557DD4BC" wp14:editId="4AC302A1">
            <wp:extent cx="6395085" cy="34124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085" cy="3412490"/>
                    </a:xfrm>
                    <a:prstGeom prst="rect">
                      <a:avLst/>
                    </a:prstGeom>
                    <a:noFill/>
                    <a:ln>
                      <a:noFill/>
                    </a:ln>
                  </pic:spPr>
                </pic:pic>
              </a:graphicData>
            </a:graphic>
          </wp:inline>
        </w:drawing>
      </w:r>
      <w:r w:rsidRPr="00CE2733">
        <w:rPr>
          <w:i/>
          <w:iCs w:val="0"/>
          <w:sz w:val="22"/>
          <w:szCs w:val="14"/>
        </w:rPr>
        <w:t>Chart 02</w:t>
      </w:r>
      <w:r w:rsidR="00E22651">
        <w:rPr>
          <w:i/>
          <w:iCs w:val="0"/>
          <w:sz w:val="22"/>
          <w:szCs w:val="14"/>
        </w:rPr>
        <w:t>.</w:t>
      </w:r>
    </w:p>
    <w:p w14:paraId="40F19782" w14:textId="635FB525" w:rsidR="00E22651" w:rsidRDefault="00043B74" w:rsidP="00CE2733">
      <w:pPr>
        <w:pStyle w:val="BlockText"/>
        <w:jc w:val="center"/>
      </w:pPr>
      <w:r>
        <w:rPr>
          <w:noProof/>
        </w:rPr>
        <w:lastRenderedPageBreak/>
        <w:drawing>
          <wp:inline distT="0" distB="0" distL="0" distR="0" wp14:anchorId="40F8C64B" wp14:editId="4D983615">
            <wp:extent cx="6395085" cy="3712210"/>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5085" cy="3712210"/>
                    </a:xfrm>
                    <a:prstGeom prst="rect">
                      <a:avLst/>
                    </a:prstGeom>
                    <a:noFill/>
                    <a:ln>
                      <a:noFill/>
                    </a:ln>
                  </pic:spPr>
                </pic:pic>
              </a:graphicData>
            </a:graphic>
          </wp:inline>
        </w:drawing>
      </w:r>
    </w:p>
    <w:p w14:paraId="11D2E579" w14:textId="29C1196F" w:rsidR="00AC622D" w:rsidRDefault="00E22651" w:rsidP="00E22651">
      <w:pPr>
        <w:jc w:val="center"/>
      </w:pPr>
      <w:r w:rsidRPr="00CE2733">
        <w:rPr>
          <w:i/>
          <w:iCs/>
          <w:szCs w:val="14"/>
        </w:rPr>
        <w:t>Chart 0</w:t>
      </w:r>
      <w:r>
        <w:rPr>
          <w:i/>
          <w:iCs/>
          <w:szCs w:val="14"/>
        </w:rPr>
        <w:t>3.</w:t>
      </w:r>
    </w:p>
    <w:p w14:paraId="70B69081" w14:textId="20774118" w:rsidR="006D435B" w:rsidRDefault="00401F64" w:rsidP="00401F64">
      <w:proofErr w:type="gramStart"/>
      <w:r>
        <w:t>A number of</w:t>
      </w:r>
      <w:proofErr w:type="gramEnd"/>
      <w:r>
        <w:t xml:space="preserve"> conclusions </w:t>
      </w:r>
      <w:r w:rsidR="00043B74">
        <w:t>may</w:t>
      </w:r>
      <w:r>
        <w:t xml:space="preserve"> be drawn from the charts, including: </w:t>
      </w:r>
    </w:p>
    <w:p w14:paraId="580C8022" w14:textId="080B199C" w:rsidR="00401F64" w:rsidRDefault="00B849EE" w:rsidP="00401F64">
      <w:pPr>
        <w:pStyle w:val="ListBullet"/>
      </w:pPr>
      <w:r>
        <w:t xml:space="preserve">Performance-related </w:t>
      </w:r>
      <w:r w:rsidR="006D38D5">
        <w:t>arts and entertainment</w:t>
      </w:r>
      <w:r>
        <w:t xml:space="preserve"> categories appeared to have the most campaign launches and better success than other categories, evidenced by </w:t>
      </w:r>
      <w:r w:rsidRPr="00581285">
        <w:rPr>
          <w:i/>
          <w:iCs/>
        </w:rPr>
        <w:t>theatre</w:t>
      </w:r>
      <w:r>
        <w:t xml:space="preserve">, </w:t>
      </w:r>
      <w:r w:rsidRPr="00581285">
        <w:rPr>
          <w:i/>
          <w:iCs/>
        </w:rPr>
        <w:t>music</w:t>
      </w:r>
      <w:r>
        <w:t xml:space="preserve"> and </w:t>
      </w:r>
      <w:r w:rsidRPr="00581285">
        <w:rPr>
          <w:i/>
          <w:iCs/>
        </w:rPr>
        <w:t>film &amp; television</w:t>
      </w:r>
      <w:r>
        <w:t xml:space="preserve"> categories containing high campaign numbers (around 1,400, 700 and 500 respectively), compared with other categories</w:t>
      </w:r>
      <w:r w:rsidR="006D38D5">
        <w:t xml:space="preserve">, including other arts and entertainment categories such as </w:t>
      </w:r>
      <w:r w:rsidR="006D38D5" w:rsidRPr="00581285">
        <w:rPr>
          <w:i/>
          <w:iCs/>
        </w:rPr>
        <w:t>games</w:t>
      </w:r>
      <w:r w:rsidR="006D38D5">
        <w:t xml:space="preserve">, </w:t>
      </w:r>
      <w:r w:rsidR="006D38D5" w:rsidRPr="00581285">
        <w:rPr>
          <w:i/>
          <w:iCs/>
        </w:rPr>
        <w:t>photography</w:t>
      </w:r>
      <w:r w:rsidR="006D38D5">
        <w:t xml:space="preserve"> and </w:t>
      </w:r>
      <w:r w:rsidR="006D38D5" w:rsidRPr="00581285">
        <w:rPr>
          <w:i/>
          <w:iCs/>
        </w:rPr>
        <w:t>publishing</w:t>
      </w:r>
      <w:r>
        <w:t xml:space="preserve">. </w:t>
      </w:r>
      <w:r w:rsidR="006D38D5">
        <w:t xml:space="preserve">The </w:t>
      </w:r>
      <w:proofErr w:type="gramStart"/>
      <w:r w:rsidR="006D38D5">
        <w:t>most commonly launched</w:t>
      </w:r>
      <w:proofErr w:type="gramEnd"/>
      <w:r w:rsidR="006D38D5">
        <w:t xml:space="preserve"> (and most successful, on aggregate) campaign appears to be </w:t>
      </w:r>
      <w:r w:rsidR="006D38D5" w:rsidRPr="00581285">
        <w:rPr>
          <w:i/>
          <w:iCs/>
        </w:rPr>
        <w:t>theatre</w:t>
      </w:r>
      <w:r w:rsidR="006D38D5">
        <w:t xml:space="preserve">, by a significant margin, with the least common (and least successful, on aggregate) being </w:t>
      </w:r>
      <w:r w:rsidR="006D38D5" w:rsidRPr="00581285">
        <w:rPr>
          <w:i/>
          <w:iCs/>
        </w:rPr>
        <w:t>journalism</w:t>
      </w:r>
      <w:r w:rsidR="006D38D5">
        <w:t xml:space="preserve">. </w:t>
      </w:r>
      <w:r w:rsidR="0053039C">
        <w:t xml:space="preserve">Almost all categories contain successes and failures, </w:t>
      </w:r>
      <w:r>
        <w:t xml:space="preserve">except </w:t>
      </w:r>
      <w:r w:rsidRPr="00581285">
        <w:t>journalism</w:t>
      </w:r>
      <w:r>
        <w:t>, where all such campaigns in the dataset were cancelled.</w:t>
      </w:r>
      <w:r w:rsidR="0053039C">
        <w:t xml:space="preserve"> </w:t>
      </w:r>
      <w:r w:rsidR="00401F64">
        <w:t xml:space="preserve"> </w:t>
      </w:r>
    </w:p>
    <w:p w14:paraId="1C1FDDB6" w14:textId="34BE6871" w:rsidR="00B849EE" w:rsidRDefault="00B849EE" w:rsidP="00401F64">
      <w:pPr>
        <w:pStyle w:val="ListBullet"/>
      </w:pPr>
      <w:r>
        <w:t xml:space="preserve">Out of the successful sub-categories, </w:t>
      </w:r>
      <w:r w:rsidRPr="00581285">
        <w:rPr>
          <w:i/>
          <w:iCs/>
        </w:rPr>
        <w:t>plays</w:t>
      </w:r>
      <w:r>
        <w:t xml:space="preserve"> were substantially more common than any other </w:t>
      </w:r>
      <w:r w:rsidR="00F47F1C">
        <w:t>sub-</w:t>
      </w:r>
      <w:r>
        <w:t>category, approximately 3</w:t>
      </w:r>
      <w:r w:rsidR="006D38D5">
        <w:t xml:space="preserve"> times</w:t>
      </w:r>
      <w:r>
        <w:t xml:space="preserve"> more </w:t>
      </w:r>
      <w:r w:rsidR="00F47F1C">
        <w:t>campaigns launched than the next most common sub-category (</w:t>
      </w:r>
      <w:r w:rsidR="00F47F1C" w:rsidRPr="00581285">
        <w:rPr>
          <w:i/>
          <w:iCs/>
        </w:rPr>
        <w:t>rock</w:t>
      </w:r>
      <w:r w:rsidR="00F47F1C">
        <w:t xml:space="preserve">). While plays have the most successful campaigns on aggregate, rock is the most successful sub-category without failures or cancellations. Conversely, </w:t>
      </w:r>
      <w:r w:rsidR="00F47F1C" w:rsidRPr="00581285">
        <w:rPr>
          <w:i/>
          <w:iCs/>
        </w:rPr>
        <w:t>animation</w:t>
      </w:r>
      <w:r w:rsidR="00F47F1C">
        <w:t xml:space="preserve"> is the </w:t>
      </w:r>
      <w:r w:rsidR="00F47F1C">
        <w:lastRenderedPageBreak/>
        <w:t xml:space="preserve">most </w:t>
      </w:r>
      <w:r w:rsidR="00043B74">
        <w:t>failed</w:t>
      </w:r>
      <w:r w:rsidR="00F47F1C">
        <w:t xml:space="preserve"> sub-category</w:t>
      </w:r>
      <w:r w:rsidR="00043B74">
        <w:t xml:space="preserve"> </w:t>
      </w:r>
      <w:r w:rsidR="00F47F1C">
        <w:t>without any successful or cancelled campaigns. This is particular</w:t>
      </w:r>
      <w:r w:rsidR="00043B74">
        <w:t>ly</w:t>
      </w:r>
      <w:r w:rsidR="00F47F1C">
        <w:t xml:space="preserve"> interest</w:t>
      </w:r>
      <w:r w:rsidR="00043B74">
        <w:t>ing</w:t>
      </w:r>
      <w:r w:rsidR="00F47F1C">
        <w:t xml:space="preserve"> given that film &amp; television is the third-most common campaign category, indicating </w:t>
      </w:r>
      <w:r w:rsidR="00043B74">
        <w:t>animation’</w:t>
      </w:r>
      <w:r w:rsidR="00F47F1C">
        <w:t xml:space="preserve">s unpopularity </w:t>
      </w:r>
      <w:r w:rsidR="00043B74">
        <w:t>or otherwise unsuccessful nature on the Kickstarter platform.</w:t>
      </w:r>
    </w:p>
    <w:p w14:paraId="082B9768" w14:textId="6B87660A" w:rsidR="00F47F1C" w:rsidRDefault="00043B74" w:rsidP="00F47F1C">
      <w:pPr>
        <w:pStyle w:val="ListBullet"/>
      </w:pPr>
      <w:r>
        <w:t xml:space="preserve">Campaign </w:t>
      </w:r>
      <w:r w:rsidR="00203376">
        <w:t xml:space="preserve">launches result in </w:t>
      </w:r>
      <w:r w:rsidR="00581285">
        <w:t>success more often</w:t>
      </w:r>
      <w:r>
        <w:t xml:space="preserve"> than failure </w:t>
      </w:r>
      <w:r w:rsidR="00203376">
        <w:t xml:space="preserve">in </w:t>
      </w:r>
      <w:r>
        <w:t>every month except December. This could be due to several factors that are not immediately evident in the data, such as the qua</w:t>
      </w:r>
      <w:r w:rsidR="00203376">
        <w:t>l</w:t>
      </w:r>
      <w:r>
        <w:t>ity</w:t>
      </w:r>
      <w:r w:rsidR="00203376">
        <w:t xml:space="preserve"> and type/category of campaigns launched in December and the behaviour and possible influence of Christmas holidays on both backers and creators, including time, money and level of engagement, among other factors. The most successful months appear to be May and June, with spikes in February and October and November, while the most unsuccessful months are January, </w:t>
      </w:r>
      <w:proofErr w:type="gramStart"/>
      <w:r w:rsidR="00203376">
        <w:t>July</w:t>
      </w:r>
      <w:proofErr w:type="gramEnd"/>
      <w:r w:rsidR="00203376">
        <w:t xml:space="preserve"> and October.  </w:t>
      </w:r>
    </w:p>
    <w:p w14:paraId="70F05AED" w14:textId="52408DB9" w:rsidR="006D38D5" w:rsidRDefault="006D38D5" w:rsidP="006D38D5">
      <w:pPr>
        <w:pStyle w:val="ListBullet"/>
        <w:numPr>
          <w:ilvl w:val="0"/>
          <w:numId w:val="0"/>
        </w:numPr>
        <w:ind w:left="389" w:hanging="389"/>
        <w:rPr>
          <w:u w:val="single"/>
        </w:rPr>
      </w:pPr>
      <w:r w:rsidRPr="006D38D5">
        <w:rPr>
          <w:u w:val="single"/>
        </w:rPr>
        <w:t>Limitations</w:t>
      </w:r>
    </w:p>
    <w:p w14:paraId="1189D018" w14:textId="771EDF9F" w:rsidR="006D38D5" w:rsidRDefault="006D38D5" w:rsidP="006D38D5">
      <w:pPr>
        <w:pStyle w:val="ListBullet"/>
        <w:numPr>
          <w:ilvl w:val="0"/>
          <w:numId w:val="0"/>
        </w:numPr>
        <w:ind w:left="389" w:hanging="389"/>
      </w:pPr>
      <w:r w:rsidRPr="006D38D5">
        <w:t xml:space="preserve">Some </w:t>
      </w:r>
      <w:r>
        <w:t>limitations of the dataset include:</w:t>
      </w:r>
    </w:p>
    <w:p w14:paraId="1FD0A102" w14:textId="72A68E71" w:rsidR="00D91E4B" w:rsidRDefault="006D38D5" w:rsidP="006D38D5">
      <w:pPr>
        <w:pStyle w:val="ListBullet"/>
        <w:numPr>
          <w:ilvl w:val="0"/>
          <w:numId w:val="16"/>
        </w:numPr>
      </w:pPr>
      <w:r>
        <w:t xml:space="preserve">No clear demographics of backers: there is no way of knowing </w:t>
      </w:r>
      <w:r w:rsidR="004D392D">
        <w:t xml:space="preserve">who the campaigns appeal to, why certain campaigns are </w:t>
      </w:r>
      <w:proofErr w:type="gramStart"/>
      <w:r w:rsidR="004D392D">
        <w:t>successful</w:t>
      </w:r>
      <w:proofErr w:type="gramEnd"/>
      <w:r w:rsidR="004D392D">
        <w:t xml:space="preserve"> and others are failures and who in the community does the data represent and describe. </w:t>
      </w:r>
      <w:r w:rsidR="00727155">
        <w:t>While the data may suggest that its backers predominantly like and support theatre campaigns, it is unclear who these people are, their age, gender, location</w:t>
      </w:r>
      <w:r w:rsidR="00D91E4B">
        <w:t xml:space="preserve">, disposable </w:t>
      </w:r>
      <w:proofErr w:type="gramStart"/>
      <w:r w:rsidR="00D91E4B">
        <w:t>income</w:t>
      </w:r>
      <w:proofErr w:type="gramEnd"/>
      <w:r w:rsidR="00D91E4B">
        <w:t xml:space="preserve"> and appetite for risk</w:t>
      </w:r>
      <w:r w:rsidR="00727155">
        <w:t xml:space="preserve">, amongst other characteristics. </w:t>
      </w:r>
    </w:p>
    <w:p w14:paraId="7675D3E4" w14:textId="4D195BCF" w:rsidR="006D38D5" w:rsidRDefault="00D91E4B" w:rsidP="006D38D5">
      <w:pPr>
        <w:pStyle w:val="ListBullet"/>
        <w:numPr>
          <w:ilvl w:val="0"/>
          <w:numId w:val="16"/>
        </w:numPr>
      </w:pPr>
      <w:r>
        <w:t xml:space="preserve">Difficult to determine the riskiness of the campaigns based solely on the available data. Some </w:t>
      </w:r>
      <w:r w:rsidR="00727155">
        <w:t xml:space="preserve">categories </w:t>
      </w:r>
      <w:r>
        <w:t xml:space="preserve">may have more </w:t>
      </w:r>
      <w:r w:rsidR="00727155">
        <w:t xml:space="preserve">ambitious </w:t>
      </w:r>
      <w:r>
        <w:t xml:space="preserve">or </w:t>
      </w:r>
      <w:r w:rsidR="00727155">
        <w:t>risk</w:t>
      </w:r>
      <w:r>
        <w:t>ier campaigns</w:t>
      </w:r>
      <w:r w:rsidR="00727155">
        <w:t xml:space="preserve"> than others, and backers respond according to level of risk</w:t>
      </w:r>
      <w:r>
        <w:t>, thus people who may have an interest in several categories may not ultimately invest in every category of their interest. Some categories may have lower goals than other campaign categories, or more creators and campaigns, therefore comparing a smaller data set of campaigns with similar goals in different categories may reveal a different perspective.</w:t>
      </w:r>
    </w:p>
    <w:p w14:paraId="526772C5" w14:textId="1A32F8BC" w:rsidR="004D392D" w:rsidRDefault="004D392D" w:rsidP="006D38D5">
      <w:pPr>
        <w:pStyle w:val="ListBullet"/>
        <w:numPr>
          <w:ilvl w:val="0"/>
          <w:numId w:val="16"/>
        </w:numPr>
      </w:pPr>
      <w:r>
        <w:t xml:space="preserve">No indication of how many campaigns a single backer </w:t>
      </w:r>
      <w:r w:rsidR="002252BD">
        <w:t xml:space="preserve">has </w:t>
      </w:r>
      <w:r>
        <w:t xml:space="preserve">backed: </w:t>
      </w:r>
      <w:r w:rsidR="002252BD">
        <w:t xml:space="preserve">some categories may have inflated numbers due to repeat backers or a dedicated community supporting one another, while others may have none or </w:t>
      </w:r>
      <w:r w:rsidR="00D91E4B">
        <w:t xml:space="preserve">rely </w:t>
      </w:r>
      <w:r w:rsidR="002252BD">
        <w:t xml:space="preserve">entirely </w:t>
      </w:r>
      <w:r w:rsidR="00D91E4B">
        <w:t xml:space="preserve">on </w:t>
      </w:r>
      <w:r w:rsidR="002252BD">
        <w:t xml:space="preserve">individual, one-off backers. </w:t>
      </w:r>
    </w:p>
    <w:p w14:paraId="6A3642C2" w14:textId="6F08C968" w:rsidR="002252BD" w:rsidRDefault="004D392D" w:rsidP="002252BD">
      <w:pPr>
        <w:pStyle w:val="ListBullet"/>
        <w:numPr>
          <w:ilvl w:val="0"/>
          <w:numId w:val="16"/>
        </w:numPr>
      </w:pPr>
      <w:r>
        <w:lastRenderedPageBreak/>
        <w:t xml:space="preserve">Difficult </w:t>
      </w:r>
      <w:r w:rsidR="00D63D85">
        <w:t xml:space="preserve">to determine </w:t>
      </w:r>
      <w:r w:rsidR="002252BD">
        <w:t>the quality of the campaigns between categories</w:t>
      </w:r>
      <w:r w:rsidR="00D63D85">
        <w:t xml:space="preserve"> based only on the dataset</w:t>
      </w:r>
      <w:r w:rsidR="002252BD">
        <w:t>: some categories may have better production and marketing that drives the competition within the category</w:t>
      </w:r>
      <w:r w:rsidR="00276585">
        <w:t>, while other categories may enjoy a high success rate (or suffer a high failure rate) regardless of the quality of the pitch</w:t>
      </w:r>
      <w:r w:rsidR="00D63D85">
        <w:t>.</w:t>
      </w:r>
      <w:r w:rsidR="002252BD">
        <w:t xml:space="preserve"> </w:t>
      </w:r>
      <w:r w:rsidR="00276585">
        <w:t>The inability to determine quality makes it difficult to learn from the results and determine whether a high-quality campaign makes a difference, and even what the difference is, objectively, between a high-quality and low-quality campaign pitch.</w:t>
      </w:r>
    </w:p>
    <w:p w14:paraId="53DADACE" w14:textId="410387EE" w:rsidR="006D38D5" w:rsidRDefault="006D38D5" w:rsidP="00CC248A">
      <w:pPr>
        <w:pStyle w:val="ListBullet"/>
        <w:numPr>
          <w:ilvl w:val="0"/>
          <w:numId w:val="0"/>
        </w:numPr>
        <w:ind w:left="389" w:hanging="389"/>
        <w:rPr>
          <w:u w:val="single"/>
        </w:rPr>
      </w:pPr>
      <w:r w:rsidRPr="002252BD">
        <w:rPr>
          <w:u w:val="single"/>
        </w:rPr>
        <w:t>Other tables and/or graphs to represent the data</w:t>
      </w:r>
    </w:p>
    <w:p w14:paraId="3F8284A9" w14:textId="74A09306" w:rsidR="003F7311" w:rsidRDefault="004D554B" w:rsidP="003F7311">
      <w:pPr>
        <w:pStyle w:val="ListBullet"/>
        <w:numPr>
          <w:ilvl w:val="0"/>
          <w:numId w:val="17"/>
        </w:numPr>
      </w:pPr>
      <w:r w:rsidRPr="00CC248A">
        <w:t xml:space="preserve">A scatter graph could be used to </w:t>
      </w:r>
      <w:r w:rsidR="001A1C69">
        <w:t>plot</w:t>
      </w:r>
      <w:r w:rsidRPr="00CC248A">
        <w:t xml:space="preserve"> </w:t>
      </w:r>
      <w:r w:rsidR="00CC248A">
        <w:t xml:space="preserve">each </w:t>
      </w:r>
      <w:r w:rsidR="001A1C69">
        <w:t xml:space="preserve">campaign individually and compare it to the others. </w:t>
      </w:r>
      <w:r w:rsidR="00BE0719">
        <w:t>T</w:t>
      </w:r>
      <w:r w:rsidR="001A1C69">
        <w:t xml:space="preserve">he data could be filtered </w:t>
      </w:r>
      <w:r w:rsidR="00BE0719">
        <w:t>in numerous ways depending on the question, such as comparisons within categories, or comparisons between each category. This visuali</w:t>
      </w:r>
      <w:r w:rsidR="00C37F52">
        <w:t>s</w:t>
      </w:r>
      <w:r w:rsidR="00BE0719">
        <w:t>ation can help determine whether there are any positive or negative relationships between two variables and whether there are any trends and the nature of that trend (e.g. linear, exponential, logarithmic et cetera). It can also expose outliers, either where campaigns received no funding, or where the pledges exceeded the goals and by what magnitude.</w:t>
      </w:r>
    </w:p>
    <w:p w14:paraId="314F59D0" w14:textId="1442C297" w:rsidR="00BE0719" w:rsidRPr="00CC248A" w:rsidRDefault="00FA49A9" w:rsidP="003F7311">
      <w:pPr>
        <w:pStyle w:val="ListBullet"/>
        <w:numPr>
          <w:ilvl w:val="0"/>
          <w:numId w:val="17"/>
        </w:numPr>
      </w:pPr>
      <w:r>
        <w:t xml:space="preserve">Given the data includes geographic information </w:t>
      </w:r>
      <w:r w:rsidR="00C37F52">
        <w:t>regarding the campaign creator’s location</w:t>
      </w:r>
      <w:r>
        <w:t xml:space="preserve">, a map chart could be used to represent the data, such as illustrating the </w:t>
      </w:r>
      <w:r w:rsidR="00C37F52">
        <w:t xml:space="preserve">number of campaigns in locations throughout the world and their geographic spread. This would allow for visual analysis of active and inactive </w:t>
      </w:r>
      <w:proofErr w:type="gramStart"/>
      <w:r w:rsidR="00C37F52">
        <w:t>locations, and</w:t>
      </w:r>
      <w:proofErr w:type="gramEnd"/>
      <w:r w:rsidR="00C37F52">
        <w:t xml:space="preserve"> could be filtered by category to show whether any location has a greater propensity of launching one type of campaign over another, among other possible analyses.</w:t>
      </w:r>
    </w:p>
    <w:p w14:paraId="26D2A631" w14:textId="2BB83731" w:rsidR="006D435B" w:rsidRDefault="006D38D5" w:rsidP="00CE2733">
      <w:pPr>
        <w:pStyle w:val="Heading2"/>
      </w:pPr>
      <w:r>
        <w:t>Bonus</w:t>
      </w:r>
    </w:p>
    <w:tbl>
      <w:tblPr>
        <w:tblStyle w:val="GridTable2-Accent2"/>
        <w:tblW w:w="6766" w:type="dxa"/>
        <w:jc w:val="center"/>
        <w:tblLook w:val="04A0" w:firstRow="1" w:lastRow="0" w:firstColumn="1" w:lastColumn="0" w:noHBand="0" w:noVBand="1"/>
      </w:tblPr>
      <w:tblGrid>
        <w:gridCol w:w="1820"/>
        <w:gridCol w:w="1053"/>
        <w:gridCol w:w="1020"/>
        <w:gridCol w:w="1820"/>
        <w:gridCol w:w="1053"/>
      </w:tblGrid>
      <w:tr w:rsidR="00887B0C" w:rsidRPr="00887B0C" w14:paraId="4E939D01" w14:textId="77777777" w:rsidTr="00887B0C">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8D79E0A" w14:textId="77777777" w:rsidR="00887B0C" w:rsidRPr="00887B0C" w:rsidRDefault="00887B0C" w:rsidP="00887B0C">
            <w:pPr>
              <w:spacing w:before="0" w:after="0"/>
              <w:jc w:val="center"/>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successful</w:t>
            </w:r>
          </w:p>
        </w:tc>
        <w:tc>
          <w:tcPr>
            <w:tcW w:w="1053" w:type="dxa"/>
            <w:noWrap/>
            <w:hideMark/>
          </w:tcPr>
          <w:p w14:paraId="62D6C577" w14:textId="77777777" w:rsidR="00887B0C" w:rsidRPr="00887B0C" w:rsidRDefault="00887B0C" w:rsidP="00887B0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p>
        </w:tc>
        <w:tc>
          <w:tcPr>
            <w:tcW w:w="1020" w:type="dxa"/>
            <w:noWrap/>
            <w:hideMark/>
          </w:tcPr>
          <w:p w14:paraId="64624C48" w14:textId="77777777" w:rsidR="00887B0C" w:rsidRPr="00887B0C" w:rsidRDefault="00887B0C" w:rsidP="00887B0C">
            <w:pPr>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eastAsia="en-AU"/>
              </w:rPr>
            </w:pPr>
          </w:p>
        </w:tc>
        <w:tc>
          <w:tcPr>
            <w:tcW w:w="1820" w:type="dxa"/>
            <w:noWrap/>
            <w:hideMark/>
          </w:tcPr>
          <w:p w14:paraId="2A154F22" w14:textId="77777777" w:rsidR="00887B0C" w:rsidRPr="00887B0C" w:rsidRDefault="00887B0C" w:rsidP="00887B0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failed</w:t>
            </w:r>
          </w:p>
        </w:tc>
        <w:tc>
          <w:tcPr>
            <w:tcW w:w="1053" w:type="dxa"/>
            <w:noWrap/>
            <w:hideMark/>
          </w:tcPr>
          <w:p w14:paraId="0E899130" w14:textId="77777777" w:rsidR="00887B0C" w:rsidRPr="00887B0C" w:rsidRDefault="00887B0C" w:rsidP="00887B0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p>
        </w:tc>
      </w:tr>
      <w:tr w:rsidR="00887B0C" w:rsidRPr="00887B0C" w14:paraId="2D5B7EF5" w14:textId="77777777" w:rsidTr="00887B0C">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FFAFC8B" w14:textId="77777777" w:rsidR="00887B0C" w:rsidRPr="00887B0C" w:rsidRDefault="00887B0C" w:rsidP="00887B0C">
            <w:pPr>
              <w:spacing w:before="0" w:after="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mean</w:t>
            </w:r>
          </w:p>
        </w:tc>
        <w:tc>
          <w:tcPr>
            <w:tcW w:w="1053" w:type="dxa"/>
            <w:noWrap/>
            <w:hideMark/>
          </w:tcPr>
          <w:p w14:paraId="2AB7176C"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194.4252</w:t>
            </w:r>
          </w:p>
        </w:tc>
        <w:tc>
          <w:tcPr>
            <w:tcW w:w="1020" w:type="dxa"/>
            <w:noWrap/>
            <w:hideMark/>
          </w:tcPr>
          <w:p w14:paraId="4D0A432E"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p>
        </w:tc>
        <w:tc>
          <w:tcPr>
            <w:tcW w:w="1820" w:type="dxa"/>
            <w:noWrap/>
            <w:hideMark/>
          </w:tcPr>
          <w:p w14:paraId="1DC0175A" w14:textId="77777777" w:rsidR="00887B0C" w:rsidRPr="00887B0C" w:rsidRDefault="00887B0C" w:rsidP="00887B0C">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mean</w:t>
            </w:r>
          </w:p>
        </w:tc>
        <w:tc>
          <w:tcPr>
            <w:tcW w:w="1053" w:type="dxa"/>
            <w:noWrap/>
            <w:hideMark/>
          </w:tcPr>
          <w:p w14:paraId="6D4C90CA"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17.7098</w:t>
            </w:r>
          </w:p>
        </w:tc>
      </w:tr>
      <w:tr w:rsidR="00887B0C" w:rsidRPr="00887B0C" w14:paraId="5B9A9073" w14:textId="77777777" w:rsidTr="00887B0C">
        <w:trPr>
          <w:trHeight w:val="292"/>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A22544C" w14:textId="77777777" w:rsidR="00887B0C" w:rsidRPr="00887B0C" w:rsidRDefault="00887B0C" w:rsidP="00887B0C">
            <w:pPr>
              <w:spacing w:before="0" w:after="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median</w:t>
            </w:r>
          </w:p>
        </w:tc>
        <w:tc>
          <w:tcPr>
            <w:tcW w:w="1053" w:type="dxa"/>
            <w:noWrap/>
            <w:hideMark/>
          </w:tcPr>
          <w:p w14:paraId="0208B28B"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62</w:t>
            </w:r>
          </w:p>
        </w:tc>
        <w:tc>
          <w:tcPr>
            <w:tcW w:w="1020" w:type="dxa"/>
            <w:noWrap/>
            <w:hideMark/>
          </w:tcPr>
          <w:p w14:paraId="22B62430"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p>
        </w:tc>
        <w:tc>
          <w:tcPr>
            <w:tcW w:w="1820" w:type="dxa"/>
            <w:noWrap/>
            <w:hideMark/>
          </w:tcPr>
          <w:p w14:paraId="409706ED" w14:textId="77777777" w:rsidR="00887B0C" w:rsidRPr="00887B0C" w:rsidRDefault="00887B0C" w:rsidP="00887B0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median</w:t>
            </w:r>
          </w:p>
        </w:tc>
        <w:tc>
          <w:tcPr>
            <w:tcW w:w="1053" w:type="dxa"/>
            <w:noWrap/>
            <w:hideMark/>
          </w:tcPr>
          <w:p w14:paraId="7CF1997F"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4</w:t>
            </w:r>
          </w:p>
        </w:tc>
      </w:tr>
      <w:tr w:rsidR="00887B0C" w:rsidRPr="00887B0C" w14:paraId="666B3E14" w14:textId="77777777" w:rsidTr="00887B0C">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3A47A98" w14:textId="77777777" w:rsidR="00887B0C" w:rsidRPr="00887B0C" w:rsidRDefault="00887B0C" w:rsidP="00887B0C">
            <w:pPr>
              <w:spacing w:before="0" w:after="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minimum</w:t>
            </w:r>
          </w:p>
        </w:tc>
        <w:tc>
          <w:tcPr>
            <w:tcW w:w="1053" w:type="dxa"/>
            <w:noWrap/>
            <w:hideMark/>
          </w:tcPr>
          <w:p w14:paraId="68000BDB"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1</w:t>
            </w:r>
          </w:p>
        </w:tc>
        <w:tc>
          <w:tcPr>
            <w:tcW w:w="1020" w:type="dxa"/>
            <w:noWrap/>
            <w:hideMark/>
          </w:tcPr>
          <w:p w14:paraId="64D3CD50"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p>
        </w:tc>
        <w:tc>
          <w:tcPr>
            <w:tcW w:w="1820" w:type="dxa"/>
            <w:noWrap/>
            <w:hideMark/>
          </w:tcPr>
          <w:p w14:paraId="2C786076" w14:textId="77777777" w:rsidR="00887B0C" w:rsidRPr="00887B0C" w:rsidRDefault="00887B0C" w:rsidP="00887B0C">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minimum</w:t>
            </w:r>
          </w:p>
        </w:tc>
        <w:tc>
          <w:tcPr>
            <w:tcW w:w="1053" w:type="dxa"/>
            <w:noWrap/>
            <w:hideMark/>
          </w:tcPr>
          <w:p w14:paraId="21196603"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0</w:t>
            </w:r>
          </w:p>
        </w:tc>
      </w:tr>
      <w:tr w:rsidR="00887B0C" w:rsidRPr="00887B0C" w14:paraId="31A14E06" w14:textId="77777777" w:rsidTr="00887B0C">
        <w:trPr>
          <w:trHeight w:val="292"/>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B397FED" w14:textId="77777777" w:rsidR="00887B0C" w:rsidRPr="00887B0C" w:rsidRDefault="00887B0C" w:rsidP="00887B0C">
            <w:pPr>
              <w:spacing w:before="0" w:after="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maximum</w:t>
            </w:r>
          </w:p>
        </w:tc>
        <w:tc>
          <w:tcPr>
            <w:tcW w:w="1053" w:type="dxa"/>
            <w:noWrap/>
            <w:hideMark/>
          </w:tcPr>
          <w:p w14:paraId="27ED67D6"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26457</w:t>
            </w:r>
          </w:p>
        </w:tc>
        <w:tc>
          <w:tcPr>
            <w:tcW w:w="1020" w:type="dxa"/>
            <w:noWrap/>
            <w:hideMark/>
          </w:tcPr>
          <w:p w14:paraId="59B5542F"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p>
        </w:tc>
        <w:tc>
          <w:tcPr>
            <w:tcW w:w="1820" w:type="dxa"/>
            <w:noWrap/>
            <w:hideMark/>
          </w:tcPr>
          <w:p w14:paraId="1C6B67F1" w14:textId="77777777" w:rsidR="00887B0C" w:rsidRPr="00887B0C" w:rsidRDefault="00887B0C" w:rsidP="00887B0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maximum</w:t>
            </w:r>
          </w:p>
        </w:tc>
        <w:tc>
          <w:tcPr>
            <w:tcW w:w="1053" w:type="dxa"/>
            <w:noWrap/>
            <w:hideMark/>
          </w:tcPr>
          <w:p w14:paraId="5F7F4C5C"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1293</w:t>
            </w:r>
          </w:p>
        </w:tc>
      </w:tr>
      <w:tr w:rsidR="00887B0C" w:rsidRPr="00887B0C" w14:paraId="00BF844C" w14:textId="77777777" w:rsidTr="00887B0C">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43B058A" w14:textId="77777777" w:rsidR="00887B0C" w:rsidRPr="00887B0C" w:rsidRDefault="00887B0C" w:rsidP="00887B0C">
            <w:pPr>
              <w:spacing w:before="0" w:after="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variance</w:t>
            </w:r>
          </w:p>
        </w:tc>
        <w:tc>
          <w:tcPr>
            <w:tcW w:w="1053" w:type="dxa"/>
            <w:noWrap/>
            <w:hideMark/>
          </w:tcPr>
          <w:p w14:paraId="37502BF1"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713167.4</w:t>
            </w:r>
          </w:p>
        </w:tc>
        <w:tc>
          <w:tcPr>
            <w:tcW w:w="1020" w:type="dxa"/>
            <w:noWrap/>
            <w:hideMark/>
          </w:tcPr>
          <w:p w14:paraId="19B287DB"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p>
        </w:tc>
        <w:tc>
          <w:tcPr>
            <w:tcW w:w="1820" w:type="dxa"/>
            <w:noWrap/>
            <w:hideMark/>
          </w:tcPr>
          <w:p w14:paraId="7112A516" w14:textId="77777777" w:rsidR="00887B0C" w:rsidRPr="00887B0C" w:rsidRDefault="00887B0C" w:rsidP="00887B0C">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variance</w:t>
            </w:r>
          </w:p>
        </w:tc>
        <w:tc>
          <w:tcPr>
            <w:tcW w:w="1053" w:type="dxa"/>
            <w:noWrap/>
            <w:hideMark/>
          </w:tcPr>
          <w:p w14:paraId="73543699" w14:textId="77777777" w:rsidR="00887B0C" w:rsidRPr="00887B0C" w:rsidRDefault="00887B0C" w:rsidP="00887B0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3775.689</w:t>
            </w:r>
          </w:p>
        </w:tc>
      </w:tr>
      <w:tr w:rsidR="00887B0C" w:rsidRPr="00887B0C" w14:paraId="34FBF54A" w14:textId="77777777" w:rsidTr="00887B0C">
        <w:trPr>
          <w:trHeight w:val="292"/>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E42FCB3" w14:textId="77777777" w:rsidR="00887B0C" w:rsidRPr="00887B0C" w:rsidRDefault="00887B0C" w:rsidP="00887B0C">
            <w:pPr>
              <w:spacing w:before="0" w:after="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standard deviation</w:t>
            </w:r>
          </w:p>
        </w:tc>
        <w:tc>
          <w:tcPr>
            <w:tcW w:w="1053" w:type="dxa"/>
            <w:noWrap/>
            <w:hideMark/>
          </w:tcPr>
          <w:p w14:paraId="7AE5357E"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844.2991</w:t>
            </w:r>
          </w:p>
        </w:tc>
        <w:tc>
          <w:tcPr>
            <w:tcW w:w="1020" w:type="dxa"/>
            <w:noWrap/>
            <w:hideMark/>
          </w:tcPr>
          <w:p w14:paraId="46421F9B"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p>
        </w:tc>
        <w:tc>
          <w:tcPr>
            <w:tcW w:w="1820" w:type="dxa"/>
            <w:noWrap/>
            <w:hideMark/>
          </w:tcPr>
          <w:p w14:paraId="71C34875" w14:textId="77777777" w:rsidR="00887B0C" w:rsidRPr="00887B0C" w:rsidRDefault="00887B0C" w:rsidP="00887B0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standard deviation</w:t>
            </w:r>
          </w:p>
        </w:tc>
        <w:tc>
          <w:tcPr>
            <w:tcW w:w="1053" w:type="dxa"/>
            <w:noWrap/>
            <w:hideMark/>
          </w:tcPr>
          <w:p w14:paraId="6BBFB7D2" w14:textId="77777777" w:rsidR="00887B0C" w:rsidRPr="00887B0C" w:rsidRDefault="00887B0C" w:rsidP="00887B0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AU"/>
              </w:rPr>
            </w:pPr>
            <w:r w:rsidRPr="00887B0C">
              <w:rPr>
                <w:rFonts w:ascii="Calibri" w:eastAsia="Times New Roman" w:hAnsi="Calibri" w:cs="Calibri"/>
                <w:color w:val="000000"/>
                <w:szCs w:val="22"/>
                <w:lang w:eastAsia="en-AU"/>
              </w:rPr>
              <w:t>61.42656</w:t>
            </w:r>
          </w:p>
        </w:tc>
      </w:tr>
    </w:tbl>
    <w:p w14:paraId="6FAE1E6C" w14:textId="7C4D682D" w:rsidR="00CC3A7F" w:rsidRDefault="00887B0C" w:rsidP="00CE2733">
      <w:r>
        <w:lastRenderedPageBreak/>
        <w:t xml:space="preserve">Based on the above table, </w:t>
      </w:r>
      <w:r w:rsidR="0065161F">
        <w:t>I think the median summarises the data more meaningfully in both successful and failed cases.</w:t>
      </w:r>
      <w:r w:rsidR="009E47D7">
        <w:t xml:space="preserve"> In both cases, but particularly for successful campaigns, the high maximum skews the mean to be far beyond what the median is, resulting in less than half of all successful and failed campaigns being equal or close to the mean. </w:t>
      </w:r>
    </w:p>
    <w:p w14:paraId="40A28ABF" w14:textId="7D91B447" w:rsidR="009E47D7" w:rsidRDefault="009E47D7" w:rsidP="00CE2733">
      <w:r>
        <w:t xml:space="preserve">Also, the variance and standard deviation being </w:t>
      </w:r>
      <w:proofErr w:type="gramStart"/>
      <w:r>
        <w:t>very high</w:t>
      </w:r>
      <w:proofErr w:type="gramEnd"/>
      <w:r>
        <w:t xml:space="preserve"> in successful campaigns, and higher than the variance and standard deviation in failed campaigns, makes sense for a number of reasons. The substantial difference between the mean and the median in the successful campaigns, and high maximum, indicates that the variance is likely to be high. Since variance is a measure of how far values in the dataset are from the mean and that more than half the numbers are significantly lower than the mean (62 median compared to ~194 mean), it makes sense for the </w:t>
      </w:r>
      <w:r w:rsidR="002F4CE4">
        <w:t xml:space="preserve">variance to be a high value. Contextually, this shows that successful campaigns can have a wide-ranging number of backers, from </w:t>
      </w:r>
      <w:r w:rsidR="00B87DB1">
        <w:t>one</w:t>
      </w:r>
      <w:r w:rsidR="002F4CE4">
        <w:t xml:space="preserve"> to tens of thousands, depending on various factors such as the popularity of the campaign and the goal amount. Also, given that there is no upper limit to the success of a campaign</w:t>
      </w:r>
      <w:r w:rsidR="00B87DB1">
        <w:t xml:space="preserve"> (i.e., a campaign can be funded +200% its goal)</w:t>
      </w:r>
      <w:r w:rsidR="002F4CE4">
        <w:t xml:space="preserve">, but there is inherently an upper limit for a campaign to fail (that is, it must be less than </w:t>
      </w:r>
      <w:r w:rsidR="00B87DB1">
        <w:t xml:space="preserve">100% of </w:t>
      </w:r>
      <w:r w:rsidR="002F4CE4">
        <w:t>the campaign’s goal</w:t>
      </w:r>
      <w:r w:rsidR="00B87DB1">
        <w:t>, otherwise it would be a successful campaign</w:t>
      </w:r>
      <w:r w:rsidR="002F4CE4">
        <w:t>), it supports the evidence in the data that successful campaigns can have larger numbers of backers than failed campaigns overall, particularly the extremely successful campaigns</w:t>
      </w:r>
      <w:r w:rsidR="00B87DB1">
        <w:t>. Having no upper limit allows for successful campaigns to have ever-increasing variance and standard deviations, while failed campaigns are a sign of insufficient support, meaning the variance and standard deviation will always be smaller than successful campaigns.</w:t>
      </w:r>
    </w:p>
    <w:sectPr w:rsidR="009E47D7">
      <w:footerReference w:type="default" r:id="rId11"/>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A8E8D" w14:textId="77777777" w:rsidR="0003402A" w:rsidRDefault="0003402A" w:rsidP="00CE2733">
      <w:r>
        <w:separator/>
      </w:r>
    </w:p>
  </w:endnote>
  <w:endnote w:type="continuationSeparator" w:id="0">
    <w:p w14:paraId="6A211845" w14:textId="77777777" w:rsidR="0003402A" w:rsidRDefault="0003402A" w:rsidP="00CE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Content>
      <w:p w14:paraId="0CBD35F2" w14:textId="77777777" w:rsidR="0065161F" w:rsidRDefault="0065161F" w:rsidP="00CE2733">
        <w:pPr>
          <w:pStyle w:val="Footer"/>
        </w:pPr>
        <w:r w:rsidRPr="00B87DB1">
          <w:rPr>
            <w:sz w:val="28"/>
            <w:szCs w:val="28"/>
          </w:rPr>
          <w:fldChar w:fldCharType="begin"/>
        </w:r>
        <w:r w:rsidRPr="00B87DB1">
          <w:rPr>
            <w:sz w:val="28"/>
            <w:szCs w:val="28"/>
          </w:rPr>
          <w:instrText xml:space="preserve"> PAGE   \* MERGEFORMAT </w:instrText>
        </w:r>
        <w:r w:rsidRPr="00B87DB1">
          <w:rPr>
            <w:sz w:val="28"/>
            <w:szCs w:val="28"/>
          </w:rPr>
          <w:fldChar w:fldCharType="separate"/>
        </w:r>
        <w:r w:rsidRPr="00B87DB1">
          <w:rPr>
            <w:noProof/>
            <w:sz w:val="28"/>
            <w:szCs w:val="28"/>
          </w:rPr>
          <w:t>2</w:t>
        </w:r>
        <w:r w:rsidRPr="00B87DB1">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82608" w14:textId="77777777" w:rsidR="0003402A" w:rsidRDefault="0003402A" w:rsidP="00CE2733">
      <w:r>
        <w:separator/>
      </w:r>
    </w:p>
  </w:footnote>
  <w:footnote w:type="continuationSeparator" w:id="0">
    <w:p w14:paraId="76277FD3" w14:textId="77777777" w:rsidR="0003402A" w:rsidRDefault="0003402A" w:rsidP="00CE2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6D42FF12"/>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85786"/>
    <w:multiLevelType w:val="hybridMultilevel"/>
    <w:tmpl w:val="EF9E3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4E6415"/>
    <w:multiLevelType w:val="hybridMultilevel"/>
    <w:tmpl w:val="76423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11"/>
  </w:num>
  <w:num w:numId="4">
    <w:abstractNumId w:val="4"/>
  </w:num>
  <w:num w:numId="5">
    <w:abstractNumId w:val="14"/>
  </w:num>
  <w:num w:numId="6">
    <w:abstractNumId w:val="13"/>
  </w:num>
  <w:num w:numId="7">
    <w:abstractNumId w:val="8"/>
  </w:num>
  <w:num w:numId="8">
    <w:abstractNumId w:val="15"/>
  </w:num>
  <w:num w:numId="9">
    <w:abstractNumId w:val="7"/>
  </w:num>
  <w:num w:numId="10">
    <w:abstractNumId w:val="12"/>
  </w:num>
  <w:num w:numId="11">
    <w:abstractNumId w:val="6"/>
  </w:num>
  <w:num w:numId="12">
    <w:abstractNumId w:val="3"/>
  </w:num>
  <w:num w:numId="13">
    <w:abstractNumId w:val="2"/>
  </w:num>
  <w:num w:numId="14">
    <w:abstractNumId w:val="1"/>
  </w:num>
  <w:num w:numId="15">
    <w:abstractNumId w:val="0"/>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4A"/>
    <w:rsid w:val="0003402A"/>
    <w:rsid w:val="00043B74"/>
    <w:rsid w:val="000B4B27"/>
    <w:rsid w:val="001A1C69"/>
    <w:rsid w:val="00203376"/>
    <w:rsid w:val="002252BD"/>
    <w:rsid w:val="00276585"/>
    <w:rsid w:val="0029097C"/>
    <w:rsid w:val="002B1947"/>
    <w:rsid w:val="002F4CE4"/>
    <w:rsid w:val="003F7311"/>
    <w:rsid w:val="00401F64"/>
    <w:rsid w:val="0040452B"/>
    <w:rsid w:val="00434192"/>
    <w:rsid w:val="004D392D"/>
    <w:rsid w:val="004D554B"/>
    <w:rsid w:val="0053039C"/>
    <w:rsid w:val="00581285"/>
    <w:rsid w:val="005E7CEF"/>
    <w:rsid w:val="0065161F"/>
    <w:rsid w:val="00666F9E"/>
    <w:rsid w:val="006D38D5"/>
    <w:rsid w:val="006D435B"/>
    <w:rsid w:val="00727155"/>
    <w:rsid w:val="00887B0C"/>
    <w:rsid w:val="008E1F75"/>
    <w:rsid w:val="009E47D7"/>
    <w:rsid w:val="00A33772"/>
    <w:rsid w:val="00AC622D"/>
    <w:rsid w:val="00B849EE"/>
    <w:rsid w:val="00B87DB1"/>
    <w:rsid w:val="00BE0719"/>
    <w:rsid w:val="00C37F52"/>
    <w:rsid w:val="00CC248A"/>
    <w:rsid w:val="00CC3A7F"/>
    <w:rsid w:val="00CD749A"/>
    <w:rsid w:val="00CE2733"/>
    <w:rsid w:val="00D54F24"/>
    <w:rsid w:val="00D63D85"/>
    <w:rsid w:val="00D91E4B"/>
    <w:rsid w:val="00DD0931"/>
    <w:rsid w:val="00E22651"/>
    <w:rsid w:val="00E2268F"/>
    <w:rsid w:val="00E94449"/>
    <w:rsid w:val="00EF7C4A"/>
    <w:rsid w:val="00F47F1C"/>
    <w:rsid w:val="00FA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EA46"/>
  <w15:chartTrackingRefBased/>
  <w15:docId w15:val="{630C93D0-80B6-43F1-A132-4D3B7FC0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05046"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33"/>
    <w:pPr>
      <w:spacing w:before="360" w:after="360"/>
    </w:pPr>
    <w:rPr>
      <w:rFonts w:eastAsiaTheme="minorEastAsia"/>
      <w:color w:val="626256" w:themeColor="text2" w:themeTint="E6"/>
      <w:szCs w:val="18"/>
      <w:lang w:val="en-AU"/>
    </w:r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505046" w:themeColor="text2"/>
      </w:pBdr>
      <w:spacing w:after="320" w:line="240" w:lineRule="auto"/>
      <w:contextualSpacing/>
      <w:outlineLvl w:val="1"/>
    </w:pPr>
    <w:rPr>
      <w:rFonts w:asciiTheme="majorHAnsi" w:eastAsiaTheme="majorEastAsia" w:hAnsiTheme="majorHAnsi" w:cstheme="majorBidi"/>
      <w:b/>
      <w:color w:val="78230C" w:themeColor="accent1" w:themeShade="80"/>
      <w:sz w:val="38"/>
      <w:szCs w:val="26"/>
    </w:rPr>
  </w:style>
  <w:style w:type="paragraph" w:styleId="Heading3">
    <w:name w:val="heading 3"/>
    <w:basedOn w:val="Normal"/>
    <w:next w:val="Normal"/>
    <w:link w:val="Heading3Char"/>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808070"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505046" w:themeColor="text2"/>
      </w:pBdr>
      <w:spacing w:after="320" w:line="240" w:lineRule="auto"/>
      <w:contextualSpacing/>
      <w:outlineLvl w:val="5"/>
    </w:pPr>
    <w:rPr>
      <w:rFonts w:asciiTheme="majorHAnsi" w:eastAsiaTheme="majorEastAsia" w:hAnsiTheme="majorHAnsi" w:cstheme="majorBidi"/>
      <w:b/>
      <w:color w:val="78230C"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808070"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8230C"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505046"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8230C" w:themeColor="accent1" w:themeShade="80"/>
        <w:sz w:val="28"/>
      </w:rPr>
      <w:tblPr/>
      <w:trPr>
        <w:tblHeader/>
      </w:trPr>
      <w:tcPr>
        <w:tcBorders>
          <w:top w:val="nil"/>
          <w:left w:val="nil"/>
          <w:bottom w:val="single" w:sz="24" w:space="0" w:color="505046"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semiHidden/>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808070"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8230C"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808070" w:themeColor="text2" w:themeTint="BF"/>
      <w:sz w:val="32"/>
      <w:szCs w:val="21"/>
    </w:rPr>
  </w:style>
  <w:style w:type="character" w:styleId="Emphasis">
    <w:name w:val="Emphasis"/>
    <w:basedOn w:val="DefaultParagraphFont"/>
    <w:uiPriority w:val="20"/>
    <w:semiHidden/>
    <w:unhideWhenUsed/>
    <w:qFormat/>
    <w:rsid w:val="00D54F24"/>
    <w:rPr>
      <w:i w:val="0"/>
      <w:iCs/>
      <w:color w:val="78230C" w:themeColor="accent1" w:themeShade="80"/>
    </w:rPr>
  </w:style>
  <w:style w:type="character" w:styleId="IntenseEmphasis">
    <w:name w:val="Intense Emphasis"/>
    <w:basedOn w:val="DefaultParagraphFont"/>
    <w:uiPriority w:val="21"/>
    <w:semiHidden/>
    <w:unhideWhenUsed/>
    <w:qFormat/>
    <w:rsid w:val="00D54F24"/>
    <w:rPr>
      <w:b/>
      <w:i/>
      <w:iCs/>
      <w:color w:val="78230C"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505046" w:themeColor="text2"/>
    </w:rPr>
  </w:style>
  <w:style w:type="character" w:styleId="IntenseReference">
    <w:name w:val="Intense Reference"/>
    <w:basedOn w:val="DefaultParagraphFont"/>
    <w:uiPriority w:val="32"/>
    <w:semiHidden/>
    <w:unhideWhenUsed/>
    <w:qFormat/>
    <w:rPr>
      <w:b/>
      <w:bCs/>
      <w:caps/>
      <w:smallCaps w:val="0"/>
      <w:color w:val="505046"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b/>
      <w:color w:val="78230C"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8230C"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505046" w:themeColor="text2"/>
    </w:rPr>
  </w:style>
  <w:style w:type="paragraph" w:styleId="Quote">
    <w:name w:val="Quote"/>
    <w:basedOn w:val="Normal"/>
    <w:next w:val="Normal"/>
    <w:link w:val="QuoteChar"/>
    <w:uiPriority w:val="3"/>
    <w:unhideWhenUsed/>
    <w:qFormat/>
    <w:pPr>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rPr>
      <w:iCs/>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5B2413" w:themeColor="accent3" w:themeShade="80"/>
      <w:u w:val="single"/>
    </w:rPr>
  </w:style>
  <w:style w:type="table" w:styleId="GridTable2-Accent1">
    <w:name w:val="Grid Table 2 Accent 1"/>
    <w:basedOn w:val="TableNormal"/>
    <w:uiPriority w:val="47"/>
    <w:rsid w:val="00887B0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887B0C"/>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470366638">
      <w:bodyDiv w:val="1"/>
      <w:marLeft w:val="0"/>
      <w:marRight w:val="0"/>
      <w:marTop w:val="0"/>
      <w:marBottom w:val="0"/>
      <w:divBdr>
        <w:top w:val="none" w:sz="0" w:space="0" w:color="auto"/>
        <w:left w:val="none" w:sz="0" w:space="0" w:color="auto"/>
        <w:bottom w:val="none" w:sz="0" w:space="0" w:color="auto"/>
        <w:right w:val="none" w:sz="0" w:space="0" w:color="auto"/>
      </w:divBdr>
    </w:div>
    <w:div w:id="69385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anR_01\AppData\Roaming\Microsoft\Templates\Modern%20pap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90BAC-891A-4F2C-AF88-4832AD50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Template>
  <TotalTime>504</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WelanR_01</dc:creator>
  <cp:keywords/>
  <dc:description/>
  <cp:lastModifiedBy>Welan Chu</cp:lastModifiedBy>
  <cp:revision>7</cp:revision>
  <dcterms:created xsi:type="dcterms:W3CDTF">2020-11-21T11:15:00Z</dcterms:created>
  <dcterms:modified xsi:type="dcterms:W3CDTF">2020-11-22T12:09:00Z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