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70C18"/>
          <w:sz w:val="64"/>
          <w:szCs w:val="64"/>
        </w:rPr>
        <w:t xml:space="preserve">WELDFORGE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99CC"/>
          <w:sz w:val="32"/>
          <w:szCs w:val="32"/>
        </w:rPr>
        <w:t xml:space="preserve">Federated Identity Platform</w:t>
      </w:r>
    </w:p>
    <w:p>
      <w:pPr>
        <w:pBdr>
          <w:bottom w:val="single" w:color="C07010" w:sz="6"/>
        </w:pBdr>
        <w:spacing w:after="48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70C18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99CC"/>
          <w:sz w:val="24"/>
          <w:szCs w:val="24"/>
        </w:rPr>
        <w:t xml:space="preserve">Feature List &amp; Functional Specifications</w:t>
      </w:r>
    </w:p>
    <w:p>
      <w:pPr>
        <w:spacing w:after="0" w:before="480"/>
      </w:pPr>
      <w:r>
        <w:t xml:space="preserve"/>
      </w:r>
    </w:p>
    <w:tbl>
      <w:tblPr>
        <w:tblW w:type="dxa" w:w="43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10"/>
                <w:sz w:val="20"/>
                <w:szCs w:val="20"/>
              </w:rPr>
              <w:t xml:space="preserve">For Review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is a comprehensive federated identity platform designed to consolidate and harden identity management across modern application ecosystems. It unifies single sign-on, multi-protocol authentication, X.509 certificate lifecycle management, social authentication, and CRM identity provisioning into a single, impenetrable identity layer.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platform is named for the metallurgical principle of welding: taking disparate materials — OAuth 2.0 tokens, SAML assertions, OpenID Connect flows, X.509 certificates, and social credentials — and permanently fusing them into an identity fabric that is stronger at the join than at any individual point.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defines the complete feature set, functional requirements, non-functional requirements, and integration specifications that WeldForge must deliver to meet its product objectives.</w:t>
      </w:r>
    </w:p>
    <w:p>
      <w:pPr>
        <w:pBdr>
          <w:bottom w:val="single" w:color="D0D8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2.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2.1 Vision Statement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become the definitive identity federation platform for organisations that require unified, protocol-agnostic authentication, enterprise-grade certificate management, and seamless identity data provisioning across their full application landscape.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Enterprise IT and Security teams managing multi-protocol identity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Developers building applications requiring SSO, OAuth2, or federated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DevOps and platform engineers responsible for certificate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CRM administrators requiring clean, authoritative user identity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integrators connecting legacy LDAP/AD systems to modern cloud applications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2.3 Core Value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Protocol unification — one platform for OAuth2, SAML, OpenID Connect, X.509, tokens, and social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Federation-first architecture — multiple identity providers welded into a single trusted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Zero-trust security model — every token verified at the point of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Developer-grade API — full REST and SDK access for all platform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CRM-ready identity data — structured user attributes provisioned downstream on every auth event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2.4 MoSCoW Priority Legend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7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Non-negotiable. Platform cannot launch without this capability.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value. Should be included in v1 unless time-constrained.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Desirable enhancement. Deferred to post-v1 roadmap if necessary.</w:t>
            </w:r>
          </w:p>
        </w:tc>
      </w:tr>
    </w:tbl>
    <w:p>
      <w:pPr>
        <w:pBdr>
          <w:bottom w:val="single" w:color="D0D8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3. Feature Modules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3.1 Single Sign-On (SSO)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serve as the central SSO gateway for all connected applications. A user authenticated once through WeldForge must receive seamless access to every registered service provider within their session lifetime without re-authentication.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Centralised authentication gateway for all connected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 management with configurable lifetime, idle timeout, and absolute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Silent re-authentication via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Multi-tenant SSO domains — each tenant operates an isolated SSO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Per-application SSO bypass policy for elevated-privilege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hint support for pre-populating the identity provider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SSO event webhooks — login, logout, session expiry, forced termination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SAML 2.0 SP-initiated and IdP-initiated SSO flows.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profiles required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OpenID Connect code flow with PKCE for all web and mobile clients.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sessions shall be configurable per tenant with minimum 1 minute and maximum 30 days session lifetime.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single logout (SLO) propagation to all active service providers.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SAML SLO + OIDC RP-initiated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MFA step-up authentication when a session accesses a high-assurance application.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emit a structured audit event for every SSO login, logout, and session expiry.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home realm discovery (HRD) by email domain to route users to their IdP.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custom per-tenant login page branding (logo, colours, CSS).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SSO-09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device-remembered sessions with a trusted device registry per user.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Post-v1 roadmap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3.2 Identity Federation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federate identities from multiple upstream identity providers into a single, normalised identity record. Users from LDAP directories, SAML IdPs, social providers, and local accounts must be deduplicated and merged into one canonical profile.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3.2.1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Multi-IdP federation with configurable trust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Identity linking — associate multiple provider accounts to one WeldForge user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Attribute mapping engine — transform IdP claims to WeldForge canonical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 deduplication via email, phone, or custom matching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migration flows — bulk import with dry-run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Federation error handling — fallback IdP chains for provider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JIT (Just-in-Time) user provisioning on first authenticated login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3.2.2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simultaneous federation from at minimum 10 concurrent upstream identity providers per tenant.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resolve identity conflicts by configurable matching rules: exact email, normalised email, phone, or external ID.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provision a new user record automatically on first successful federation (JIT provisioning).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attribute mapping engine shall support JSONPath-based claim transformation with conditional logic.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multiple identity accounts per user with a configurable primary identity designation.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bulk user import via CSV and SCIM 2.0 with a dry-run validation mode.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an identity graph API returning all linked accounts for a given user.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FED-08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fallback IdP chains — if primary IdP is unavailable, route to configured secondary.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3.3 OAuth 2.0 &amp; Token Authentication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implement OAuth 2.0 as the primary token-based authorisation framework. All grant types required for modern web, mobile, and service-to-service authentication patterns must be supported.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3.3.1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Authorization Code flow with PKCE (web and mobile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Credentials flow (machine-to-machine / service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 Authorization flow (CLI tools, smart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Refresh token rotation with configurable absolute and sliding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introspection endpoint (RFC 7662)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revocation endpoint (RFC 7009)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Dynamic client registration (RFC 7591)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Fine-grained scope management with per-application scope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access tokens with configurable claims and signing algorithms (RS256, ES256)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Opaque token option for legacy integrations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3.3.2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implement OAuth 2.0 Authorization Code flow with mandatory PKCE (RFC 7636) for all public clients.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implement OAuth 2.0 Client Credentials flow for service-to-service authentication.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tokens shall be signed JWTs using RS256 or ES256 with a published JWKS endpoint.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refresh token rotation — each use of a refresh token shall issue a new one and invalidate the used token.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expose a standards-compliant token introspection endpoint (RFC 7662).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expose a token revocation endpoint (RFC 7009) supporting both access and refresh tokens.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per-tenant custom claims injection into JWT access and ID tokens.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the Device Authorization Grant (RFC 8628) for browserless clients.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OA2-09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dynamic client registration (RFC 7591) with admin approval workflow.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OA2-10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Pushed Authorization Requests (PAR) per RFC 9126.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High-security deployments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3.4 SAML 2.0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act as both a SAML 2.0 Identity Provider (IdP) and a Service Provider (SP), enabling full federation with existing enterprise SAML infrastructure.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3.4.1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SAML 2.0 IdP — issue assertions to registered service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SAML 2.0 SP — consume assertions from upstream identity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SP-initiated and IdP-initiated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Logout (SLO) — both SP-initiated and IdP-initiated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Signed and encrypted assertions (XMLDSig / XML Encryption)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Metadata import/export for rapid SP and IdP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Attribute statement mapping — map SAML attributes to WeldForge canonical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NameID format support: email, persistent, transient, unspecified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3.4.2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act as a SAML 2.0 IdP, issuing signed assertions to registered service providers.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act as a SAML 2.0 SP, consuming assertions from upstream IdPs.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assertions shall be signed using RSA-SHA256 or RSA-SHA512.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SAML assertion encryption using AES-256.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Where SP requires encryption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SP and IdP metadata import via URL or file upload.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SAML Single Logout (SLO) in both synchronous and asynchronous binding.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all four SAML NameID formats: email, persistent, transient, unspecified.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SAM-08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per-SP attribute release policies restricting which claims are sent in assertions.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3.5 OpenID Connect (OIDC)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implement OpenID Connect 1.0 as an authorisation layer over OAuth 2.0, providing identity tokens, user info endpoint, and discovery metadata for all connected relying parties.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3.5.1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OIDC Discovery endpoint (/.well-known/openid-configuration)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 token issuance with configurable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UserInfo endpoint with Bearer token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Standard OIDC scopes: openid, profile, email, phone,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scope definitions with claim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OIDC logout (RP-initiated) per OpenID Connect RP-Initiated Logout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OIDC session management and front-channel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for nonce, state, and max_age parameters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3.5.2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expose a compliant OIDC Discovery document at the tenant well-known endpoint.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issue signed ID tokens (JWT) with iss, sub, aud, exp, iat, and nonce claims.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expose a UserInfo endpoint returning claims corresponding to granted scopes.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RP-initiated logout with post_logout_redirect_uri validation.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the max_age parameter to enforce re-authentication after a specified elapsed time.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the acr_values parameter for requesting specific authentication context class references.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OID-07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OIDC front-channel logout notifications to registered relying parties.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3.6 X.509 Certificate Management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provide a full public key infrastructure (PKI) capability for issuing, managing, and revoking X.509 certificates used in client authentication, service-to-service mTLS, and code signing scenarios.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3.6.1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Internal Certificate Authority (CA) — issue certificates under a WeldForge-managed root or intermediate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CA integration — consume certificates issued by external CAs (e.g. Let's Encrypt, DigiCert)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lifecycle management — issue, renew, revoke, suspend, and reinstate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Revocation List (CRL) publication at a well-known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OCSP (Online Certificate Status Protocol) responder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Automated renewal with configurable advance notice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certificate authentication — accept X.509 client certs as a primary auth 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templates — define key usage, extended key usage, SANs per issuance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Hardware Security Module (HSM) integration for root CA key storage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3.6.2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an internal CA capable of issuing X.509 v3 certificates for client authentication.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certificate revocation and publish a CRL at a publicly accessible endpoint.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X.509 client certificate authentication as a primary and MFA factor.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automated renewal notifications at configurable advance intervals (30/14/7/1 day).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OCSP for real-time certificate status verification.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certificate templates defining key usage, EKU, and SANs per issuance policy.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integration with external ACME-compatible CAs (e.g. Let's Encrypt).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HSM integration (PKCS#11) for root CA private key protection.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 tier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X50-09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automatic mTLS certificate provisioning for registered service accounts.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3.7 Social Authentication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support social login via major identity providers, normalising their tokens and user profiles into the WeldForge canonical identity schema with full federation and deduplication support.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3.7.1 Supported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(OAuth 2.0 / OIDC)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Microsoft / Entra ID (OAuth 2.0 / OIDC)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GitHub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Apple (Sign in with Apple / 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Facebook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Twitter / X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Generic OAuth 2.0 / OIDC provider (bring-your-own configuration)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3.7.2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social login via Google, Microsoft, GitHub, and Apple as built-in connectors.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v1 core providers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shall be subject to the same JIT provisioning, attribute mapping, and deduplication rules as federated IdPs.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per-tenant enable/disable of individual social providers.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 generic OAuth 2.0 / OIDC connector for unlisted providers.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social login via LinkedIn, Facebook, and Twitter/X as built-in connectors.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Extended providers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per-provider claim mapping to override default attribute normalisation.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SOC-07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email domain restrictions on social login (e.g. only @company.com Google accounts permitted).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3.8 Token-Based Authentication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Beyond OAuth 2.0 access tokens, WeldForge must support API key authentication, long-lived service tokens, and session tokens for legacy integration patterns.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3.8.1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 generation with prefix identification (e.g. wf_live_...) and masked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 scoping — restrict keys to specific resources and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 expiry and rotation with configurable grace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account tokens for programmatic access without user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binding — optionally bind tokens to a client IP or device fingerprint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 for every token creation, use, rotation, and revocation event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3.8.2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TOK-01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API key authentication with prefixed, single-reveal keys and hashed storage.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TOK-02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shall be scopable to specific API resources and HTTP methods.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TOK-03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service account tokens for M2M authentication outside OAuth 2.0 flows.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TOK-04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API key expiry with automated renewal notification to the key owner.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TOK-05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token binding to client TLS certificate fingerprint for high-assurance contexts.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3.9 User Provisioning &amp; SCIM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automate user lifecycle management — creation, update, deactivation, and deletion — across connected systems using the SCIM 2.0 protocol and webhook-based provisioning.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3.9.1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SCIM 2.0 server — receive provisioning events from upstream identity sources (e.g. Okta, Azure AD, Workday)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SCIM 2.0 client — push provisioned users to connected downstream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lifecycle: create, update, deactivate, delete with configurable cascade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 provisioning — sync group membership to application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Attribute filtering — control which user attributes are provisioned to each downstream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Provisioning error queue with retry logic and alert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Bulk provisioning API for initial population and migration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3.9.2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expose a SCIM 2.0 compatible endpoint for receiving user provisioning events from upstream systems.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JIT provisioning on first successful authentication from any federated IdP.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deactivation in the upstream IdP shall propagate to WeldForge within 60 seconds via SCIM or webhook.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Security requirement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SCIM 2.0 group provisioning with bidirectional group-to-role mapping.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act as a SCIM 2.0 client, pushing provisioning events to registered downstream applications.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failures shall be queued with at least 3 automatic retries with exponential backoff.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PRV-07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bulk provisioning API supporting up to 10,000 users per request with async processing.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3.10 CRM Identity Provisioning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provision and synchronise user identity data to connected CRM systems, ensuring downstream customer data stores receive authoritative, current identity attributes from the forge.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3.10.1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Pre-built CRM connectors: Salesforce, HubSpot, Microsoft Dynamics, Pipedrive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Bidirectional sync — enrich WeldForge profiles with CRM data and push auth events to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Event-driven provisioning — push identity updates on login, profile change, or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 mapping editor — drag-and-drop mapping of WeldForge attributes to CRM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Sync conflict resolution policies — WeldForge-wins, CRM-wins, or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CRM de-duplication — prevent duplicate contact/lead creation for existing users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3.10.2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provision user identity data to Salesforce and HubSpot on successful authentication.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v1 CRM connectors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provisioning events shall include: user ID, email, name, roles, custom attributes, and auth timestamp.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configurable field mappings between WeldForge user schema and CRM contact/lead fields.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detect and prevent CRM duplicate record creation using configurable match keys.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Microsoft Dynamics and Pipedrive as built-in CRM connectors.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Extended connectors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CRM-06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bidirectional sync — enrich WeldForge profiles with CRM data fields.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3.11 Multi-Factor Authentication (MFA)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support a broad set of second factors, with adaptive risk-based step-up policies configurable per tenant, application, and user risk level.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3.11.1 Supported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TOTP (RFC 6238) — Google Authenticator, Authy, 1Password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WebAuthn / FIDO2 — hardware security keys (YubiKey, Titan) and platform authenticators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notification — via WeldForge Authenticator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SMS OTP — via Twilio / AWS SNS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OTP — fallback 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Backup codes — emergency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X.509 client certificate — as a second factor or primary passwordless factor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3.11.2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TOTP (RFC 6238) as a second factor with QR code enrollment flow.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WebAuthn / FIDO2 for hardware security key and platform authenticator enrollment and authentication.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per-tenant MFA enforcement policies: optional, required, or risk-adaptive.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per-application MFA step-up — requiring MFA even within an active SSO session.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SMS OTP as a second factor via configurable SMS gateway integration.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risk-adaptive MFA — trigger step-up based on IP reputation, geolocation anomaly, or device fingerprint change.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MFA-07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push notification MFA via a companion mobile authenticator application.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mobile 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3.12 Administration Console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provide a comprehensive web-based administration interface for tenant configuration, user management, application registration, and audit log review.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3.12.1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Tenant management — create and configure isolated identity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Application registration — register OAuth2 clients, SAML SPs, and OIDC relying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management — search, view, edit, impersonate, suspend, and delete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 and permission management — define custom roles and assign to users or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Identity provider configuration — add and manage upstream IdPs with connection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 viewer — searchable, filterable event log with export to CSV and SIEM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manager — view, revoke, and re-issue certificates from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Webhook management — configure, test, and review webhook delivery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— real-time metrics: active sessions, auth events, error rates, token issuance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70C18"/>
          <w:sz w:val="22"/>
          <w:szCs w:val="22"/>
        </w:rPr>
        <w:t xml:space="preserve">3.12.2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admin console shall be a responsive web application accessible on desktop browsers (Chrome, Firefox, Edge, Safari).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access shall be protected by MFA with role-based access control (Super Admin, Tenant Admin, Read-Only).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searchable, filterable audit log with minimum 90-day retention.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admins shall be able to register applications, configure IdPs, and manage users without Super Admin access.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console shall provide an API explorer for testing all WeldForge API endpoints from the UI.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console shall provide a real-time dashboard with auth event metrics and error rate alerts.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ADM-07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admin audit log export to Splunk, Datadog, and generic syslog/SIEM destinations.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4.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4.1 Security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in transit shall be encrypted using TLS 1.2 minimum; TLS 1.3 shall be preferred.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at rest shall be encrypted using AES-256.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signing keys shall be rotated on a configurable schedule (minimum: monthly).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implement OWASP Top 10 protections across all web-facing surfaces.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be penetration-tested by an independent party prior to v1 general availability.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passwords shall be hashed using bcrypt (cost factor &gt;= 12) or Argon2id.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implement rate limiting on all authentication endpoints (configurable per tenant).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SEC-08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IP allowlist and blocklist enforcement per tenant.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SEC-09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HSM (PKCS#11) key storage for root signing keys.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 tier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SEC-10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be SOC 2 Type II certified within 12 months of GA.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4.2 Performance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PER-01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endpoint (token issuance) shall respond within 200ms at p95 under nominal load.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PER-02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sustain 1,000 authentication transactions per second without degradation.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PER-03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assertion validation shall complete within 100ms at p99.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PER-04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admin console shall load within 3 seconds on a standard broadband connection.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PER-05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sustain 10,000 concurrent active SSO sessions per tenant.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4.3 Availability &amp; Reliability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AVL-01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authentication service shall target 99.9% monthly uptime (SLA).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&lt; 8.7 hrs downtime/yr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AVL-02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active-active multi-region deployment for geo-redundancy.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AVL-03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maintenance windows shall not exceed 30 minutes and shall not require full authentication downtime.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AVL-04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implement circuit breakers on all upstream IdP connections.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AVL-05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authentication service shall target 99.99% uptime in the enterprise tier.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 SLA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4.4 Scalability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SCA-01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auto-scale horizontally in response to authentication load without configuration changes.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SCA-02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multi-tenant architecture with hard data isolation between tenants.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SCA-03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deployment shall support up to 100 tenants and 5 million total user records in v1.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SCA-04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unlimited users per tenant with storage limits defined by tier.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Post-v1 roadmap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5. Integration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5.1 Developer API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WeldForge must expose a comprehensive REST API and SDK ecosystem enabling developers to integrate all platform capabilities into their applications programmatically.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 API — versioned JSON API for all administrative and authentication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Webhooks — outbound event notifications for auth, provisioning, and lifecycle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SDKs — official client libraries for JavaScript/TypeScript, Python, Java, Go, and 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OpenAPI 3.0 specification published and maintained with every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Interactive API documentation (Swagger UI / Redoc) available in the admin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versioning policy — minimum 18-month deprecation notice before breaking changes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expose a versioned REST API (v1) covering 100% of admin console functionality.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responses shall conform to a consistent JSON schema with standardised error codes.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publish a complete OpenAPI 3.0 specification for all API endpoints.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provide official SDKs for JavaScript/TypeScript and Python at GA.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outbound webhooks for auth, provisioning, certificate, and audit events.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API-06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payloads shall include a signature header (HMAC-SHA256) for consumer verification.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API-07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provide official SDKs for Java, Go, and .NET within 6 months of GA.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5.2 Directory &amp; Legacy Systems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DIR-01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LDAP v3 as an upstream user directory for authentication and attribute reads.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DIR-02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Active Directory (via LDAP) with UPN and sAMAccountName login.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DIR-03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Active Directory Federation Services (ADFS) as a SAML 2.0 upstream IdP.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DIR-04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Google Workspace Directory as a user source via the Directory API.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5.3 Deployment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70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DEP-01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be deployable as a managed SaaS service with no customer infrastructure requirement.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DEP-02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provide official Docker images and Kubernetes Helm charts for self-hosted deployment.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DEP-03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self-hosted deployment shall support PostgreSQL 14+ as the primary data store.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DEP-04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deployment to AWS, Azure, and GCP without platform-specific dependencies.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8"/>
                <w:sz w:val="20"/>
                <w:szCs w:val="20"/>
              </w:rPr>
              <w:t xml:space="preserve">DEP-05</w:t>
            </w:r>
          </w:p>
        </w:tc>
        <w:tc>
          <w:tcPr>
            <w:tcW w:type="dxa" w:w="5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shall support air-gapped deployment for high-security enterprise environments.</w:t>
            </w:r>
          </w:p>
        </w:tc>
        <w:tc>
          <w:tcPr>
            <w:tcW w:type="dxa" w:w="1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 tier</w:t>
            </w:r>
          </w:p>
        </w:tc>
      </w:tr>
    </w:tbl>
    <w:p>
      <w:pPr>
        <w:pBdr>
          <w:bottom w:val="single" w:color="D0D8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6. Compliance &amp; Standards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6.1 Regulatory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 — user data handling, consent management, right to erasure, data portability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CCPA — California Consumer Privacy Act compliance for US-based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POPIA — Protection of Personal Information Act (South Africa)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HIPAA — configurable BAA-compliant deployment mode for healthcare tenants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6.2 Security Standards &amp;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SOC 2 Type II (target: within 12 months of 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ISO 27001 (target: within 18 months of 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FIPS 140-2 Level 2 for cryptographic modules (enterprise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NIST SP 800-63B — digital identity guidelines compliance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6.3 Protocol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OAuth 2.0 (RFC 6749), PKCE (RFC 7636), PAR (RFC 9126)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OpenID Connect Core 1.0, Discovery 1.0, RP-Initiated Logout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SAML 2.0 Core, Bindings, Profiles (OASIS)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X.509 v3 (RFC 5280), OCSP (RFC 6960), CRL (RFC 5280)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SCIM 2.0 (RFC 7643, RFC 7644)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WebAuthn Level 2 (W3C), FIDO2 (FIDO Alliance)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(RFC 7519), JWK (RFC 7517), JWS (RFC 7515), JWE (RFC 7516)</w:t>
      </w:r>
    </w:p>
    <w:p>
      <w:pPr>
        <w:pBdr>
          <w:bottom w:val="single" w:color="D0D8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0C18"/>
          <w:sz w:val="32"/>
          <w:szCs w:val="32"/>
        </w:rPr>
        <w:t xml:space="preserve">7. Glossary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Federation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linking and trusting identity assertions across multiple separate identity systems.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IdP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 — the system that authenticates a user and issues identity assertions.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SP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 — the application that relies on an IdP's assertion to grant access.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JIT Provisioning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Just-in-Time provisioning — automatically creating a user account on first successful authentication.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PKI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Infrastructure — the framework for issuing and managing X.509 digital certificates.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PKCE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Key for Code Exchange — a security extension to the OAuth 2.0 authorization code flow.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SCIM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for Cross-domain Identity Management — a protocol for automating user provisioning.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SLO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Logout — a mechanism to terminate a user session across all service providers simultaneously.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mTLS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TLS — a TLS configuration where both client and server authenticate using X.509 certificates.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C18"/>
                <w:sz w:val="20"/>
                <w:szCs w:val="20"/>
              </w:rPr>
              <w:t xml:space="preserve">HRD</w:t>
            </w:r>
          </w:p>
        </w:tc>
        <w:tc>
          <w:tcPr>
            <w:tcW w:type="dxa" w:w="7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Realm Discovery — routing a user to their correct IdP based on email domain or other signals.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8EE" w:sz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99CC"/>
          <w:sz w:val="18"/>
          <w:szCs w:val="18"/>
        </w:rPr>
        <w:t xml:space="preserve">End of Document — WeldForge PRD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E" w:sz="4"/>
      </w:pBdr>
      <w:spacing w:after="0" w:before="120"/>
      <w:jc w:val="center"/>
    </w:pPr>
    <w:r>
      <w:rPr>
        <w:rFonts w:ascii="Arial" w:cs="Arial" w:eastAsia="Arial" w:hAnsi="Arial"/>
        <w:color w:val="8899CC"/>
        <w:sz w:val="18"/>
        <w:szCs w:val="18"/>
      </w:rPr>
      <w:t xml:space="preserve">CONFIDENTIAL  |  WeldForge v1.0  |  Page </w:t>
    </w:r>
    <w:r>
      <w:rPr>
        <w:rFonts w:ascii="Arial" w:cs="Arial" w:eastAsia="Arial" w:hAnsi="Arial"/>
        <w:color w:val="8899C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CC"/>
        <w:sz w:val="18"/>
        <w:szCs w:val="18"/>
      </w:rPr>
      <w:t xml:space="preserve"> of </w:t>
    </w:r>
    <w:r>
      <w:rPr>
        <w:rFonts w:ascii="Arial" w:cs="Arial" w:eastAsia="Arial" w:hAnsi="Arial"/>
        <w:color w:val="8899C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E" w:sz="4"/>
      </w:pBdr>
      <w:spacing w:after="120" w:before="0"/>
      <w:jc w:val="right"/>
    </w:pPr>
    <w:r>
      <w:rPr>
        <w:rFonts w:ascii="Arial" w:cs="Arial" w:eastAsia="Arial" w:hAnsi="Arial"/>
        <w:color w:val="8899CC"/>
        <w:sz w:val="18"/>
        <w:szCs w:val="18"/>
      </w:rPr>
      <w:t xml:space="preserve">WeldForge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70C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70C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2026-04-11T12:59:59.141Z</dcterms:created>
  <dcterms:modified xsi:type="dcterms:W3CDTF">2026-04-11T12:59:59.141Z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