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3F2E5C"/>
          <w:sz w:val="44"/>
          <w:szCs w:val="44"/>
        </w:rPr>
        <w:t xml:space="preserve">ZION SKINCARE</w:t>
      </w:r>
    </w:p>
    <w:p>
      <w:pPr>
        <w:spacing w:after="100" w:before="200"/>
        <w:jc w:val="center"/>
      </w:pPr>
      <w:r>
        <w:rPr>
          <w:color w:val="333333"/>
          <w:sz w:val="30"/>
          <w:szCs w:val="30"/>
        </w:rPr>
        <w:t xml:space="preserve">Estratégia de Expansão de Produto</w:t>
      </w:r>
    </w:p>
    <w:p>
      <w:pPr>
        <w:spacing w:after="500"/>
        <w:jc w:val="center"/>
      </w:pPr>
      <w:r>
        <w:rPr>
          <w:b/>
          <w:bCs/>
          <w:color w:val="6B4E9E"/>
          <w:sz w:val="24"/>
          <w:szCs w:val="24"/>
        </w:rPr>
        <w:t xml:space="preserve">Módulo B2B para Clínicas  •  Módulo de Afiliados</w:t>
      </w:r>
    </w:p>
    <w:p>
      <w:pPr>
        <w:pBdr>
          <w:top w:val="single" w:color="6B4E9E" w:sz="4" w:space="8"/>
        </w:pBdr>
        <w:spacing w:before="300"/>
        <w:jc w:val="center"/>
      </w:pPr>
      <w:r>
        <w:rPr>
          <w:color w:val="666666"/>
          <w:sz w:val="20"/>
          <w:szCs w:val="20"/>
        </w:rPr>
        <w:t xml:space="preserve">Agosto de 2026</w:t>
      </w:r>
    </w:p>
    <w:p>
      <w:r>
        <w:br w:type="page"/>
      </w:r>
    </w:p>
    <w:p>
      <w:pPr>
        <w:pStyle w:val="Heading1"/>
        <w:pBdr>
          <w:bottom w:val="single" w:color="6B4E9E" w:sz="6" w:space="4"/>
        </w:pBdr>
        <w:spacing w:after="160" w:before="420"/>
      </w:pPr>
      <w:r>
        <w:rPr>
          <w:b/>
          <w:bCs/>
          <w:color w:val="3F2E5C"/>
          <w:sz w:val="30"/>
          <w:szCs w:val="30"/>
        </w:rPr>
        <w:t xml:space="preserve">1. Resumo executivo</w:t>
      </w:r>
    </w:p>
    <w:p>
      <w:pPr>
        <w:spacing w:after="160" w:line="300"/>
      </w:pPr>
      <w:r>
        <w:rPr>
          <w:sz w:val="21"/>
          <w:szCs w:val="21"/>
        </w:rPr>
        <w:t xml:space="preserve">Este documento define a estratégia para os dois próximos grandes módulos da Zion Skincare: uma camada B2B, que transforma o app — hoje 100% B2C — em uma ferramenta que clínicas de estética, dermatologistas e esteticistas podem oferecer aos próprios pacientes; e um módulo de Afiliados, que conecta a rotina gerada por IA a produtos reais, com marcas testadas e links de compra, monetizando a recomendação em vez de apenas exibi-la.</w:t>
      </w:r>
    </w:p>
    <w:p>
      <w:pPr>
        <w:spacing w:after="160" w:line="300"/>
      </w:pPr>
      <w:r>
        <w:rPr>
          <w:sz w:val="21"/>
          <w:szCs w:val="21"/>
        </w:rPr>
        <w:t xml:space="preserve">A recomendação central deste documento é sequencial, não paralelo: comece pelo módulo de Afiliados. Ele monetiza a base de usuários que já existe, não exige mudanças estruturais no produto (multi-tenant, branding, faturamento por cliente B2B) e pode chegar ao ar em semanas, gerando caixa e aprendizado de conversão que financiam e informam o B2B. O módulo B2B entra na sequência, com um recorte deliberadamente enxuto para o primeiro lançamento: sem domínio próprio por clínica, apenas identidade visual (logo + cor) dentro do domínio atual — a opção que você já sinalizou como prioritária, e que evita todo o custo de infraestrutura de DNS/SSL por tenant.</w:t>
      </w:r>
    </w:p>
    <w:p>
      <w:pPr>
        <w:pStyle w:val="ListParagraph"/>
        <w:numPr>
          <w:ilvl w:val="0"/>
          <w:numId w:val="2"/>
        </w:numPr>
        <w:spacing w:after="90" w:line="290"/>
      </w:pPr>
      <w:r>
        <w:rPr>
          <w:b/>
          <w:bCs/>
          <w:sz w:val="21"/>
          <w:szCs w:val="21"/>
        </w:rPr>
        <w:t xml:space="preserve">Módulo Afiliados — </w:t>
      </w:r>
      <w:r>
        <w:rPr>
          <w:sz w:val="21"/>
          <w:szCs w:val="21"/>
        </w:rPr>
        <w:t xml:space="preserve">conecta cada etapa da rotina (hoje descrita por categoria e ingrediente, sem marca) a produtos reais de marcas curadas, com link de afiliado e kits prontos. Meta: transformar a rotina em um carrinho de compras implícito, sem parecer publicidade.</w:t>
      </w:r>
    </w:p>
    <w:p>
      <w:pPr>
        <w:pStyle w:val="ListParagraph"/>
        <w:numPr>
          <w:ilvl w:val="0"/>
          <w:numId w:val="2"/>
        </w:numPr>
        <w:spacing w:after="90" w:line="290"/>
      </w:pPr>
      <w:r>
        <w:rPr>
          <w:b/>
          <w:bCs/>
          <w:sz w:val="21"/>
          <w:szCs w:val="21"/>
        </w:rPr>
        <w:t xml:space="preserve">Módulo B2B — </w:t>
      </w:r>
      <w:r>
        <w:rPr>
          <w:sz w:val="21"/>
          <w:szCs w:val="21"/>
        </w:rPr>
        <w:t xml:space="preserve">portal para clínicas comprarem "assentos" e cadastrarem seus próprios pacientes, que passam a usar uma versão com a marca da clínica. A clínica acompanha adesão e evolução; o paciente ganha a mesma experiência de rotina gerada por IA.</w:t>
      </w:r>
    </w:p>
    <w:p>
      <w:pPr>
        <w:pStyle w:val="ListParagraph"/>
        <w:numPr>
          <w:ilvl w:val="0"/>
          <w:numId w:val="2"/>
        </w:numPr>
        <w:spacing w:after="90" w:line="290"/>
      </w:pPr>
      <w:r>
        <w:rPr>
          <w:b/>
          <w:bCs/>
          <w:sz w:val="21"/>
          <w:szCs w:val="21"/>
        </w:rPr>
        <w:t xml:space="preserve">Sequência recomendada — </w:t>
      </w:r>
      <w:r>
        <w:rPr>
          <w:sz w:val="21"/>
          <w:szCs w:val="21"/>
        </w:rPr>
        <w:t xml:space="preserve">Afiliados primeiro (4–6 semanas até o primeiro link ao vivo), B2B em seguida (8–12 semanas até o primeiro piloto pago), com sobreposição parcial no planejamento técnico.</w:t>
      </w:r>
    </w:p>
    <w:p>
      <w:pPr>
        <w:spacing w:after="120"/>
      </w:pPr>
    </w:p>
    <w:p>
      <w:pPr>
        <w:pStyle w:val="Heading1"/>
        <w:pBdr>
          <w:bottom w:val="single" w:color="6B4E9E" w:sz="6" w:space="4"/>
        </w:pBdr>
        <w:spacing w:after="160" w:before="420"/>
      </w:pPr>
      <w:r>
        <w:rPr>
          <w:b/>
          <w:bCs/>
          <w:color w:val="3F2E5C"/>
          <w:sz w:val="30"/>
          <w:szCs w:val="30"/>
        </w:rPr>
        <w:t xml:space="preserve">2. Onde o produto está hoje</w:t>
      </w:r>
    </w:p>
    <w:p>
      <w:pPr>
        <w:spacing w:after="160" w:line="300"/>
      </w:pPr>
      <w:r>
        <w:rPr>
          <w:sz w:val="21"/>
          <w:szCs w:val="21"/>
        </w:rPr>
        <w:t xml:space="preserve">Antes de desenhar os dois módulos nesta estratégia, vale registrar o que já existe na Zion Skincare e que será reaproveitado — isso muda o tamanho do esforço de ambos os módulos:</w:t>
      </w:r>
    </w:p>
    <w:p>
      <w:pPr>
        <w:pStyle w:val="ListParagraph"/>
        <w:numPr>
          <w:ilvl w:val="0"/>
          <w:numId w:val="2"/>
        </w:numPr>
        <w:spacing w:after="90" w:line="290"/>
      </w:pPr>
      <w:r>
        <w:rPr>
          <w:b/>
          <w:bCs/>
          <w:sz w:val="21"/>
          <w:szCs w:val="21"/>
        </w:rPr>
        <w:t xml:space="preserve">Motor de rotina por IA — </w:t>
      </w:r>
      <w:r>
        <w:rPr>
          <w:sz w:val="21"/>
          <w:szCs w:val="21"/>
        </w:rPr>
        <w:t xml:space="preserve">a rotina (manhã/noite) já é estruturada em etapas com categoria de produto e foco de ingrediente (ex.: "limpador", foco em "ácido salicílico"), mas sem marca ou produto específico. Isso é uma vantagem: o "gancho" para inserir produtos reais já existe na estrutura de dados, falta o catálogo do outro lado.</w:t>
      </w:r>
    </w:p>
    <w:p>
      <w:pPr>
        <w:pStyle w:val="ListParagraph"/>
        <w:numPr>
          <w:ilvl w:val="0"/>
          <w:numId w:val="2"/>
        </w:numPr>
        <w:spacing w:after="90" w:line="290"/>
      </w:pPr>
      <w:r>
        <w:rPr>
          <w:b/>
          <w:bCs/>
          <w:sz w:val="21"/>
          <w:szCs w:val="21"/>
        </w:rPr>
        <w:t xml:space="preserve">Perfil de pele rico — </w:t>
      </w:r>
      <w:r>
        <w:rPr>
          <w:sz w:val="21"/>
          <w:szCs w:val="21"/>
        </w:rPr>
        <w:t xml:space="preserve">tipo de pele, sensibilidade, gravidez/amamentação, alergias, nível de orçamento (budget_level), disponibilidade de tempo e clima já são coletados no onboarding. Esses mesmos campos são exatamente os filtros que um motor de recomendação de produtos precisa.</w:t>
      </w:r>
    </w:p>
    <w:p>
      <w:pPr>
        <w:pStyle w:val="ListParagraph"/>
        <w:numPr>
          <w:ilvl w:val="0"/>
          <w:numId w:val="2"/>
        </w:numPr>
        <w:spacing w:after="90" w:line="290"/>
      </w:pPr>
      <w:r>
        <w:rPr>
          <w:b/>
          <w:bCs/>
          <w:sz w:val="21"/>
          <w:szCs w:val="21"/>
        </w:rPr>
        <w:t xml:space="preserve">Pagamentos duplos — </w:t>
      </w:r>
      <w:r>
        <w:rPr>
          <w:sz w:val="21"/>
          <w:szCs w:val="21"/>
        </w:rPr>
        <w:t xml:space="preserve">Paddle e Stripe já convivem, com planos mensal/bimestral/trimestral. Uma nova modalidade de cobrança B2B (por assento/paciente) pode seguir o mesmo padrão de arquitetura, mas provavelmente com um fluxo comercial diferente (ver seção 5.7).</w:t>
      </w:r>
    </w:p>
    <w:p>
      <w:pPr>
        <w:pStyle w:val="ListParagraph"/>
        <w:numPr>
          <w:ilvl w:val="0"/>
          <w:numId w:val="2"/>
        </w:numPr>
        <w:spacing w:after="90" w:line="290"/>
      </w:pPr>
      <w:r>
        <w:rPr>
          <w:b/>
          <w:bCs/>
          <w:sz w:val="21"/>
          <w:szCs w:val="21"/>
        </w:rPr>
        <w:t xml:space="preserve">Painel administrativo — </w:t>
      </w:r>
      <w:r>
        <w:rPr>
          <w:sz w:val="21"/>
          <w:szCs w:val="21"/>
        </w:rPr>
        <w:t xml:space="preserve">já existe um papel de admin com acesso amplo (admin_users, com bypass de paywall). Essa é a base natural para evoluir para um "papel de clínica" com escopo restrito aos próprios pacientes.</w:t>
      </w:r>
    </w:p>
    <w:p>
      <w:pPr>
        <w:pStyle w:val="ListParagraph"/>
        <w:numPr>
          <w:ilvl w:val="0"/>
          <w:numId w:val="2"/>
        </w:numPr>
        <w:spacing w:after="90" w:line="290"/>
      </w:pPr>
      <w:r>
        <w:rPr>
          <w:b/>
          <w:bCs/>
          <w:sz w:val="21"/>
          <w:szCs w:val="21"/>
        </w:rPr>
        <w:t xml:space="preserve">Sistema de indicação (referral) — </w:t>
      </w:r>
      <w:r>
        <w:rPr>
          <w:sz w:val="21"/>
          <w:szCs w:val="21"/>
        </w:rPr>
        <w:t xml:space="preserve">já existe um fluxo de indicação entre usuários que concede dias de acesso. A lógica de "alguém convida alguém e ganha vínculo" é reaproveitável para o convite de paciente pela clínica.</w:t>
      </w:r>
    </w:p>
    <w:p>
      <w:pPr>
        <w:pStyle w:val="ListParagraph"/>
        <w:numPr>
          <w:ilvl w:val="0"/>
          <w:numId w:val="2"/>
        </w:numPr>
        <w:spacing w:after="90" w:line="290"/>
      </w:pPr>
      <w:r>
        <w:rPr>
          <w:b/>
          <w:bCs/>
          <w:sz w:val="21"/>
          <w:szCs w:val="21"/>
        </w:rPr>
        <w:t xml:space="preserve">Engajamento — </w:t>
      </w:r>
      <w:r>
        <w:rPr>
          <w:sz w:val="21"/>
          <w:szCs w:val="21"/>
        </w:rPr>
        <w:t xml:space="preserve">push notifications, e-mails semanais (weekly-digest), streaks, XP e conquistas já existem. São exatamente os canais onde a recomendação de produtos (Afiliados) pode ser injetada sem precisar criar nova infraestrutura de comunicação.</w:t>
      </w:r>
    </w:p>
    <w:p>
      <w:pPr>
        <w:spacing w:after="160" w:line="300"/>
      </w:pPr>
      <w:r>
        <w:rPr>
          <w:sz w:val="21"/>
          <w:szCs w:val="21"/>
        </w:rPr>
        <w:t xml:space="preserve">Em resumo: nenhum dos dois módulos parte do zero. O que falta é o mesmo em ambos os casos — um conceito que hoje não existe no banco de dados: "entidade organizadora" (marca/produto de um lado, clínica de outro) que se conecta ao que já existe (rotina, perfil, assinatura).</w:t>
      </w:r>
    </w:p>
    <w:p>
      <w:pPr>
        <w:spacing w:after="120"/>
      </w:pPr>
    </w:p>
    <w:p>
      <w:pPr>
        <w:pStyle w:val="Heading1"/>
        <w:pBdr>
          <w:bottom w:val="single" w:color="6B4E9E" w:sz="6" w:space="4"/>
        </w:pBdr>
        <w:spacing w:after="160" w:before="420"/>
      </w:pPr>
      <w:r>
        <w:rPr>
          <w:b/>
          <w:bCs/>
          <w:color w:val="3F2E5C"/>
          <w:sz w:val="30"/>
          <w:szCs w:val="30"/>
        </w:rPr>
        <w:t xml:space="preserve">3. Por que Afiliados primeiro</w:t>
      </w:r>
    </w:p>
    <w:p>
      <w:pPr>
        <w:spacing w:after="160" w:line="300"/>
      </w:pPr>
      <w:r>
        <w:rPr>
          <w:sz w:val="21"/>
          <w:szCs w:val="21"/>
        </w:rPr>
        <w:t xml:space="preserve">Você marcou Afiliados como prioridade, e a lógica do produto confirma essa escolha:</w:t>
      </w:r>
    </w:p>
    <w:p>
      <w:pPr>
        <w:pStyle w:val="ListParagraph"/>
        <w:numPr>
          <w:ilvl w:val="0"/>
          <w:numId w:val="2"/>
        </w:numPr>
        <w:spacing w:after="90" w:line="290"/>
      </w:pPr>
      <w:r>
        <w:rPr>
          <w:b/>
          <w:bCs/>
          <w:sz w:val="21"/>
          <w:szCs w:val="21"/>
        </w:rPr>
        <w:t xml:space="preserve">Menor superfície de mudança — </w:t>
      </w:r>
      <w:r>
        <w:rPr>
          <w:sz w:val="21"/>
          <w:szCs w:val="21"/>
        </w:rPr>
        <w:t xml:space="preserve">não exige multi-tenant, branding dinâmico nem um novo modelo de faturamento. É essencialmente um catálogo de produtos + uma camada de matching sobre uma estrutura de dados (RoutineStep) que já existe.</w:t>
      </w:r>
    </w:p>
    <w:p>
      <w:pPr>
        <w:pStyle w:val="ListParagraph"/>
        <w:numPr>
          <w:ilvl w:val="0"/>
          <w:numId w:val="2"/>
        </w:numPr>
        <w:spacing w:after="90" w:line="290"/>
      </w:pPr>
      <w:r>
        <w:rPr>
          <w:b/>
          <w:bCs/>
          <w:sz w:val="21"/>
          <w:szCs w:val="21"/>
        </w:rPr>
        <w:t xml:space="preserve">Monetiza quem já paga — </w:t>
      </w:r>
      <w:r>
        <w:rPr>
          <w:sz w:val="21"/>
          <w:szCs w:val="21"/>
        </w:rPr>
        <w:t xml:space="preserve">a base atual de assinantes B2C passa a gerar uma segunda receita (comissão de afiliado) sem precisar de um único cliente novo.</w:t>
      </w:r>
    </w:p>
    <w:p>
      <w:pPr>
        <w:pStyle w:val="ListParagraph"/>
        <w:numPr>
          <w:ilvl w:val="0"/>
          <w:numId w:val="2"/>
        </w:numPr>
        <w:spacing w:after="90" w:line="290"/>
      </w:pPr>
      <w:r>
        <w:rPr>
          <w:b/>
          <w:bCs/>
          <w:sz w:val="21"/>
          <w:szCs w:val="21"/>
        </w:rPr>
        <w:t xml:space="preserve">Gera dado para o B2B — </w:t>
      </w:r>
      <w:r>
        <w:rPr>
          <w:sz w:val="21"/>
          <w:szCs w:val="21"/>
        </w:rPr>
        <w:t xml:space="preserve">quando o motor de recomendação de produtos estiver validado (quais marcas convertem, qual taxa de clique, qual feedback dos usuários), isso vira um diferencial de venda para as clínicas: "nossa IA não só orienta, ela indica produtos que funcionam de verdade".</w:t>
      </w:r>
    </w:p>
    <w:p>
      <w:pPr>
        <w:pStyle w:val="ListParagraph"/>
        <w:numPr>
          <w:ilvl w:val="0"/>
          <w:numId w:val="2"/>
        </w:numPr>
        <w:spacing w:after="90" w:line="290"/>
      </w:pPr>
      <w:r>
        <w:rPr>
          <w:b/>
          <w:bCs/>
          <w:sz w:val="21"/>
          <w:szCs w:val="21"/>
        </w:rPr>
        <w:t xml:space="preserve">Financia o B2B — </w:t>
      </w:r>
      <w:r>
        <w:rPr>
          <w:sz w:val="21"/>
          <w:szCs w:val="21"/>
        </w:rPr>
        <w:t xml:space="preserve">o B2B tem ciclo de venda mais longo (contato com clínicas, contrato, onboarding assistido) e só gera receita relevante em escala. Ter uma segunda fonte de receita rodando reduz a pressão de caixa enquanto o B2B é validado.</w:t>
      </w:r>
    </w:p>
    <w:p>
      <w:pPr>
        <w:spacing w:after="160" w:line="300"/>
      </w:pPr>
      <w:r>
        <w:rPr>
          <w:sz w:val="21"/>
          <w:szCs w:val="21"/>
        </w:rPr>
        <w:t xml:space="preserve">Recomenda-se, ainda assim, iniciar em paralelo o desenho de dados do B2B (schema, papéis, branding) enquanto Afiliados é implementado — são times de trabalho diferentes (produto/parcerias de um lado, engenharia de dados de outro) e o desenho antecipado evita retrabalho quando o B2B entrar em construção.</w:t>
      </w:r>
    </w:p>
    <w:p>
      <w:pPr>
        <w:spacing w:after="120"/>
      </w:pPr>
    </w:p>
    <w:p>
      <w:pPr>
        <w:pStyle w:val="Heading1"/>
        <w:pBdr>
          <w:bottom w:val="single" w:color="6B4E9E" w:sz="6" w:space="4"/>
        </w:pBdr>
        <w:spacing w:after="160" w:before="420"/>
      </w:pPr>
      <w:r>
        <w:rPr>
          <w:b/>
          <w:bCs/>
          <w:color w:val="3F2E5C"/>
          <w:sz w:val="30"/>
          <w:szCs w:val="30"/>
        </w:rPr>
        <w:t xml:space="preserve">4. Módulo 1 — Afiliados &amp; Monetização de Produtos</w:t>
      </w:r>
    </w:p>
    <w:p>
      <w:pPr>
        <w:pStyle w:val="Heading2"/>
        <w:spacing w:after="120" w:before="300"/>
      </w:pPr>
      <w:r>
        <w:rPr>
          <w:b/>
          <w:bCs/>
          <w:color w:val="3F2E5C"/>
          <w:sz w:val="24"/>
          <w:szCs w:val="24"/>
        </w:rPr>
        <w:t xml:space="preserve">4.1 Objetivo e tese</w:t>
      </w:r>
    </w:p>
    <w:p>
      <w:pPr>
        <w:spacing w:after="160" w:line="300"/>
      </w:pPr>
      <w:r>
        <w:rPr>
          <w:sz w:val="21"/>
          <w:szCs w:val="21"/>
        </w:rPr>
        <w:t xml:space="preserve">Hoje a IA gera uma rotina descrevendo o que usar ("um limpador com ácido salicílico"), mas não onde comprar. Isso deixa valor na mesa: o usuário fecha o app e vai comprar em qualquer lugar — muitas vezes um produto pior, ou mais caro, ou de uma marca sem lastro. A tese do módulo é simples: se a IA já sabe exatamente o que a pele da pessoa precisa, ela deve poder recomendar o produto certo, de uma marca confiável, com um clique de distância — e a Zion Skincare ganha uma comissão por isso, sem cobrar nada a mais do usuário.</w:t>
      </w:r>
    </w:p>
    <w:tbl>
      <w:tblPr>
        <w:tblW w:type="pct" w:w="100%"/>
        <w:tblBorders>
          <w:top w:val="single" w:color="6B4E9E" w:sz="4"/>
          <w:left w:val="single" w:color="6B4E9E" w:sz="4"/>
          <w:bottom w:val="single" w:color="6B4E9E" w:sz="4"/>
          <w:right w:val="single" w:color="6B4E9E" w:sz="4"/>
          <w:insideH w:val="none" w:color="FFFFFF" w:sz="0"/>
          <w:insideV w:val="none" w:color="FFFFFF" w:sz="0"/>
        </w:tblBorders>
      </w:tblPr>
      <w:tblGrid>
        <w:gridCol w:w="100"/>
      </w:tblGrid>
      <w:tr>
        <w:tc>
          <w:tcPr>
            <w:shd w:fill="F3EFFA" w:val="clear"/>
            <w:tcMar>
              <w:top w:type="dxa" w:w="160"/>
              <w:left w:type="dxa" w:w="200"/>
              <w:bottom w:type="dxa" w:w="160"/>
              <w:right w:type="dxa" w:w="200"/>
            </w:tcMar>
          </w:tcPr>
          <w:p>
            <w:pPr>
              <w:spacing w:after="60"/>
            </w:pPr>
            <w:r>
              <w:rPr>
                <w:b/>
                <w:bCs/>
                <w:color w:val="3F2E5C"/>
                <w:sz w:val="20"/>
                <w:szCs w:val="20"/>
              </w:rPr>
              <w:t xml:space="preserve">Princípio orientador</w:t>
            </w:r>
          </w:p>
          <w:p>
            <w:pPr>
              <w:spacing/>
            </w:pPr>
            <w:r>
              <w:rPr>
                <w:color w:val="333333"/>
                <w:sz w:val="20"/>
                <w:szCs w:val="20"/>
              </w:rPr>
              <w:t xml:space="preserve">A curadoria vem antes da comissão. A lista de marcas é definida por critério técnico (testado, ingrediente compatível, custo-benefício por faixa de orçamento) e só depois se verifica se existe programa de afiliados para aquela marca — nunca o contrário. Isso protege a credibilidade da recomendação, que é o ativo mais valioso do produto.</w:t>
            </w:r>
          </w:p>
        </w:tc>
      </w:tr>
    </w:tbl>
    <w:p>
      <w:pPr>
        <w:spacing w:after="120"/>
      </w:pPr>
    </w:p>
    <w:p>
      <w:pPr>
        <w:pStyle w:val="Heading2"/>
        <w:spacing w:after="120" w:before="300"/>
      </w:pPr>
      <w:r>
        <w:rPr>
          <w:b/>
          <w:bCs/>
          <w:color w:val="3F2E5C"/>
          <w:sz w:val="24"/>
          <w:szCs w:val="24"/>
        </w:rPr>
        <w:t xml:space="preserve">4.2 Modelo de dados proposto</w:t>
      </w:r>
    </w:p>
    <w:p>
      <w:pPr>
        <w:spacing w:after="160" w:line="300"/>
      </w:pPr>
      <w:r>
        <w:rPr>
          <w:sz w:val="21"/>
          <w:szCs w:val="21"/>
        </w:rPr>
        <w:t xml:space="preserve">Quatro entidades novas resolvem o módulo, todas penduradas na estrutura que já existe (RoutineStep, skin_profiles):</w:t>
      </w:r>
    </w:p>
    <w:tbl>
      <w:tblPr>
        <w:tblW w:type="dxa" w:w="9792"/>
        <w:tblBorders>
          <w:top w:val="single" w:color="CCCCCC" w:sz="2"/>
          <w:left w:val="single" w:color="CCCCCC" w:sz="2"/>
          <w:bottom w:val="single" w:color="CCCCCC" w:sz="2"/>
          <w:right w:val="single" w:color="CCCCCC" w:sz="2"/>
          <w:insideH w:val="single" w:color="E2DCF0" w:sz="2"/>
          <w:insideV w:val="single" w:color="E2DCF0" w:sz="2"/>
        </w:tblBorders>
      </w:tblPr>
      <w:tblGrid>
        <w:gridCol w:w="1584"/>
        <w:gridCol w:w="3744"/>
        <w:gridCol w:w="4464"/>
      </w:tblGrid>
      <w:tr>
        <w:trPr>
          <w:tblHeader/>
        </w:trPr>
        <w:tc>
          <w:tcPr>
            <w:tcW w:type="dxa" w:w="1584"/>
            <w:shd w:fill="6B4E9E" w:val="clear"/>
            <w:tcMar>
              <w:top w:type="dxa" w:w="100"/>
              <w:left w:type="dxa" w:w="120"/>
              <w:bottom w:type="dxa" w:w="100"/>
              <w:right w:type="dxa" w:w="120"/>
            </w:tcMar>
          </w:tcPr>
          <w:p>
            <w:r>
              <w:rPr>
                <w:b/>
                <w:bCs/>
                <w:color w:val="FFFFFF"/>
                <w:sz w:val="19"/>
                <w:szCs w:val="19"/>
              </w:rPr>
              <w:t xml:space="preserve">Tabela</w:t>
            </w:r>
          </w:p>
        </w:tc>
        <w:tc>
          <w:tcPr>
            <w:tcW w:type="dxa" w:w="3744"/>
            <w:shd w:fill="6B4E9E" w:val="clear"/>
            <w:tcMar>
              <w:top w:type="dxa" w:w="100"/>
              <w:left w:type="dxa" w:w="120"/>
              <w:bottom w:type="dxa" w:w="100"/>
              <w:right w:type="dxa" w:w="120"/>
            </w:tcMar>
          </w:tcPr>
          <w:p>
            <w:r>
              <w:rPr>
                <w:b/>
                <w:bCs/>
                <w:color w:val="FFFFFF"/>
                <w:sz w:val="19"/>
                <w:szCs w:val="19"/>
              </w:rPr>
              <w:t xml:space="preserve">Função</w:t>
            </w:r>
          </w:p>
        </w:tc>
        <w:tc>
          <w:tcPr>
            <w:tcW w:type="dxa" w:w="4464"/>
            <w:shd w:fill="6B4E9E" w:val="clear"/>
            <w:tcMar>
              <w:top w:type="dxa" w:w="100"/>
              <w:left w:type="dxa" w:w="120"/>
              <w:bottom w:type="dxa" w:w="100"/>
              <w:right w:type="dxa" w:w="120"/>
            </w:tcMar>
          </w:tcPr>
          <w:p>
            <w:r>
              <w:rPr>
                <w:b/>
                <w:bCs/>
                <w:color w:val="FFFFFF"/>
                <w:sz w:val="19"/>
                <w:szCs w:val="19"/>
              </w:rPr>
              <w:t xml:space="preserve">Campos-chave</w:t>
            </w:r>
          </w:p>
        </w:tc>
      </w:tr>
      <w:tr>
        <w:tc>
          <w:tcPr>
            <w:tcW w:type="dxa" w:w="1584"/>
            <w:shd w:fill="FFFFFF" w:val="clear"/>
            <w:tcMar>
              <w:top w:type="dxa" w:w="90"/>
              <w:left w:type="dxa" w:w="120"/>
              <w:bottom w:type="dxa" w:w="90"/>
              <w:right w:type="dxa" w:w="120"/>
            </w:tcMar>
          </w:tcPr>
          <w:p>
            <w:pPr>
              <w:spacing w:after="40"/>
            </w:pPr>
            <w:r>
              <w:rPr>
                <w:sz w:val="19"/>
                <w:szCs w:val="19"/>
              </w:rPr>
              <w:t xml:space="preserve">brands</w:t>
            </w:r>
          </w:p>
        </w:tc>
        <w:tc>
          <w:tcPr>
            <w:tcW w:type="dxa" w:w="3744"/>
            <w:shd w:fill="FFFFFF" w:val="clear"/>
            <w:tcMar>
              <w:top w:type="dxa" w:w="90"/>
              <w:left w:type="dxa" w:w="120"/>
              <w:bottom w:type="dxa" w:w="90"/>
              <w:right w:type="dxa" w:w="120"/>
            </w:tcMar>
          </w:tcPr>
          <w:p>
            <w:pPr>
              <w:spacing w:after="40"/>
            </w:pPr>
            <w:r>
              <w:rPr>
                <w:sz w:val="19"/>
                <w:szCs w:val="19"/>
              </w:rPr>
              <w:t xml:space="preserve">Marcas curadas e aprovadas para recomendação</w:t>
            </w:r>
          </w:p>
        </w:tc>
        <w:tc>
          <w:tcPr>
            <w:tcW w:type="dxa" w:w="4464"/>
            <w:shd w:fill="FFFFFF" w:val="clear"/>
            <w:tcMar>
              <w:top w:type="dxa" w:w="90"/>
              <w:left w:type="dxa" w:w="120"/>
              <w:bottom w:type="dxa" w:w="90"/>
              <w:right w:type="dxa" w:w="120"/>
            </w:tcMar>
          </w:tcPr>
          <w:p>
            <w:pPr>
              <w:spacing w:after="40"/>
            </w:pPr>
            <w:r>
              <w:rPr>
                <w:sz w:val="19"/>
                <w:szCs w:val="19"/>
              </w:rPr>
              <w:t xml:space="preserve">nome, tier de preço, categorias que atende, status de parceria (rede de afiliados / direta / nenhuma)</w:t>
            </w:r>
          </w:p>
        </w:tc>
      </w:tr>
      <w:tr>
        <w:tc>
          <w:tcPr>
            <w:tcW w:type="dxa" w:w="1584"/>
            <w:shd w:fill="F7F5FB" w:val="clear"/>
            <w:tcMar>
              <w:top w:type="dxa" w:w="90"/>
              <w:left w:type="dxa" w:w="120"/>
              <w:bottom w:type="dxa" w:w="90"/>
              <w:right w:type="dxa" w:w="120"/>
            </w:tcMar>
          </w:tcPr>
          <w:p>
            <w:pPr>
              <w:spacing w:after="40"/>
            </w:pPr>
            <w:r>
              <w:rPr>
                <w:sz w:val="19"/>
                <w:szCs w:val="19"/>
              </w:rPr>
              <w:t xml:space="preserve">products</w:t>
            </w:r>
          </w:p>
        </w:tc>
        <w:tc>
          <w:tcPr>
            <w:tcW w:type="dxa" w:w="3744"/>
            <w:shd w:fill="F7F5FB" w:val="clear"/>
            <w:tcMar>
              <w:top w:type="dxa" w:w="90"/>
              <w:left w:type="dxa" w:w="120"/>
              <w:bottom w:type="dxa" w:w="90"/>
              <w:right w:type="dxa" w:w="120"/>
            </w:tcMar>
          </w:tcPr>
          <w:p>
            <w:pPr>
              <w:spacing w:after="40"/>
            </w:pPr>
            <w:r>
              <w:rPr>
                <w:sz w:val="19"/>
                <w:szCs w:val="19"/>
              </w:rPr>
              <w:t xml:space="preserve">Catálogo de produtos por marca</w:t>
            </w:r>
          </w:p>
        </w:tc>
        <w:tc>
          <w:tcPr>
            <w:tcW w:type="dxa" w:w="4464"/>
            <w:shd w:fill="F7F5FB" w:val="clear"/>
            <w:tcMar>
              <w:top w:type="dxa" w:w="90"/>
              <w:left w:type="dxa" w:w="120"/>
              <w:bottom w:type="dxa" w:w="90"/>
              <w:right w:type="dxa" w:w="120"/>
            </w:tcMar>
          </w:tcPr>
          <w:p>
            <w:pPr>
              <w:spacing w:after="40"/>
            </w:pPr>
            <w:r>
              <w:rPr>
                <w:sz w:val="19"/>
                <w:szCs w:val="19"/>
              </w:rPr>
              <w:t xml:space="preserve">nome, categoria (mesmo enum de product_category do RoutineStep), ingredientes ativos, faixa de preço, tags de perfil (ex.: gravidez-seguro, pele sensível)</w:t>
            </w:r>
          </w:p>
        </w:tc>
      </w:tr>
      <w:tr>
        <w:tc>
          <w:tcPr>
            <w:tcW w:type="dxa" w:w="1584"/>
            <w:shd w:fill="FFFFFF" w:val="clear"/>
            <w:tcMar>
              <w:top w:type="dxa" w:w="90"/>
              <w:left w:type="dxa" w:w="120"/>
              <w:bottom w:type="dxa" w:w="90"/>
              <w:right w:type="dxa" w:w="120"/>
            </w:tcMar>
          </w:tcPr>
          <w:p>
            <w:pPr>
              <w:spacing w:after="40"/>
            </w:pPr>
            <w:r>
              <w:rPr>
                <w:sz w:val="19"/>
                <w:szCs w:val="19"/>
              </w:rPr>
              <w:t xml:space="preserve">affiliate_links</w:t>
            </w:r>
          </w:p>
        </w:tc>
        <w:tc>
          <w:tcPr>
            <w:tcW w:type="dxa" w:w="3744"/>
            <w:shd w:fill="FFFFFF" w:val="clear"/>
            <w:tcMar>
              <w:top w:type="dxa" w:w="90"/>
              <w:left w:type="dxa" w:w="120"/>
              <w:bottom w:type="dxa" w:w="90"/>
              <w:right w:type="dxa" w:w="120"/>
            </w:tcMar>
          </w:tcPr>
          <w:p>
            <w:pPr>
              <w:spacing w:after="40"/>
            </w:pPr>
            <w:r>
              <w:rPr>
                <w:sz w:val="19"/>
                <w:szCs w:val="19"/>
              </w:rPr>
              <w:t xml:space="preserve">Link de afiliado vigente por produto/rede</w:t>
            </w:r>
          </w:p>
        </w:tc>
        <w:tc>
          <w:tcPr>
            <w:tcW w:type="dxa" w:w="4464"/>
            <w:shd w:fill="FFFFFF" w:val="clear"/>
            <w:tcMar>
              <w:top w:type="dxa" w:w="90"/>
              <w:left w:type="dxa" w:w="120"/>
              <w:bottom w:type="dxa" w:w="90"/>
              <w:right w:type="dxa" w:w="120"/>
            </w:tcMar>
          </w:tcPr>
          <w:p>
            <w:pPr>
              <w:spacing w:after="40"/>
            </w:pPr>
            <w:r>
              <w:rPr>
                <w:sz w:val="19"/>
                <w:szCs w:val="19"/>
              </w:rPr>
              <w:t xml:space="preserve">product_id, rede (Awin, Amazon, direta), URL rastreada, comissão esperada, status (ativo/expirado)</w:t>
            </w:r>
          </w:p>
        </w:tc>
      </w:tr>
      <w:tr>
        <w:tc>
          <w:tcPr>
            <w:tcW w:type="dxa" w:w="1584"/>
            <w:shd w:fill="F7F5FB" w:val="clear"/>
            <w:tcMar>
              <w:top w:type="dxa" w:w="90"/>
              <w:left w:type="dxa" w:w="120"/>
              <w:bottom w:type="dxa" w:w="90"/>
              <w:right w:type="dxa" w:w="120"/>
            </w:tcMar>
          </w:tcPr>
          <w:p>
            <w:pPr>
              <w:spacing w:after="40"/>
            </w:pPr>
            <w:r>
              <w:rPr>
                <w:sz w:val="19"/>
                <w:szCs w:val="19"/>
              </w:rPr>
              <w:t xml:space="preserve">kits</w:t>
            </w:r>
          </w:p>
        </w:tc>
        <w:tc>
          <w:tcPr>
            <w:tcW w:type="dxa" w:w="3744"/>
            <w:shd w:fill="F7F5FB" w:val="clear"/>
            <w:tcMar>
              <w:top w:type="dxa" w:w="90"/>
              <w:left w:type="dxa" w:w="120"/>
              <w:bottom w:type="dxa" w:w="90"/>
              <w:right w:type="dxa" w:w="120"/>
            </w:tcMar>
          </w:tcPr>
          <w:p>
            <w:pPr>
              <w:spacing w:after="40"/>
            </w:pPr>
            <w:r>
              <w:rPr>
                <w:sz w:val="19"/>
                <w:szCs w:val="19"/>
              </w:rPr>
              <w:t xml:space="preserve">Combos prontos (ex.: "kit rotina anti-acne iniciante")</w:t>
            </w:r>
          </w:p>
        </w:tc>
        <w:tc>
          <w:tcPr>
            <w:tcW w:type="dxa" w:w="4464"/>
            <w:shd w:fill="F7F5FB" w:val="clear"/>
            <w:tcMar>
              <w:top w:type="dxa" w:w="90"/>
              <w:left w:type="dxa" w:w="120"/>
              <w:bottom w:type="dxa" w:w="90"/>
              <w:right w:type="dxa" w:w="120"/>
            </w:tcMar>
          </w:tcPr>
          <w:p>
            <w:pPr>
              <w:spacing w:after="40"/>
            </w:pPr>
            <w:r>
              <w:rPr>
                <w:sz w:val="19"/>
                <w:szCs w:val="19"/>
              </w:rPr>
              <w:t xml:space="preserve">nome, produtos incluídos (ordenados), preço total estimado, perfis-alvo</w:t>
            </w:r>
          </w:p>
        </w:tc>
      </w:tr>
    </w:tbl>
    <w:p>
      <w:pPr>
        <w:spacing w:after="80"/>
      </w:pPr>
    </w:p>
    <w:p>
      <w:pPr>
        <w:spacing w:after="160" w:line="300"/>
      </w:pPr>
      <w:r>
        <w:rPr>
          <w:sz w:val="21"/>
          <w:szCs w:val="21"/>
        </w:rPr>
        <w:t xml:space="preserve">Nenhuma dessas tabelas precisa de migração destrutiva: RoutineStep ganha um campo opcional recommended_product_id (ou uma lista, para oferecer 2–3 alternativas por faixa de preço), preenchido depois que a rotina já foi gerada — a IA continua responsável só pelo diagnóstico e pela estrutura da rotina.</w:t>
      </w:r>
    </w:p>
    <w:p>
      <w:pPr>
        <w:pStyle w:val="Heading2"/>
        <w:spacing w:after="120" w:before="300"/>
      </w:pPr>
      <w:r>
        <w:rPr>
          <w:b/>
          <w:bCs/>
          <w:color w:val="3F2E5C"/>
          <w:sz w:val="24"/>
          <w:szCs w:val="24"/>
        </w:rPr>
        <w:t xml:space="preserve">4.3 Como conectar a recomendação da IA a produtos reais</w:t>
      </w:r>
    </w:p>
    <w:p>
      <w:pPr>
        <w:spacing w:after="160" w:line="300"/>
      </w:pPr>
      <w:r>
        <w:rPr>
          <w:sz w:val="21"/>
          <w:szCs w:val="21"/>
        </w:rPr>
        <w:t xml:space="preserve">O ponto crítico é não deixar o modelo de IA "inventar" marca — isso quebra a curadoria e gera risco (indicar produto errado, marca sem parceria, alegação que a marca não sustenta). O desenho recomendado é em duas etapas:</w:t>
      </w:r>
    </w:p>
    <w:p>
      <w:pPr>
        <w:pStyle w:val="ListParagraph"/>
        <w:numPr>
          <w:ilvl w:val="0"/>
          <w:numId w:val="2"/>
        </w:numPr>
        <w:spacing w:after="90" w:line="290"/>
      </w:pPr>
      <w:r>
        <w:rPr>
          <w:b/>
          <w:bCs/>
          <w:sz w:val="21"/>
          <w:szCs w:val="21"/>
        </w:rPr>
        <w:t xml:space="preserve">1) Geração da rotina (como já funciona hoje) — </w:t>
      </w:r>
      <w:r>
        <w:rPr>
          <w:sz w:val="21"/>
          <w:szCs w:val="21"/>
        </w:rPr>
        <w:t xml:space="preserve">a IA define categoria, ingrediente-foco e instruções, sem citar marca. Isso não muda.</w:t>
      </w:r>
    </w:p>
    <w:p>
      <w:pPr>
        <w:pStyle w:val="ListParagraph"/>
        <w:numPr>
          <w:ilvl w:val="0"/>
          <w:numId w:val="2"/>
        </w:numPr>
        <w:spacing w:after="90" w:line="290"/>
      </w:pPr>
      <w:r>
        <w:rPr>
          <w:b/>
          <w:bCs/>
          <w:sz w:val="21"/>
          <w:szCs w:val="21"/>
        </w:rPr>
        <w:t xml:space="preserve">2) Matching determinístico (novo) — </w:t>
      </w:r>
      <w:r>
        <w:rPr>
          <w:sz w:val="21"/>
          <w:szCs w:val="21"/>
        </w:rPr>
        <w:t xml:space="preserve">depois que a rotina é salva, um serviço de back-end cruza cada etapa (categoria + ingrediente_focus) com o catálogo de products, filtrando por budget_level, sensitivity_level, alergias e pregnancy_or_breastfeeding do perfil — os mesmos campos que já existem em skin_profiles. O resultado é 1 produto "melhor match" + 1–2 alternativas de outra faixa de preço.</w:t>
      </w:r>
    </w:p>
    <w:p>
      <w:pPr>
        <w:spacing w:after="160" w:line="300"/>
      </w:pPr>
      <w:r>
        <w:rPr>
          <w:sz w:val="21"/>
          <w:szCs w:val="21"/>
        </w:rPr>
        <w:t xml:space="preserve">Essa separação importa: a etapa 2 é regra de negócio auditável (dá para explicar por que o produto X foi sugerido para a pessoa Y), enquanto deixar a IA generativa escolher a marca diretamente tornaria a recomendação opaca e mais arriscada de validar. Em uma fase futura, a IA generativa pode ser usada só para escrever a justificativa ("por que esse produto"), nunca para decidir o item do catálogo.</w:t>
      </w:r>
    </w:p>
    <w:p>
      <w:pPr>
        <w:pStyle w:val="Heading2"/>
        <w:spacing w:after="120" w:before="300"/>
      </w:pPr>
      <w:r>
        <w:rPr>
          <w:b/>
          <w:bCs/>
          <w:color w:val="3F2E5C"/>
          <w:sz w:val="24"/>
          <w:szCs w:val="24"/>
        </w:rPr>
        <w:t xml:space="preserve">4.4 Curadoria de marcas — critérios</w:t>
      </w:r>
    </w:p>
    <w:p>
      <w:pPr>
        <w:spacing w:after="160" w:line="300"/>
      </w:pPr>
      <w:r>
        <w:rPr>
          <w:sz w:val="21"/>
          <w:szCs w:val="21"/>
        </w:rPr>
        <w:t xml:space="preserve">Como você definiu, o critério é "marcas já testadas e conhecidas", cruzado com a análise da IA. Sugestão de critério de entrada no catálogo (checklist de curadoria, não algoritmo):</w:t>
      </w:r>
    </w:p>
    <w:p>
      <w:pPr>
        <w:pStyle w:val="ListParagraph"/>
        <w:numPr>
          <w:ilvl w:val="0"/>
          <w:numId w:val="2"/>
        </w:numPr>
        <w:spacing w:after="90" w:line="290"/>
      </w:pPr>
      <w:r>
        <w:rPr>
          <w:sz w:val="21"/>
          <w:szCs w:val="21"/>
        </w:rPr>
        <w:t xml:space="preserve">Marca com presença de mercado consolidada no Brasil (dermocosméticos como La Roche-Posay, Vichy, Eucerin, Bioderma, Adcos, Vult, Sallve, entre outras — a lista final é decisão de produto/farmácia, não desta estratégia).</w:t>
      </w:r>
    </w:p>
    <w:p>
      <w:pPr>
        <w:pStyle w:val="ListParagraph"/>
        <w:numPr>
          <w:ilvl w:val="0"/>
          <w:numId w:val="2"/>
        </w:numPr>
        <w:spacing w:after="90" w:line="290"/>
      </w:pPr>
      <w:r>
        <w:rPr>
          <w:sz w:val="21"/>
          <w:szCs w:val="21"/>
        </w:rPr>
        <w:t xml:space="preserve">Ingredientes ativos documentados e concentração compatível com o que a IA já recomenda por categoria (evita o problema de indicar um produto "da marca certa" mas com o ingrediente errado).</w:t>
      </w:r>
    </w:p>
    <w:p>
      <w:pPr>
        <w:pStyle w:val="ListParagraph"/>
        <w:numPr>
          <w:ilvl w:val="0"/>
          <w:numId w:val="2"/>
        </w:numPr>
        <w:spacing w:after="90" w:line="290"/>
      </w:pPr>
      <w:r>
        <w:rPr>
          <w:sz w:val="21"/>
          <w:szCs w:val="21"/>
        </w:rPr>
        <w:t xml:space="preserve">Cobertura de pelo menos 2 faixas de preço por categoria de produto, para não excluir o perfil budget_level="baixo".</w:t>
      </w:r>
    </w:p>
    <w:p>
      <w:pPr>
        <w:pStyle w:val="ListParagraph"/>
        <w:numPr>
          <w:ilvl w:val="0"/>
          <w:numId w:val="2"/>
        </w:numPr>
        <w:spacing w:after="90" w:line="290"/>
      </w:pPr>
      <w:r>
        <w:rPr>
          <w:sz w:val="21"/>
          <w:szCs w:val="21"/>
        </w:rPr>
        <w:t xml:space="preserve">Existência (ou viabilidade) de link de afiliado rastreável — rede formal ou parceria direta.</w:t>
      </w:r>
    </w:p>
    <w:p>
      <w:pPr>
        <w:pStyle w:val="ListParagraph"/>
        <w:numPr>
          <w:ilvl w:val="0"/>
          <w:numId w:val="2"/>
        </w:numPr>
        <w:spacing w:after="90" w:line="290"/>
      </w:pPr>
      <w:r>
        <w:rPr>
          <w:sz w:val="21"/>
          <w:szCs w:val="21"/>
        </w:rPr>
        <w:t xml:space="preserve">Ausência de reclamação recorrente de segurança/alergia nos canais de defesa do consumidor (checagem simples, não substitui avaliação regulatória/dermatológica formal).</w:t>
      </w:r>
    </w:p>
    <w:p>
      <w:pPr>
        <w:spacing w:after="120"/>
      </w:pPr>
    </w:p>
    <w:p>
      <w:pPr>
        <w:pStyle w:val="Heading2"/>
        <w:spacing w:after="120" w:before="300"/>
      </w:pPr>
      <w:r>
        <w:rPr>
          <w:b/>
          <w:bCs/>
          <w:color w:val="3F2E5C"/>
          <w:sz w:val="24"/>
          <w:szCs w:val="24"/>
        </w:rPr>
        <w:t xml:space="preserve">4.5 Redes de afiliados no Brasil — panorama</w:t>
      </w:r>
    </w:p>
    <w:p>
      <w:pPr>
        <w:spacing w:after="160" w:line="300"/>
      </w:pPr>
      <w:r>
        <w:rPr>
          <w:sz w:val="21"/>
          <w:szCs w:val="21"/>
        </w:rPr>
        <w:t xml:space="preserve">Levantamento do cenário atual para orientar a priorização de integrações. Comissões variam por marca e por acordo, então trate os números abaixo como referência de piso, não de todas as marcas.</w:t>
      </w:r>
    </w:p>
    <w:tbl>
      <w:tblPr>
        <w:tblW w:type="dxa" w:w="9792"/>
        <w:tblBorders>
          <w:top w:val="single" w:color="CCCCCC" w:sz="2"/>
          <w:left w:val="single" w:color="CCCCCC" w:sz="2"/>
          <w:bottom w:val="single" w:color="CCCCCC" w:sz="2"/>
          <w:right w:val="single" w:color="CCCCCC" w:sz="2"/>
          <w:insideH w:val="single" w:color="E2DCF0" w:sz="2"/>
          <w:insideV w:val="single" w:color="E2DCF0" w:sz="2"/>
        </w:tblBorders>
      </w:tblPr>
      <w:tblGrid>
        <w:gridCol w:w="1872"/>
        <w:gridCol w:w="3888"/>
        <w:gridCol w:w="4032"/>
      </w:tblGrid>
      <w:tr>
        <w:trPr>
          <w:tblHeader/>
        </w:trPr>
        <w:tc>
          <w:tcPr>
            <w:tcW w:type="dxa" w:w="1872"/>
            <w:shd w:fill="6B4E9E" w:val="clear"/>
            <w:tcMar>
              <w:top w:type="dxa" w:w="100"/>
              <w:left w:type="dxa" w:w="120"/>
              <w:bottom w:type="dxa" w:w="100"/>
              <w:right w:type="dxa" w:w="120"/>
            </w:tcMar>
          </w:tcPr>
          <w:p>
            <w:r>
              <w:rPr>
                <w:b/>
                <w:bCs/>
                <w:color w:val="FFFFFF"/>
                <w:sz w:val="19"/>
                <w:szCs w:val="19"/>
              </w:rPr>
              <w:t xml:space="preserve">Canal</w:t>
            </w:r>
          </w:p>
        </w:tc>
        <w:tc>
          <w:tcPr>
            <w:tcW w:type="dxa" w:w="3888"/>
            <w:shd w:fill="6B4E9E" w:val="clear"/>
            <w:tcMar>
              <w:top w:type="dxa" w:w="100"/>
              <w:left w:type="dxa" w:w="120"/>
              <w:bottom w:type="dxa" w:w="100"/>
              <w:right w:type="dxa" w:w="120"/>
            </w:tcMar>
          </w:tcPr>
          <w:p>
            <w:r>
              <w:rPr>
                <w:b/>
                <w:bCs/>
                <w:color w:val="FFFFFF"/>
                <w:sz w:val="19"/>
                <w:szCs w:val="19"/>
              </w:rPr>
              <w:t xml:space="preserve">Como funciona</w:t>
            </w:r>
          </w:p>
        </w:tc>
        <w:tc>
          <w:tcPr>
            <w:tcW w:type="dxa" w:w="4032"/>
            <w:shd w:fill="6B4E9E" w:val="clear"/>
            <w:tcMar>
              <w:top w:type="dxa" w:w="100"/>
              <w:left w:type="dxa" w:w="120"/>
              <w:bottom w:type="dxa" w:w="100"/>
              <w:right w:type="dxa" w:w="120"/>
            </w:tcMar>
          </w:tcPr>
          <w:p>
            <w:r>
              <w:rPr>
                <w:b/>
                <w:bCs/>
                <w:color w:val="FFFFFF"/>
                <w:sz w:val="19"/>
                <w:szCs w:val="19"/>
              </w:rPr>
              <w:t xml:space="preserve">Relevância para Zion Skincare</w:t>
            </w:r>
          </w:p>
        </w:tc>
      </w:tr>
      <w:tr>
        <w:tc>
          <w:tcPr>
            <w:tcW w:type="dxa" w:w="1872"/>
            <w:shd w:fill="FFFFFF" w:val="clear"/>
            <w:tcMar>
              <w:top w:type="dxa" w:w="90"/>
              <w:left w:type="dxa" w:w="120"/>
              <w:bottom w:type="dxa" w:w="90"/>
              <w:right w:type="dxa" w:w="120"/>
            </w:tcMar>
          </w:tcPr>
          <w:p>
            <w:pPr>
              <w:spacing w:after="40"/>
            </w:pPr>
            <w:r>
              <w:rPr>
                <w:sz w:val="19"/>
                <w:szCs w:val="19"/>
              </w:rPr>
              <w:t xml:space="preserve">Amazon Associados</w:t>
            </w:r>
          </w:p>
        </w:tc>
        <w:tc>
          <w:tcPr>
            <w:tcW w:type="dxa" w:w="3888"/>
            <w:shd w:fill="FFFFFF" w:val="clear"/>
            <w:tcMar>
              <w:top w:type="dxa" w:w="90"/>
              <w:left w:type="dxa" w:w="120"/>
              <w:bottom w:type="dxa" w:w="90"/>
              <w:right w:type="dxa" w:w="120"/>
            </w:tcMar>
          </w:tcPr>
          <w:p>
            <w:pPr>
              <w:spacing w:after="40"/>
            </w:pPr>
            <w:r>
              <w:rPr>
                <w:sz w:val="19"/>
                <w:szCs w:val="19"/>
              </w:rPr>
              <w:t xml:space="preserve">Programa direto da Amazon; comissão padrão de 13% para as categorias Beleza, Beleza de Luxo e Saúde/Cuidados Pessoais (a mais alta faixa do programa).</w:t>
            </w:r>
          </w:p>
        </w:tc>
        <w:tc>
          <w:tcPr>
            <w:tcW w:type="dxa" w:w="4032"/>
            <w:shd w:fill="FFFFFF" w:val="clear"/>
            <w:tcMar>
              <w:top w:type="dxa" w:w="90"/>
              <w:left w:type="dxa" w:w="120"/>
              <w:bottom w:type="dxa" w:w="90"/>
              <w:right w:type="dxa" w:w="120"/>
            </w:tcMar>
          </w:tcPr>
          <w:p>
            <w:pPr>
              <w:spacing w:after="40"/>
            </w:pPr>
            <w:r>
              <w:rPr>
                <w:sz w:val="19"/>
                <w:szCs w:val="19"/>
              </w:rPr>
              <w:t xml:space="preserve">Cobertura ampla de marcas e SKUs com uma única integração (API de Publicidade de Produtos). Bom para começar rápido e cobrir categorias onde a curadoria direta ainda não tem parceria.</w:t>
            </w:r>
          </w:p>
        </w:tc>
      </w:tr>
      <w:tr>
        <w:tc>
          <w:tcPr>
            <w:tcW w:type="dxa" w:w="1872"/>
            <w:shd w:fill="F7F5FB" w:val="clear"/>
            <w:tcMar>
              <w:top w:type="dxa" w:w="90"/>
              <w:left w:type="dxa" w:w="120"/>
              <w:bottom w:type="dxa" w:w="90"/>
              <w:right w:type="dxa" w:w="120"/>
            </w:tcMar>
          </w:tcPr>
          <w:p>
            <w:pPr>
              <w:spacing w:after="40"/>
            </w:pPr>
            <w:r>
              <w:rPr>
                <w:sz w:val="19"/>
                <w:szCs w:val="19"/>
              </w:rPr>
              <w:t xml:space="preserve">Awin</w:t>
            </w:r>
          </w:p>
        </w:tc>
        <w:tc>
          <w:tcPr>
            <w:tcW w:type="dxa" w:w="3888"/>
            <w:shd w:fill="F7F5FB" w:val="clear"/>
            <w:tcMar>
              <w:top w:type="dxa" w:w="90"/>
              <w:left w:type="dxa" w:w="120"/>
              <w:bottom w:type="dxa" w:w="90"/>
              <w:right w:type="dxa" w:w="120"/>
            </w:tcMar>
          </w:tcPr>
          <w:p>
            <w:pPr>
              <w:spacing w:after="40"/>
            </w:pPr>
            <w:r>
              <w:rPr>
                <w:sz w:val="19"/>
                <w:szCs w:val="19"/>
              </w:rPr>
              <w:t xml:space="preserve">Rede de afiliados que conecta múltiplos varejistas de beleza (ex.: Beleza na Web, O Boticário, Vult, Doce Beleza) sob um único contrato e uma API de geração de links/relatórios.</w:t>
            </w:r>
          </w:p>
        </w:tc>
        <w:tc>
          <w:tcPr>
            <w:tcW w:type="dxa" w:w="4032"/>
            <w:shd w:fill="F7F5FB" w:val="clear"/>
            <w:tcMar>
              <w:top w:type="dxa" w:w="90"/>
              <w:left w:type="dxa" w:w="120"/>
              <w:bottom w:type="dxa" w:w="90"/>
              <w:right w:type="dxa" w:w="120"/>
            </w:tcMar>
          </w:tcPr>
          <w:p>
            <w:pPr>
              <w:spacing w:after="40"/>
            </w:pPr>
            <w:r>
              <w:rPr>
                <w:sz w:val="19"/>
                <w:szCs w:val="19"/>
              </w:rPr>
              <w:t xml:space="preserve">Melhor opção para cobrir marcas e varejistas brasileiros de beleza com uma integração só, em vez de negociar loja a loja. Prioridade alta para MVP.</w:t>
            </w:r>
          </w:p>
        </w:tc>
      </w:tr>
      <w:tr>
        <w:tc>
          <w:tcPr>
            <w:tcW w:type="dxa" w:w="1872"/>
            <w:shd w:fill="FFFFFF" w:val="clear"/>
            <w:tcMar>
              <w:top w:type="dxa" w:w="90"/>
              <w:left w:type="dxa" w:w="120"/>
              <w:bottom w:type="dxa" w:w="90"/>
              <w:right w:type="dxa" w:w="120"/>
            </w:tcMar>
          </w:tcPr>
          <w:p>
            <w:pPr>
              <w:spacing w:after="40"/>
            </w:pPr>
            <w:r>
              <w:rPr>
                <w:sz w:val="19"/>
                <w:szCs w:val="19"/>
              </w:rPr>
              <w:t xml:space="preserve">Programas diretos de marca/varejista</w:t>
            </w:r>
          </w:p>
        </w:tc>
        <w:tc>
          <w:tcPr>
            <w:tcW w:type="dxa" w:w="3888"/>
            <w:shd w:fill="FFFFFF" w:val="clear"/>
            <w:tcMar>
              <w:top w:type="dxa" w:w="90"/>
              <w:left w:type="dxa" w:w="120"/>
              <w:bottom w:type="dxa" w:w="90"/>
              <w:right w:type="dxa" w:w="120"/>
            </w:tcMar>
          </w:tcPr>
          <w:p>
            <w:pPr>
              <w:spacing w:after="40"/>
            </w:pPr>
            <w:r>
              <w:rPr>
                <w:sz w:val="19"/>
                <w:szCs w:val="19"/>
              </w:rPr>
              <w:t xml:space="preserve">Ex.: "Minha BLZ" da Beleza na Web é um programa próprio, mas pensado para criadores de conteúdo/influenciadores (exige CNPJ e perfil no Instagram) — não é o caminho natural para uma integração de plataforma.</w:t>
            </w:r>
          </w:p>
        </w:tc>
        <w:tc>
          <w:tcPr>
            <w:tcW w:type="dxa" w:w="4032"/>
            <w:shd w:fill="FFFFFF" w:val="clear"/>
            <w:tcMar>
              <w:top w:type="dxa" w:w="90"/>
              <w:left w:type="dxa" w:w="120"/>
              <w:bottom w:type="dxa" w:w="90"/>
              <w:right w:type="dxa" w:w="120"/>
            </w:tcMar>
          </w:tcPr>
          <w:p>
            <w:pPr>
              <w:spacing w:after="40"/>
            </w:pPr>
            <w:r>
              <w:rPr>
                <w:sz w:val="19"/>
                <w:szCs w:val="19"/>
              </w:rPr>
              <w:t xml:space="preserve">Vale negociar direto com laboratórios dermocosméticos (comissão maior, dado de estoque mais confiável, eventual co-marketing), mas como segunda onda, depois que o volume de cliques justificar uma negociação comercial.</w:t>
            </w:r>
          </w:p>
        </w:tc>
      </w:tr>
    </w:tbl>
    <w:p>
      <w:pPr>
        <w:spacing w:after="80"/>
      </w:pPr>
    </w:p>
    <w:p>
      <w:pPr>
        <w:spacing w:after="160" w:line="300"/>
      </w:pPr>
      <w:r>
        <w:rPr>
          <w:sz w:val="21"/>
          <w:szCs w:val="21"/>
        </w:rPr>
        <w:t xml:space="preserve">Recomendação de sequência técnica: integrar Awin primeiro (cobre marcas de beleza brasileiras relevantes com uma única API), Amazon Associados em paralelo ou logo em seguida (cobertura ampla, comissão de referência competitiva), e reservar negociação direta com laboratórios para depois que houver dado de conversão para embasar a conversa comercial.</w:t>
      </w:r>
    </w:p>
    <w:p>
      <w:pPr>
        <w:pStyle w:val="Heading2"/>
        <w:spacing w:after="120" w:before="300"/>
      </w:pPr>
      <w:r>
        <w:rPr>
          <w:b/>
          <w:bCs/>
          <w:color w:val="3F2E5C"/>
          <w:sz w:val="24"/>
          <w:szCs w:val="24"/>
        </w:rPr>
        <w:t xml:space="preserve">4.6 Kits prontos</w:t>
      </w:r>
    </w:p>
    <w:p>
      <w:pPr>
        <w:spacing w:after="160" w:line="300"/>
      </w:pPr>
      <w:r>
        <w:rPr>
          <w:sz w:val="21"/>
          <w:szCs w:val="21"/>
        </w:rPr>
        <w:t xml:space="preserve">Além do link produto a produto, monte combos com 3–5 itens que cobrem uma rotina completa por objetivo (ex.: "kit controle de oleosidade", "kit iniciante sensível"), mapeados para os mesmos perfis que hoje geram a rotina. O kit resolve dois problemas de conversão ao mesmo tempo: reduz a fricção de decisão (a pessoa não precisa montar a rotina item a item) e aumenta o ticket médio da comissão, já que o carrinho tende a ser maior que uma compra avulsa.</w:t>
      </w:r>
    </w:p>
    <w:p>
      <w:pPr>
        <w:spacing w:after="160" w:line="300"/>
      </w:pPr>
      <w:r>
        <w:rPr>
          <w:sz w:val="21"/>
          <w:szCs w:val="21"/>
        </w:rPr>
        <w:t xml:space="preserve">Do ponto de vista de produto, o kit pode ser apresentado logo na tela de confirmação da rotina ("Marcar como definitiva" — fluxo que já existe em _authenticated.routine.tsx), como um segundo call-to-action: "Quer comprar essa rotina já pronta?".</w:t>
      </w:r>
    </w:p>
    <w:p>
      <w:pPr>
        <w:pStyle w:val="Heading2"/>
        <w:spacing w:after="120" w:before="300"/>
      </w:pPr>
      <w:r>
        <w:rPr>
          <w:b/>
          <w:bCs/>
          <w:color w:val="3F2E5C"/>
          <w:sz w:val="24"/>
          <w:szCs w:val="24"/>
        </w:rPr>
        <w:t xml:space="preserve">4.7 Onde os links aparecem</w:t>
      </w:r>
    </w:p>
    <w:p>
      <w:pPr>
        <w:spacing w:after="160" w:line="300"/>
      </w:pPr>
      <w:r>
        <w:rPr>
          <w:sz w:val="21"/>
          <w:szCs w:val="21"/>
        </w:rPr>
        <w:t xml:space="preserve">Reaproveitando canais que já existem no produto, sem precisar criar novas superfícies de UI do zero:</w:t>
      </w:r>
    </w:p>
    <w:p>
      <w:pPr>
        <w:pStyle w:val="ListParagraph"/>
        <w:numPr>
          <w:ilvl w:val="0"/>
          <w:numId w:val="2"/>
        </w:numPr>
        <w:spacing w:after="90" w:line="290"/>
      </w:pPr>
      <w:r>
        <w:rPr>
          <w:b/>
          <w:bCs/>
          <w:sz w:val="21"/>
          <w:szCs w:val="21"/>
        </w:rPr>
        <w:t xml:space="preserve">Tela de rotina — </w:t>
      </w:r>
      <w:r>
        <w:rPr>
          <w:sz w:val="21"/>
          <w:szCs w:val="21"/>
        </w:rPr>
        <w:t xml:space="preserve">cada RoutineStep ganha um cartão de produto recomendado (nome, preço, selo "testado"), com o link de afiliado. É a superfície de maior intenção — a pessoa já está olhando o passo a passo.</w:t>
      </w:r>
    </w:p>
    <w:p>
      <w:pPr>
        <w:pStyle w:val="ListParagraph"/>
        <w:numPr>
          <w:ilvl w:val="0"/>
          <w:numId w:val="2"/>
        </w:numPr>
        <w:spacing w:after="90" w:line="290"/>
      </w:pPr>
      <w:r>
        <w:rPr>
          <w:b/>
          <w:bCs/>
          <w:sz w:val="21"/>
          <w:szCs w:val="21"/>
        </w:rPr>
        <w:t xml:space="preserve">E-mail semanal (weekly-digest) — </w:t>
      </w:r>
      <w:r>
        <w:rPr>
          <w:sz w:val="21"/>
          <w:szCs w:val="21"/>
        </w:rPr>
        <w:t xml:space="preserve">já existe a infraestrutura de envio; um bloco "produtos da sua rotina" ou "kit da semana" pode ser adicionado sem novo canal de comunicação.</w:t>
      </w:r>
    </w:p>
    <w:p>
      <w:pPr>
        <w:pStyle w:val="ListParagraph"/>
        <w:numPr>
          <w:ilvl w:val="0"/>
          <w:numId w:val="2"/>
        </w:numPr>
        <w:spacing w:after="90" w:line="290"/>
      </w:pPr>
      <w:r>
        <w:rPr>
          <w:b/>
          <w:bCs/>
          <w:sz w:val="21"/>
          <w:szCs w:val="21"/>
        </w:rPr>
        <w:t xml:space="preserve">Push de reengajamento — </w:t>
      </w:r>
      <w:r>
        <w:rPr>
          <w:sz w:val="21"/>
          <w:szCs w:val="21"/>
        </w:rPr>
        <w:t xml:space="preserve">para quem não confirmou a rotina ou sumiu, um push pontual ("seu kit personalizado te espera") usando a infraestrutura de push já existente.</w:t>
      </w:r>
    </w:p>
    <w:p>
      <w:pPr>
        <w:pStyle w:val="ListParagraph"/>
        <w:numPr>
          <w:ilvl w:val="0"/>
          <w:numId w:val="2"/>
        </w:numPr>
        <w:spacing w:after="90" w:line="290"/>
      </w:pPr>
      <w:r>
        <w:rPr>
          <w:b/>
          <w:bCs/>
          <w:sz w:val="21"/>
          <w:szCs w:val="21"/>
        </w:rPr>
        <w:t xml:space="preserve">Aba de dicas (tips) — </w:t>
      </w:r>
      <w:r>
        <w:rPr>
          <w:sz w:val="21"/>
          <w:szCs w:val="21"/>
        </w:rPr>
        <w:t xml:space="preserve">conteúdo editorial que já existe pode linkar produtos relacionados ao tema do dia.</w:t>
      </w:r>
    </w:p>
    <w:p>
      <w:pPr>
        <w:spacing w:after="120"/>
      </w:pPr>
    </w:p>
    <w:p>
      <w:pPr>
        <w:pStyle w:val="Heading2"/>
        <w:spacing w:after="120" w:before="300"/>
      </w:pPr>
      <w:r>
        <w:rPr>
          <w:b/>
          <w:bCs/>
          <w:color w:val="3F2E5C"/>
          <w:sz w:val="24"/>
          <w:szCs w:val="24"/>
        </w:rPr>
        <w:t xml:space="preserve">4.8 Transparência e compliance</w:t>
      </w:r>
    </w:p>
    <w:p>
      <w:pPr>
        <w:spacing w:after="160" w:line="300"/>
      </w:pPr>
      <w:r>
        <w:rPr>
          <w:sz w:val="21"/>
          <w:szCs w:val="21"/>
        </w:rPr>
        <w:t xml:space="preserve">Como o produto lida com saúde/pele e o público é o consumidor final brasileiro, três pontos merecem atenção redobrada — nenhum deles é orientação jurídica, apenas mapeamento do que precisa ser validado com um advogado antes do lançamento:</w:t>
      </w:r>
    </w:p>
    <w:p>
      <w:pPr>
        <w:pStyle w:val="ListParagraph"/>
        <w:numPr>
          <w:ilvl w:val="0"/>
          <w:numId w:val="2"/>
        </w:numPr>
        <w:spacing w:after="90" w:line="290"/>
      </w:pPr>
      <w:r>
        <w:rPr>
          <w:b/>
          <w:bCs/>
          <w:sz w:val="21"/>
          <w:szCs w:val="21"/>
        </w:rPr>
        <w:t xml:space="preserve">Identificação clara do link patrocinado — </w:t>
      </w:r>
      <w:r>
        <w:rPr>
          <w:sz w:val="21"/>
          <w:szCs w:val="21"/>
        </w:rPr>
        <w:t xml:space="preserve">as regras de autorregulamentação publicitária no Brasil (CONAR) e o Código de Defesa do Consumidor exigem que conteúdo com intenção comercial seja identificável como tal. Um selo simples ("link de parceiro" ou "contém link de afiliado") ao lado de cada produto resolve isso sem poluir a experiência.</w:t>
      </w:r>
    </w:p>
    <w:p>
      <w:pPr>
        <w:pStyle w:val="ListParagraph"/>
        <w:numPr>
          <w:ilvl w:val="0"/>
          <w:numId w:val="2"/>
        </w:numPr>
        <w:spacing w:after="90" w:line="290"/>
      </w:pPr>
      <w:r>
        <w:rPr>
          <w:b/>
          <w:bCs/>
          <w:sz w:val="21"/>
          <w:szCs w:val="21"/>
        </w:rPr>
        <w:t xml:space="preserve">Sem promessa clínica indevida — </w:t>
      </w:r>
      <w:r>
        <w:rPr>
          <w:sz w:val="21"/>
          <w:szCs w:val="21"/>
        </w:rPr>
        <w:t xml:space="preserve">a recomendação de produto não pode soar como prescrição médica/dermatológica — o app já não faz isso na rotina atual (usa linguagem de "o que usar", não "diagnóstico"), então o módulo de afiliados deve manter o mesmo tom, mesmo com produto e preço na tela.</w:t>
      </w:r>
    </w:p>
    <w:p>
      <w:pPr>
        <w:pStyle w:val="ListParagraph"/>
        <w:numPr>
          <w:ilvl w:val="0"/>
          <w:numId w:val="2"/>
        </w:numPr>
        <w:spacing w:after="90" w:line="290"/>
      </w:pPr>
      <w:r>
        <w:rPr>
          <w:b/>
          <w:bCs/>
          <w:sz w:val="21"/>
          <w:szCs w:val="21"/>
        </w:rPr>
        <w:t xml:space="preserve">LGPD — </w:t>
      </w:r>
      <w:r>
        <w:rPr>
          <w:sz w:val="21"/>
          <w:szCs w:val="21"/>
        </w:rPr>
        <w:t xml:space="preserve">dado de perfil de pele (acne, sensibilidade, gravidez) é dado sensível de saúde. Usá-lo para personalizar recomendação de produto é uma nova finalidade de tratamento de dado que provavelmente precisa estar explícita no termo de consentimento/política de privacidade já aceitos no cadastro — vale revisão jurídica antes do lançamento.</w:t>
      </w:r>
    </w:p>
    <w:p>
      <w:pPr>
        <w:spacing w:after="120"/>
      </w:pPr>
    </w:p>
    <w:p>
      <w:pPr>
        <w:pStyle w:val="Heading2"/>
        <w:spacing w:after="120" w:before="300"/>
      </w:pPr>
      <w:r>
        <w:rPr>
          <w:b/>
          <w:bCs/>
          <w:color w:val="3F2E5C"/>
          <w:sz w:val="24"/>
          <w:szCs w:val="24"/>
        </w:rPr>
        <w:t xml:space="preserve">4.9 Métricas de sucesso</w:t>
      </w:r>
    </w:p>
    <w:tbl>
      <w:tblPr>
        <w:tblW w:type="dxa" w:w="9791"/>
        <w:tblBorders>
          <w:top w:val="single" w:color="CCCCCC" w:sz="2"/>
          <w:left w:val="single" w:color="CCCCCC" w:sz="2"/>
          <w:bottom w:val="single" w:color="CCCCCC" w:sz="2"/>
          <w:right w:val="single" w:color="CCCCCC" w:sz="2"/>
          <w:insideH w:val="single" w:color="E2DCF0" w:sz="2"/>
          <w:insideV w:val="single" w:color="E2DCF0" w:sz="2"/>
        </w:tblBorders>
      </w:tblPr>
      <w:tblGrid>
        <w:gridCol w:w="2735"/>
        <w:gridCol w:w="3744"/>
        <w:gridCol w:w="3312"/>
      </w:tblGrid>
      <w:tr>
        <w:trPr>
          <w:tblHeader/>
        </w:trPr>
        <w:tc>
          <w:tcPr>
            <w:tcW w:type="dxa" w:w="2735"/>
            <w:shd w:fill="6B4E9E" w:val="clear"/>
            <w:tcMar>
              <w:top w:type="dxa" w:w="100"/>
              <w:left w:type="dxa" w:w="120"/>
              <w:bottom w:type="dxa" w:w="100"/>
              <w:right w:type="dxa" w:w="120"/>
            </w:tcMar>
          </w:tcPr>
          <w:p>
            <w:r>
              <w:rPr>
                <w:b/>
                <w:bCs/>
                <w:color w:val="FFFFFF"/>
                <w:sz w:val="19"/>
                <w:szCs w:val="19"/>
              </w:rPr>
              <w:t xml:space="preserve">Métrica</w:t>
            </w:r>
          </w:p>
        </w:tc>
        <w:tc>
          <w:tcPr>
            <w:tcW w:type="dxa" w:w="3744"/>
            <w:shd w:fill="6B4E9E" w:val="clear"/>
            <w:tcMar>
              <w:top w:type="dxa" w:w="100"/>
              <w:left w:type="dxa" w:w="120"/>
              <w:bottom w:type="dxa" w:w="100"/>
              <w:right w:type="dxa" w:w="120"/>
            </w:tcMar>
          </w:tcPr>
          <w:p>
            <w:r>
              <w:rPr>
                <w:b/>
                <w:bCs/>
                <w:color w:val="FFFFFF"/>
                <w:sz w:val="19"/>
                <w:szCs w:val="19"/>
              </w:rPr>
              <w:t xml:space="preserve">O que mede</w:t>
            </w:r>
          </w:p>
        </w:tc>
        <w:tc>
          <w:tcPr>
            <w:tcW w:type="dxa" w:w="3312"/>
            <w:shd w:fill="6B4E9E" w:val="clear"/>
            <w:tcMar>
              <w:top w:type="dxa" w:w="100"/>
              <w:left w:type="dxa" w:w="120"/>
              <w:bottom w:type="dxa" w:w="100"/>
              <w:right w:type="dxa" w:w="120"/>
            </w:tcMar>
          </w:tcPr>
          <w:p>
            <w:r>
              <w:rPr>
                <w:b/>
                <w:bCs/>
                <w:color w:val="FFFFFF"/>
                <w:sz w:val="19"/>
                <w:szCs w:val="19"/>
              </w:rPr>
              <w:t xml:space="preserve">Meta sugerida para o MVP</w:t>
            </w:r>
          </w:p>
        </w:tc>
      </w:tr>
      <w:tr>
        <w:tc>
          <w:tcPr>
            <w:tcW w:type="dxa" w:w="2735"/>
            <w:shd w:fill="FFFFFF" w:val="clear"/>
            <w:tcMar>
              <w:top w:type="dxa" w:w="90"/>
              <w:left w:type="dxa" w:w="120"/>
              <w:bottom w:type="dxa" w:w="90"/>
              <w:right w:type="dxa" w:w="120"/>
            </w:tcMar>
          </w:tcPr>
          <w:p>
            <w:pPr>
              <w:spacing w:after="40"/>
            </w:pPr>
            <w:r>
              <w:rPr>
                <w:sz w:val="19"/>
                <w:szCs w:val="19"/>
              </w:rPr>
              <w:t xml:space="preserve">Taxa de clique no produto recomendado</w:t>
            </w:r>
          </w:p>
        </w:tc>
        <w:tc>
          <w:tcPr>
            <w:tcW w:type="dxa" w:w="3744"/>
            <w:shd w:fill="FFFFFF" w:val="clear"/>
            <w:tcMar>
              <w:top w:type="dxa" w:w="90"/>
              <w:left w:type="dxa" w:w="120"/>
              <w:bottom w:type="dxa" w:w="90"/>
              <w:right w:type="dxa" w:w="120"/>
            </w:tcMar>
          </w:tcPr>
          <w:p>
            <w:pPr>
              <w:spacing w:after="40"/>
            </w:pPr>
            <w:r>
              <w:rPr>
                <w:sz w:val="19"/>
                <w:szCs w:val="19"/>
              </w:rPr>
              <w:t xml:space="preserve">% de usuários com rotina confirmada que clicam em ao menos 1 link</w:t>
            </w:r>
          </w:p>
        </w:tc>
        <w:tc>
          <w:tcPr>
            <w:tcW w:type="dxa" w:w="3312"/>
            <w:shd w:fill="FFFFFF" w:val="clear"/>
            <w:tcMar>
              <w:top w:type="dxa" w:w="90"/>
              <w:left w:type="dxa" w:w="120"/>
              <w:bottom w:type="dxa" w:w="90"/>
              <w:right w:type="dxa" w:w="120"/>
            </w:tcMar>
          </w:tcPr>
          <w:p>
            <w:pPr>
              <w:spacing w:after="40"/>
            </w:pPr>
            <w:r>
              <w:rPr>
                <w:sz w:val="19"/>
                <w:szCs w:val="19"/>
              </w:rPr>
              <w:t xml:space="preserve">15–25% no primeiro trimestre</w:t>
            </w:r>
          </w:p>
        </w:tc>
      </w:tr>
      <w:tr>
        <w:tc>
          <w:tcPr>
            <w:tcW w:type="dxa" w:w="2735"/>
            <w:shd w:fill="F7F5FB" w:val="clear"/>
            <w:tcMar>
              <w:top w:type="dxa" w:w="90"/>
              <w:left w:type="dxa" w:w="120"/>
              <w:bottom w:type="dxa" w:w="90"/>
              <w:right w:type="dxa" w:w="120"/>
            </w:tcMar>
          </w:tcPr>
          <w:p>
            <w:pPr>
              <w:spacing w:after="40"/>
            </w:pPr>
            <w:r>
              <w:rPr>
                <w:sz w:val="19"/>
                <w:szCs w:val="19"/>
              </w:rPr>
              <w:t xml:space="preserve">Taxa de conversão (clique → compra)</w:t>
            </w:r>
          </w:p>
        </w:tc>
        <w:tc>
          <w:tcPr>
            <w:tcW w:type="dxa" w:w="3744"/>
            <w:shd w:fill="F7F5FB" w:val="clear"/>
            <w:tcMar>
              <w:top w:type="dxa" w:w="90"/>
              <w:left w:type="dxa" w:w="120"/>
              <w:bottom w:type="dxa" w:w="90"/>
              <w:right w:type="dxa" w:w="120"/>
            </w:tcMar>
          </w:tcPr>
          <w:p>
            <w:pPr>
              <w:spacing w:after="40"/>
            </w:pPr>
            <w:r>
              <w:rPr>
                <w:sz w:val="19"/>
                <w:szCs w:val="19"/>
              </w:rPr>
              <w:t xml:space="preserve">Eficácia real do link — depende de cada rede reportar corretamente</w:t>
            </w:r>
          </w:p>
        </w:tc>
        <w:tc>
          <w:tcPr>
            <w:tcW w:type="dxa" w:w="3312"/>
            <w:shd w:fill="F7F5FB" w:val="clear"/>
            <w:tcMar>
              <w:top w:type="dxa" w:w="90"/>
              <w:left w:type="dxa" w:w="120"/>
              <w:bottom w:type="dxa" w:w="90"/>
              <w:right w:type="dxa" w:w="120"/>
            </w:tcMar>
          </w:tcPr>
          <w:p>
            <w:pPr>
              <w:spacing w:after="40"/>
            </w:pPr>
            <w:r>
              <w:rPr>
                <w:sz w:val="19"/>
                <w:szCs w:val="19"/>
              </w:rPr>
              <w:t xml:space="preserve">Benchmark de mercado de afiliados de beleza; medir e ajustar catálogo por categoria</w:t>
            </w:r>
          </w:p>
        </w:tc>
      </w:tr>
      <w:tr>
        <w:tc>
          <w:tcPr>
            <w:tcW w:type="dxa" w:w="2735"/>
            <w:shd w:fill="FFFFFF" w:val="clear"/>
            <w:tcMar>
              <w:top w:type="dxa" w:w="90"/>
              <w:left w:type="dxa" w:w="120"/>
              <w:bottom w:type="dxa" w:w="90"/>
              <w:right w:type="dxa" w:w="120"/>
            </w:tcMar>
          </w:tcPr>
          <w:p>
            <w:pPr>
              <w:spacing w:after="40"/>
            </w:pPr>
            <w:r>
              <w:rPr>
                <w:sz w:val="19"/>
                <w:szCs w:val="19"/>
              </w:rPr>
              <w:t xml:space="preserve">Receita por usuário ativo (RPU)</w:t>
            </w:r>
          </w:p>
        </w:tc>
        <w:tc>
          <w:tcPr>
            <w:tcW w:type="dxa" w:w="3744"/>
            <w:shd w:fill="FFFFFF" w:val="clear"/>
            <w:tcMar>
              <w:top w:type="dxa" w:w="90"/>
              <w:left w:type="dxa" w:w="120"/>
              <w:bottom w:type="dxa" w:w="90"/>
              <w:right w:type="dxa" w:w="120"/>
            </w:tcMar>
          </w:tcPr>
          <w:p>
            <w:pPr>
              <w:spacing w:after="40"/>
            </w:pPr>
            <w:r>
              <w:rPr>
                <w:sz w:val="19"/>
                <w:szCs w:val="19"/>
              </w:rPr>
              <w:t xml:space="preserve">Comissão total ÷ usuários ativos no mês</w:t>
            </w:r>
          </w:p>
        </w:tc>
        <w:tc>
          <w:tcPr>
            <w:tcW w:type="dxa" w:w="3312"/>
            <w:shd w:fill="FFFFFF" w:val="clear"/>
            <w:tcMar>
              <w:top w:type="dxa" w:w="90"/>
              <w:left w:type="dxa" w:w="120"/>
              <w:bottom w:type="dxa" w:w="90"/>
              <w:right w:type="dxa" w:w="120"/>
            </w:tcMar>
          </w:tcPr>
          <w:p>
            <w:pPr>
              <w:spacing w:after="40"/>
            </w:pPr>
            <w:r>
              <w:rPr>
                <w:sz w:val="19"/>
                <w:szCs w:val="19"/>
              </w:rPr>
              <w:t xml:space="preserve">Definir baseline no mês 1, meta de crescimento trimestral</w:t>
            </w:r>
          </w:p>
        </w:tc>
      </w:tr>
      <w:tr>
        <w:tc>
          <w:tcPr>
            <w:tcW w:type="dxa" w:w="2735"/>
            <w:shd w:fill="F7F5FB" w:val="clear"/>
            <w:tcMar>
              <w:top w:type="dxa" w:w="90"/>
              <w:left w:type="dxa" w:w="120"/>
              <w:bottom w:type="dxa" w:w="90"/>
              <w:right w:type="dxa" w:w="120"/>
            </w:tcMar>
          </w:tcPr>
          <w:p>
            <w:pPr>
              <w:spacing w:after="40"/>
            </w:pPr>
            <w:r>
              <w:rPr>
                <w:sz w:val="19"/>
                <w:szCs w:val="19"/>
              </w:rPr>
              <w:t xml:space="preserve">Cobertura de catálogo</w:t>
            </w:r>
          </w:p>
        </w:tc>
        <w:tc>
          <w:tcPr>
            <w:tcW w:type="dxa" w:w="3744"/>
            <w:shd w:fill="F7F5FB" w:val="clear"/>
            <w:tcMar>
              <w:top w:type="dxa" w:w="90"/>
              <w:left w:type="dxa" w:w="120"/>
              <w:bottom w:type="dxa" w:w="90"/>
              <w:right w:type="dxa" w:w="120"/>
            </w:tcMar>
          </w:tcPr>
          <w:p>
            <w:pPr>
              <w:spacing w:after="40"/>
            </w:pPr>
            <w:r>
              <w:rPr>
                <w:sz w:val="19"/>
                <w:szCs w:val="19"/>
              </w:rPr>
              <w:t xml:space="preserve">% das etapas de rotina geradas que têm produto recomendado disponível</w:t>
            </w:r>
          </w:p>
        </w:tc>
        <w:tc>
          <w:tcPr>
            <w:tcW w:type="dxa" w:w="3312"/>
            <w:shd w:fill="F7F5FB" w:val="clear"/>
            <w:tcMar>
              <w:top w:type="dxa" w:w="90"/>
              <w:left w:type="dxa" w:w="120"/>
              <w:bottom w:type="dxa" w:w="90"/>
              <w:right w:type="dxa" w:w="120"/>
            </w:tcMar>
          </w:tcPr>
          <w:p>
            <w:pPr>
              <w:spacing w:after="40"/>
            </w:pPr>
            <w:r>
              <w:rPr>
                <w:sz w:val="19"/>
                <w:szCs w:val="19"/>
              </w:rPr>
              <w:t xml:space="preserve">≥ 80% das categorias mais comuns (limpador, hidratante, protetor solar, ativos)</w:t>
            </w:r>
          </w:p>
        </w:tc>
      </w:tr>
    </w:tbl>
    <w:p>
      <w:pPr>
        <w:spacing w:after="80"/>
      </w:pPr>
    </w:p>
    <w:p>
      <w:pPr>
        <w:pStyle w:val="Heading2"/>
        <w:spacing w:after="120" w:before="300"/>
      </w:pPr>
      <w:r>
        <w:rPr>
          <w:b/>
          <w:bCs/>
          <w:color w:val="3F2E5C"/>
          <w:sz w:val="24"/>
          <w:szCs w:val="24"/>
        </w:rPr>
        <w:t xml:space="preserve">4.10 Roadmap por fases</w:t>
      </w:r>
    </w:p>
    <w:tbl>
      <w:tblPr>
        <w:tblW w:type="dxa" w:w="9792"/>
        <w:tblBorders>
          <w:top w:val="single" w:color="CCCCCC" w:sz="2"/>
          <w:left w:val="single" w:color="CCCCCC" w:sz="2"/>
          <w:bottom w:val="single" w:color="CCCCCC" w:sz="2"/>
          <w:right w:val="single" w:color="CCCCCC" w:sz="2"/>
          <w:insideH w:val="single" w:color="E2DCF0" w:sz="2"/>
          <w:insideV w:val="single" w:color="E2DCF0" w:sz="2"/>
        </w:tblBorders>
      </w:tblPr>
      <w:tblGrid>
        <w:gridCol w:w="1440"/>
        <w:gridCol w:w="6048"/>
        <w:gridCol w:w="2304"/>
      </w:tblGrid>
      <w:tr>
        <w:trPr>
          <w:tblHeader/>
        </w:trPr>
        <w:tc>
          <w:tcPr>
            <w:tcW w:type="dxa" w:w="1440"/>
            <w:shd w:fill="6B4E9E" w:val="clear"/>
            <w:tcMar>
              <w:top w:type="dxa" w:w="100"/>
              <w:left w:type="dxa" w:w="120"/>
              <w:bottom w:type="dxa" w:w="100"/>
              <w:right w:type="dxa" w:w="120"/>
            </w:tcMar>
          </w:tcPr>
          <w:p>
            <w:r>
              <w:rPr>
                <w:b/>
                <w:bCs/>
                <w:color w:val="FFFFFF"/>
                <w:sz w:val="19"/>
                <w:szCs w:val="19"/>
              </w:rPr>
              <w:t xml:space="preserve">Fase</w:t>
            </w:r>
          </w:p>
        </w:tc>
        <w:tc>
          <w:tcPr>
            <w:tcW w:type="dxa" w:w="6048"/>
            <w:shd w:fill="6B4E9E" w:val="clear"/>
            <w:tcMar>
              <w:top w:type="dxa" w:w="100"/>
              <w:left w:type="dxa" w:w="120"/>
              <w:bottom w:type="dxa" w:w="100"/>
              <w:right w:type="dxa" w:w="120"/>
            </w:tcMar>
          </w:tcPr>
          <w:p>
            <w:r>
              <w:rPr>
                <w:b/>
                <w:bCs/>
                <w:color w:val="FFFFFF"/>
                <w:sz w:val="19"/>
                <w:szCs w:val="19"/>
              </w:rPr>
              <w:t xml:space="preserve">Escopo</w:t>
            </w:r>
          </w:p>
        </w:tc>
        <w:tc>
          <w:tcPr>
            <w:tcW w:type="dxa" w:w="2304"/>
            <w:shd w:fill="6B4E9E" w:val="clear"/>
            <w:tcMar>
              <w:top w:type="dxa" w:w="100"/>
              <w:left w:type="dxa" w:w="120"/>
              <w:bottom w:type="dxa" w:w="100"/>
              <w:right w:type="dxa" w:w="120"/>
            </w:tcMar>
          </w:tcPr>
          <w:p>
            <w:r>
              <w:rPr>
                <w:b/>
                <w:bCs/>
                <w:color w:val="FFFFFF"/>
                <w:sz w:val="19"/>
                <w:szCs w:val="19"/>
              </w:rPr>
              <w:t xml:space="preserve">Duração estimada</w:t>
            </w:r>
          </w:p>
        </w:tc>
      </w:tr>
      <w:tr>
        <w:tc>
          <w:tcPr>
            <w:tcW w:type="dxa" w:w="1440"/>
            <w:shd w:fill="FFFFFF" w:val="clear"/>
            <w:tcMar>
              <w:top w:type="dxa" w:w="90"/>
              <w:left w:type="dxa" w:w="120"/>
              <w:bottom w:type="dxa" w:w="90"/>
              <w:right w:type="dxa" w:w="120"/>
            </w:tcMar>
          </w:tcPr>
          <w:p>
            <w:pPr>
              <w:spacing w:after="40"/>
            </w:pPr>
            <w:r>
              <w:rPr>
                <w:sz w:val="19"/>
                <w:szCs w:val="19"/>
              </w:rPr>
              <w:t xml:space="preserve">MVP</w:t>
            </w:r>
          </w:p>
        </w:tc>
        <w:tc>
          <w:tcPr>
            <w:tcW w:type="dxa" w:w="6048"/>
            <w:shd w:fill="FFFFFF" w:val="clear"/>
            <w:tcMar>
              <w:top w:type="dxa" w:w="90"/>
              <w:left w:type="dxa" w:w="120"/>
              <w:bottom w:type="dxa" w:w="90"/>
              <w:right w:type="dxa" w:w="120"/>
            </w:tcMar>
          </w:tcPr>
          <w:p>
            <w:pPr>
              <w:spacing w:after="40"/>
            </w:pPr>
            <w:r>
              <w:rPr>
                <w:sz w:val="19"/>
                <w:szCs w:val="19"/>
              </w:rPr>
              <w:t xml:space="preserve">Catálogo inicial (30–50 produtos, 2–3 marcas por categoria) via Awin + Amazon Associados. Matching determinístico simples (categoria + budget_level). Cartão de produto na tela de rotina.</w:t>
            </w:r>
          </w:p>
        </w:tc>
        <w:tc>
          <w:tcPr>
            <w:tcW w:type="dxa" w:w="2304"/>
            <w:shd w:fill="FFFFFF" w:val="clear"/>
            <w:tcMar>
              <w:top w:type="dxa" w:w="90"/>
              <w:left w:type="dxa" w:w="120"/>
              <w:bottom w:type="dxa" w:w="90"/>
              <w:right w:type="dxa" w:w="120"/>
            </w:tcMar>
          </w:tcPr>
          <w:p>
            <w:pPr>
              <w:spacing w:after="40"/>
            </w:pPr>
            <w:r>
              <w:rPr>
                <w:sz w:val="19"/>
                <w:szCs w:val="19"/>
              </w:rPr>
              <w:t xml:space="preserve">4–6 semanas</w:t>
            </w:r>
          </w:p>
        </w:tc>
      </w:tr>
      <w:tr>
        <w:tc>
          <w:tcPr>
            <w:tcW w:type="dxa" w:w="1440"/>
            <w:shd w:fill="F7F5FB" w:val="clear"/>
            <w:tcMar>
              <w:top w:type="dxa" w:w="90"/>
              <w:left w:type="dxa" w:w="120"/>
              <w:bottom w:type="dxa" w:w="90"/>
              <w:right w:type="dxa" w:w="120"/>
            </w:tcMar>
          </w:tcPr>
          <w:p>
            <w:pPr>
              <w:spacing w:after="40"/>
            </w:pPr>
            <w:r>
              <w:rPr>
                <w:sz w:val="19"/>
                <w:szCs w:val="19"/>
              </w:rPr>
              <w:t xml:space="preserve">V1</w:t>
            </w:r>
          </w:p>
        </w:tc>
        <w:tc>
          <w:tcPr>
            <w:tcW w:type="dxa" w:w="6048"/>
            <w:shd w:fill="F7F5FB" w:val="clear"/>
            <w:tcMar>
              <w:top w:type="dxa" w:w="90"/>
              <w:left w:type="dxa" w:w="120"/>
              <w:bottom w:type="dxa" w:w="90"/>
              <w:right w:type="dxa" w:w="120"/>
            </w:tcMar>
          </w:tcPr>
          <w:p>
            <w:pPr>
              <w:spacing w:after="40"/>
            </w:pPr>
            <w:r>
              <w:rPr>
                <w:sz w:val="19"/>
                <w:szCs w:val="19"/>
              </w:rPr>
              <w:t xml:space="preserve">Kits prontos. Bloco de produtos no e-mail semanal. Push de reengajamento com produto/kit. Painel interno simples de cliques/receita por marca.</w:t>
            </w:r>
          </w:p>
        </w:tc>
        <w:tc>
          <w:tcPr>
            <w:tcW w:type="dxa" w:w="2304"/>
            <w:shd w:fill="F7F5FB" w:val="clear"/>
            <w:tcMar>
              <w:top w:type="dxa" w:w="90"/>
              <w:left w:type="dxa" w:w="120"/>
              <w:bottom w:type="dxa" w:w="90"/>
              <w:right w:type="dxa" w:w="120"/>
            </w:tcMar>
          </w:tcPr>
          <w:p>
            <w:pPr>
              <w:spacing w:after="40"/>
            </w:pPr>
            <w:r>
              <w:rPr>
                <w:sz w:val="19"/>
                <w:szCs w:val="19"/>
              </w:rPr>
              <w:t xml:space="preserve">+3–4 semanas</w:t>
            </w:r>
          </w:p>
        </w:tc>
      </w:tr>
      <w:tr>
        <w:tc>
          <w:tcPr>
            <w:tcW w:type="dxa" w:w="1440"/>
            <w:shd w:fill="FFFFFF" w:val="clear"/>
            <w:tcMar>
              <w:top w:type="dxa" w:w="90"/>
              <w:left w:type="dxa" w:w="120"/>
              <w:bottom w:type="dxa" w:w="90"/>
              <w:right w:type="dxa" w:w="120"/>
            </w:tcMar>
          </w:tcPr>
          <w:p>
            <w:pPr>
              <w:spacing w:after="40"/>
            </w:pPr>
            <w:r>
              <w:rPr>
                <w:sz w:val="19"/>
                <w:szCs w:val="19"/>
              </w:rPr>
              <w:t xml:space="preserve">V2</w:t>
            </w:r>
          </w:p>
        </w:tc>
        <w:tc>
          <w:tcPr>
            <w:tcW w:type="dxa" w:w="6048"/>
            <w:shd w:fill="FFFFFF" w:val="clear"/>
            <w:tcMar>
              <w:top w:type="dxa" w:w="90"/>
              <w:left w:type="dxa" w:w="120"/>
              <w:bottom w:type="dxa" w:w="90"/>
              <w:right w:type="dxa" w:w="120"/>
            </w:tcMar>
          </w:tcPr>
          <w:p>
            <w:pPr>
              <w:spacing w:after="40"/>
            </w:pPr>
            <w:r>
              <w:rPr>
                <w:sz w:val="19"/>
                <w:szCs w:val="19"/>
              </w:rPr>
              <w:t xml:space="preserve">Negociação direta com 2–3 laboratórios dermocosméticos com base em dado de conversão real. Justificativa gerada por IA ("por que esse produto") por cima do matching determinístico. Testes A/B de posicionamento do link.</w:t>
            </w:r>
          </w:p>
        </w:tc>
        <w:tc>
          <w:tcPr>
            <w:tcW w:type="dxa" w:w="2304"/>
            <w:shd w:fill="FFFFFF" w:val="clear"/>
            <w:tcMar>
              <w:top w:type="dxa" w:w="90"/>
              <w:left w:type="dxa" w:w="120"/>
              <w:bottom w:type="dxa" w:w="90"/>
              <w:right w:type="dxa" w:w="120"/>
            </w:tcMar>
          </w:tcPr>
          <w:p>
            <w:pPr>
              <w:spacing w:after="40"/>
            </w:pPr>
            <w:r>
              <w:rPr>
                <w:sz w:val="19"/>
                <w:szCs w:val="19"/>
              </w:rPr>
              <w:t xml:space="preserve">+4–6 semanas</w:t>
            </w:r>
          </w:p>
        </w:tc>
      </w:tr>
    </w:tbl>
    <w:p>
      <w:pPr>
        <w:spacing w:after="120"/>
      </w:pPr>
    </w:p>
    <w:p>
      <w:r>
        <w:br w:type="page"/>
      </w:r>
    </w:p>
    <w:p>
      <w:pPr>
        <w:pStyle w:val="Heading1"/>
        <w:pBdr>
          <w:bottom w:val="single" w:color="6B4E9E" w:sz="6" w:space="4"/>
        </w:pBdr>
        <w:spacing w:after="160" w:before="420"/>
      </w:pPr>
      <w:r>
        <w:rPr>
          <w:b/>
          <w:bCs/>
          <w:color w:val="3F2E5C"/>
          <w:sz w:val="30"/>
          <w:szCs w:val="30"/>
        </w:rPr>
        <w:t xml:space="preserve">5. Módulo 2 — Portal B2B para Clínicas</w:t>
      </w:r>
    </w:p>
    <w:p>
      <w:pPr>
        <w:pStyle w:val="Heading2"/>
        <w:spacing w:after="120" w:before="300"/>
      </w:pPr>
      <w:r>
        <w:rPr>
          <w:b/>
          <w:bCs/>
          <w:color w:val="3F2E5C"/>
          <w:sz w:val="24"/>
          <w:szCs w:val="24"/>
        </w:rPr>
        <w:t xml:space="preserve">5.1 Objetivo e público-alvo (ICP)</w:t>
      </w:r>
    </w:p>
    <w:p>
      <w:pPr>
        <w:spacing w:after="160" w:line="300"/>
      </w:pPr>
      <w:r>
        <w:rPr>
          <w:sz w:val="21"/>
          <w:szCs w:val="21"/>
        </w:rPr>
        <w:t xml:space="preserve">A tese é vender a Zion Skincare como ferramenta de acompanhamento para quem já presta o serviço de cuidado com a pele profissionalmente — a clínica ganha um canal de relacionamento contínuo com o paciente entre as sessões presenciais, e o paciente ganha orientação diária gerada por IA, supervisionada pela própria clínica.</w:t>
      </w:r>
    </w:p>
    <w:p>
      <w:pPr>
        <w:pStyle w:val="ListParagraph"/>
        <w:numPr>
          <w:ilvl w:val="0"/>
          <w:numId w:val="2"/>
        </w:numPr>
        <w:spacing w:after="90" w:line="290"/>
      </w:pPr>
      <w:r>
        <w:rPr>
          <w:b/>
          <w:bCs/>
          <w:sz w:val="21"/>
          <w:szCs w:val="21"/>
        </w:rPr>
        <w:t xml:space="preserve">Perfil primário — </w:t>
      </w:r>
      <w:r>
        <w:rPr>
          <w:sz w:val="21"/>
          <w:szCs w:val="21"/>
        </w:rPr>
        <w:t xml:space="preserve">clínicas de estética de pequeno e médio porte (1–10 profissionais) e esteticistas com consultório próprio, que hoje não têm nenhuma ferramenta digital de acompanhamento entre sessões.</w:t>
      </w:r>
    </w:p>
    <w:p>
      <w:pPr>
        <w:pStyle w:val="ListParagraph"/>
        <w:numPr>
          <w:ilvl w:val="0"/>
          <w:numId w:val="2"/>
        </w:numPr>
        <w:spacing w:after="90" w:line="290"/>
      </w:pPr>
      <w:r>
        <w:rPr>
          <w:b/>
          <w:bCs/>
          <w:sz w:val="21"/>
          <w:szCs w:val="21"/>
        </w:rPr>
        <w:t xml:space="preserve">Perfil secundário — </w:t>
      </w:r>
      <w:r>
        <w:rPr>
          <w:sz w:val="21"/>
          <w:szCs w:val="21"/>
        </w:rPr>
        <w:t xml:space="preserve">dermatologistas e consultórios médicos, com uma exigência adicional: qualquer linguagem de "diagnóstico" precisa ficar ainda mais claramente delimitada como apoio, não substituição do parecer médico.</w:t>
      </w:r>
    </w:p>
    <w:p>
      <w:pPr>
        <w:spacing w:after="160" w:line="300"/>
      </w:pPr>
      <w:r>
        <w:rPr>
          <w:sz w:val="21"/>
          <w:szCs w:val="21"/>
        </w:rPr>
        <w:t xml:space="preserve">Como você definiu, o modelo é a clínica trazendo pacientes novos — ou seja, a Zion Skincare vende para a clínica, e a clínica é quem cadastra e gerencia sua própria base de pacientes dentro do produto. Isso simplifica a primeira versão: não é preciso resolver, ainda, o caso de um usuário B2C existente pedir para vincular a própria conta a uma clínica — esse é um cenário de v2, não do MVP.</w:t>
      </w:r>
    </w:p>
    <w:p>
      <w:pPr>
        <w:pStyle w:val="Heading2"/>
        <w:spacing w:after="120" w:before="300"/>
      </w:pPr>
      <w:r>
        <w:rPr>
          <w:b/>
          <w:bCs/>
          <w:color w:val="3F2E5C"/>
          <w:sz w:val="24"/>
          <w:szCs w:val="24"/>
        </w:rPr>
        <w:t xml:space="preserve">5.2 Modelo de negócio</w:t>
      </w:r>
    </w:p>
    <w:p>
      <w:pPr>
        <w:spacing w:after="160" w:line="300"/>
      </w:pPr>
      <w:r>
        <w:rPr>
          <w:sz w:val="21"/>
          <w:szCs w:val="21"/>
        </w:rPr>
        <w:t xml:space="preserve">B2B2C clássico: a clínica é a cliente pagante (compra "assentos" — um por paciente ativo), e o paciente é o usuário final, sem necessariamente pagar nada diretamente à Zion Skincare. Isso muda o motor de receita do zero: hoje toda receita vem de assinatura individual via Paddle/Stripe; no B2B, a cobrança é feita à clínica (provavelmente fatura mensal por número de assentos ativos, não checkout self-service no primeiro momento — ciclo de venda B2B costuma precisar de contato humano e contrato).</w:t>
      </w:r>
    </w:p>
    <w:tbl>
      <w:tblPr>
        <w:tblW w:type="pct" w:w="100%"/>
        <w:tblBorders>
          <w:top w:val="single" w:color="6B4E9E" w:sz="4"/>
          <w:left w:val="single" w:color="6B4E9E" w:sz="4"/>
          <w:bottom w:val="single" w:color="6B4E9E" w:sz="4"/>
          <w:right w:val="single" w:color="6B4E9E" w:sz="4"/>
          <w:insideH w:val="none" w:color="FFFFFF" w:sz="0"/>
          <w:insideV w:val="none" w:color="FFFFFF" w:sz="0"/>
        </w:tblBorders>
      </w:tblPr>
      <w:tblGrid>
        <w:gridCol w:w="100"/>
      </w:tblGrid>
      <w:tr>
        <w:tc>
          <w:tcPr>
            <w:shd w:fill="F3EFFA" w:val="clear"/>
            <w:tcMar>
              <w:top w:type="dxa" w:w="160"/>
              <w:left w:type="dxa" w:w="200"/>
              <w:bottom w:type="dxa" w:w="160"/>
              <w:right w:type="dxa" w:w="200"/>
            </w:tcMar>
          </w:tcPr>
          <w:p>
            <w:pPr>
              <w:spacing w:after="60"/>
            </w:pPr>
            <w:r>
              <w:rPr>
                <w:b/>
                <w:bCs/>
                <w:color w:val="3F2E5C"/>
                <w:sz w:val="20"/>
                <w:szCs w:val="20"/>
              </w:rPr>
              <w:t xml:space="preserve">Decisão de escopo já tomada</w:t>
            </w:r>
          </w:p>
          <w:p>
            <w:pPr>
              <w:spacing/>
            </w:pPr>
            <w:r>
              <w:rPr>
                <w:color w:val="333333"/>
                <w:sz w:val="20"/>
                <w:szCs w:val="20"/>
              </w:rPr>
              <w:t xml:space="preserve">Sem domínio/subdomínio próprio por clínica no lançamento — branding leve (logo + cor primária) dentro do domínio atual (app.zionskincare.com.br ou equivalente). Isso evita o custo de DNS wildcard, certificado por tenant e suporte técnico de configuração de CNAME, e ainda assim entrega a sensação de "ambiente da clínica" para o paciente.</w:t>
            </w:r>
          </w:p>
        </w:tc>
      </w:tr>
    </w:tbl>
    <w:p>
      <w:pPr>
        <w:spacing w:after="120"/>
      </w:pPr>
    </w:p>
    <w:p>
      <w:pPr>
        <w:pStyle w:val="Heading2"/>
        <w:spacing w:after="120" w:before="300"/>
      </w:pPr>
      <w:r>
        <w:rPr>
          <w:b/>
          <w:bCs/>
          <w:color w:val="3F2E5C"/>
          <w:sz w:val="24"/>
          <w:szCs w:val="24"/>
        </w:rPr>
        <w:t xml:space="preserve">5.3 Modelo de dados proposto</w:t>
      </w:r>
    </w:p>
    <w:tbl>
      <w:tblPr>
        <w:tblW w:type="dxa" w:w="9792"/>
        <w:tblBorders>
          <w:top w:val="single" w:color="CCCCCC" w:sz="2"/>
          <w:left w:val="single" w:color="CCCCCC" w:sz="2"/>
          <w:bottom w:val="single" w:color="CCCCCC" w:sz="2"/>
          <w:right w:val="single" w:color="CCCCCC" w:sz="2"/>
          <w:insideH w:val="single" w:color="E2DCF0" w:sz="2"/>
          <w:insideV w:val="single" w:color="E2DCF0" w:sz="2"/>
        </w:tblBorders>
      </w:tblPr>
      <w:tblGrid>
        <w:gridCol w:w="1872"/>
        <w:gridCol w:w="3744"/>
        <w:gridCol w:w="4176"/>
      </w:tblGrid>
      <w:tr>
        <w:trPr>
          <w:tblHeader/>
        </w:trPr>
        <w:tc>
          <w:tcPr>
            <w:tcW w:type="dxa" w:w="1872"/>
            <w:shd w:fill="6B4E9E" w:val="clear"/>
            <w:tcMar>
              <w:top w:type="dxa" w:w="100"/>
              <w:left w:type="dxa" w:w="120"/>
              <w:bottom w:type="dxa" w:w="100"/>
              <w:right w:type="dxa" w:w="120"/>
            </w:tcMar>
          </w:tcPr>
          <w:p>
            <w:r>
              <w:rPr>
                <w:b/>
                <w:bCs/>
                <w:color w:val="FFFFFF"/>
                <w:sz w:val="19"/>
                <w:szCs w:val="19"/>
              </w:rPr>
              <w:t xml:space="preserve">Tabela</w:t>
            </w:r>
          </w:p>
        </w:tc>
        <w:tc>
          <w:tcPr>
            <w:tcW w:type="dxa" w:w="3744"/>
            <w:shd w:fill="6B4E9E" w:val="clear"/>
            <w:tcMar>
              <w:top w:type="dxa" w:w="100"/>
              <w:left w:type="dxa" w:w="120"/>
              <w:bottom w:type="dxa" w:w="100"/>
              <w:right w:type="dxa" w:w="120"/>
            </w:tcMar>
          </w:tcPr>
          <w:p>
            <w:r>
              <w:rPr>
                <w:b/>
                <w:bCs/>
                <w:color w:val="FFFFFF"/>
                <w:sz w:val="19"/>
                <w:szCs w:val="19"/>
              </w:rPr>
              <w:t xml:space="preserve">Função</w:t>
            </w:r>
          </w:p>
        </w:tc>
        <w:tc>
          <w:tcPr>
            <w:tcW w:type="dxa" w:w="4176"/>
            <w:shd w:fill="6B4E9E" w:val="clear"/>
            <w:tcMar>
              <w:top w:type="dxa" w:w="100"/>
              <w:left w:type="dxa" w:w="120"/>
              <w:bottom w:type="dxa" w:w="100"/>
              <w:right w:type="dxa" w:w="120"/>
            </w:tcMar>
          </w:tcPr>
          <w:p>
            <w:r>
              <w:rPr>
                <w:b/>
                <w:bCs/>
                <w:color w:val="FFFFFF"/>
                <w:sz w:val="19"/>
                <w:szCs w:val="19"/>
              </w:rPr>
              <w:t xml:space="preserve">Campos-chave</w:t>
            </w:r>
          </w:p>
        </w:tc>
      </w:tr>
      <w:tr>
        <w:tc>
          <w:tcPr>
            <w:tcW w:type="dxa" w:w="1872"/>
            <w:shd w:fill="FFFFFF" w:val="clear"/>
            <w:tcMar>
              <w:top w:type="dxa" w:w="90"/>
              <w:left w:type="dxa" w:w="120"/>
              <w:bottom w:type="dxa" w:w="90"/>
              <w:right w:type="dxa" w:w="120"/>
            </w:tcMar>
          </w:tcPr>
          <w:p>
            <w:pPr>
              <w:spacing w:after="40"/>
            </w:pPr>
            <w:r>
              <w:rPr>
                <w:sz w:val="19"/>
                <w:szCs w:val="19"/>
              </w:rPr>
              <w:t xml:space="preserve">clinics</w:t>
            </w:r>
          </w:p>
        </w:tc>
        <w:tc>
          <w:tcPr>
            <w:tcW w:type="dxa" w:w="3744"/>
            <w:shd w:fill="FFFFFF" w:val="clear"/>
            <w:tcMar>
              <w:top w:type="dxa" w:w="90"/>
              <w:left w:type="dxa" w:w="120"/>
              <w:bottom w:type="dxa" w:w="90"/>
              <w:right w:type="dxa" w:w="120"/>
            </w:tcMar>
          </w:tcPr>
          <w:p>
            <w:pPr>
              <w:spacing w:after="40"/>
            </w:pPr>
            <w:r>
              <w:rPr>
                <w:sz w:val="19"/>
                <w:szCs w:val="19"/>
              </w:rPr>
              <w:t xml:space="preserve">A entidade "tenant" — uma clínica cliente</w:t>
            </w:r>
          </w:p>
        </w:tc>
        <w:tc>
          <w:tcPr>
            <w:tcW w:type="dxa" w:w="4176"/>
            <w:shd w:fill="FFFFFF" w:val="clear"/>
            <w:tcMar>
              <w:top w:type="dxa" w:w="90"/>
              <w:left w:type="dxa" w:w="120"/>
              <w:bottom w:type="dxa" w:w="90"/>
              <w:right w:type="dxa" w:w="120"/>
            </w:tcMar>
          </w:tcPr>
          <w:p>
            <w:pPr>
              <w:spacing w:after="40"/>
            </w:pPr>
            <w:r>
              <w:rPr>
                <w:sz w:val="19"/>
                <w:szCs w:val="19"/>
              </w:rPr>
              <w:t xml:space="preserve">nome, slug interno, logo_url, cor_primaria, plano/nº de assentos contratados, status</w:t>
            </w:r>
          </w:p>
        </w:tc>
      </w:tr>
      <w:tr>
        <w:tc>
          <w:tcPr>
            <w:tcW w:type="dxa" w:w="1872"/>
            <w:shd w:fill="F7F5FB" w:val="clear"/>
            <w:tcMar>
              <w:top w:type="dxa" w:w="90"/>
              <w:left w:type="dxa" w:w="120"/>
              <w:bottom w:type="dxa" w:w="90"/>
              <w:right w:type="dxa" w:w="120"/>
            </w:tcMar>
          </w:tcPr>
          <w:p>
            <w:pPr>
              <w:spacing w:after="40"/>
            </w:pPr>
            <w:r>
              <w:rPr>
                <w:sz w:val="19"/>
                <w:szCs w:val="19"/>
              </w:rPr>
              <w:t xml:space="preserve">clinic_staff</w:t>
            </w:r>
          </w:p>
        </w:tc>
        <w:tc>
          <w:tcPr>
            <w:tcW w:type="dxa" w:w="3744"/>
            <w:shd w:fill="F7F5FB" w:val="clear"/>
            <w:tcMar>
              <w:top w:type="dxa" w:w="90"/>
              <w:left w:type="dxa" w:w="120"/>
              <w:bottom w:type="dxa" w:w="90"/>
              <w:right w:type="dxa" w:w="120"/>
            </w:tcMar>
          </w:tcPr>
          <w:p>
            <w:pPr>
              <w:spacing w:after="40"/>
            </w:pPr>
            <w:r>
              <w:rPr>
                <w:sz w:val="19"/>
                <w:szCs w:val="19"/>
              </w:rPr>
              <w:t xml:space="preserve">Profissionais com acesso ao painel da clínica</w:t>
            </w:r>
          </w:p>
        </w:tc>
        <w:tc>
          <w:tcPr>
            <w:tcW w:type="dxa" w:w="4176"/>
            <w:shd w:fill="F7F5FB" w:val="clear"/>
            <w:tcMar>
              <w:top w:type="dxa" w:w="90"/>
              <w:left w:type="dxa" w:w="120"/>
              <w:bottom w:type="dxa" w:w="90"/>
              <w:right w:type="dxa" w:w="120"/>
            </w:tcMar>
          </w:tcPr>
          <w:p>
            <w:pPr>
              <w:spacing w:after="40"/>
            </w:pPr>
            <w:r>
              <w:rPr>
                <w:sz w:val="19"/>
                <w:szCs w:val="19"/>
              </w:rPr>
              <w:t xml:space="preserve">clinic_id, user_id, papel (admin da clínica, esteticista, visualização)</w:t>
            </w:r>
          </w:p>
        </w:tc>
      </w:tr>
      <w:tr>
        <w:tc>
          <w:tcPr>
            <w:tcW w:type="dxa" w:w="1872"/>
            <w:shd w:fill="FFFFFF" w:val="clear"/>
            <w:tcMar>
              <w:top w:type="dxa" w:w="90"/>
              <w:left w:type="dxa" w:w="120"/>
              <w:bottom w:type="dxa" w:w="90"/>
              <w:right w:type="dxa" w:w="120"/>
            </w:tcMar>
          </w:tcPr>
          <w:p>
            <w:pPr>
              <w:spacing w:after="40"/>
            </w:pPr>
            <w:r>
              <w:rPr>
                <w:sz w:val="19"/>
                <w:szCs w:val="19"/>
              </w:rPr>
              <w:t xml:space="preserve">clinic_patients</w:t>
            </w:r>
          </w:p>
        </w:tc>
        <w:tc>
          <w:tcPr>
            <w:tcW w:type="dxa" w:w="3744"/>
            <w:shd w:fill="FFFFFF" w:val="clear"/>
            <w:tcMar>
              <w:top w:type="dxa" w:w="90"/>
              <w:left w:type="dxa" w:w="120"/>
              <w:bottom w:type="dxa" w:w="90"/>
              <w:right w:type="dxa" w:w="120"/>
            </w:tcMar>
          </w:tcPr>
          <w:p>
            <w:pPr>
              <w:spacing w:after="40"/>
            </w:pPr>
            <w:r>
              <w:rPr>
                <w:sz w:val="19"/>
                <w:szCs w:val="19"/>
              </w:rPr>
              <w:t xml:space="preserve">Vínculo entre paciente e clínica</w:t>
            </w:r>
          </w:p>
        </w:tc>
        <w:tc>
          <w:tcPr>
            <w:tcW w:type="dxa" w:w="4176"/>
            <w:shd w:fill="FFFFFF" w:val="clear"/>
            <w:tcMar>
              <w:top w:type="dxa" w:w="90"/>
              <w:left w:type="dxa" w:w="120"/>
              <w:bottom w:type="dxa" w:w="90"/>
              <w:right w:type="dxa" w:w="120"/>
            </w:tcMar>
          </w:tcPr>
          <w:p>
            <w:pPr>
              <w:spacing w:after="40"/>
            </w:pPr>
            <w:r>
              <w:rPr>
                <w:sz w:val="19"/>
                <w:szCs w:val="19"/>
              </w:rPr>
              <w:t xml:space="preserve">clinic_id, profile_id, convidado_por, data_de_ingresso, status do assento (ativo/inativo)</w:t>
            </w:r>
          </w:p>
        </w:tc>
      </w:tr>
      <w:tr>
        <w:tc>
          <w:tcPr>
            <w:tcW w:type="dxa" w:w="1872"/>
            <w:shd w:fill="F7F5FB" w:val="clear"/>
            <w:tcMar>
              <w:top w:type="dxa" w:w="90"/>
              <w:left w:type="dxa" w:w="120"/>
              <w:bottom w:type="dxa" w:w="90"/>
              <w:right w:type="dxa" w:w="120"/>
            </w:tcMar>
          </w:tcPr>
          <w:p>
            <w:pPr>
              <w:spacing w:after="40"/>
            </w:pPr>
            <w:r>
              <w:rPr>
                <w:sz w:val="19"/>
                <w:szCs w:val="19"/>
              </w:rPr>
              <w:t xml:space="preserve">clinic_branding (ou campos em clinics)</w:t>
            </w:r>
          </w:p>
        </w:tc>
        <w:tc>
          <w:tcPr>
            <w:tcW w:type="dxa" w:w="3744"/>
            <w:shd w:fill="F7F5FB" w:val="clear"/>
            <w:tcMar>
              <w:top w:type="dxa" w:w="90"/>
              <w:left w:type="dxa" w:w="120"/>
              <w:bottom w:type="dxa" w:w="90"/>
              <w:right w:type="dxa" w:w="120"/>
            </w:tcMar>
          </w:tcPr>
          <w:p>
            <w:pPr>
              <w:spacing w:after="40"/>
            </w:pPr>
            <w:r>
              <w:rPr>
                <w:sz w:val="19"/>
                <w:szCs w:val="19"/>
              </w:rPr>
              <w:t xml:space="preserve">Config de tema para renderização do app quando o usuário pertence a uma clínica</w:t>
            </w:r>
          </w:p>
        </w:tc>
        <w:tc>
          <w:tcPr>
            <w:tcW w:type="dxa" w:w="4176"/>
            <w:shd w:fill="F7F5FB" w:val="clear"/>
            <w:tcMar>
              <w:top w:type="dxa" w:w="90"/>
              <w:left w:type="dxa" w:w="120"/>
              <w:bottom w:type="dxa" w:w="90"/>
              <w:right w:type="dxa" w:w="120"/>
            </w:tcMar>
          </w:tcPr>
          <w:p>
            <w:pPr>
              <w:spacing w:after="40"/>
            </w:pPr>
            <w:r>
              <w:rPr>
                <w:sz w:val="19"/>
                <w:szCs w:val="19"/>
              </w:rPr>
              <w:t xml:space="preserve">logo, cor primária, nome de exibição — carregado em runtime, sem precisar de build separado por clínica</w:t>
            </w:r>
          </w:p>
        </w:tc>
      </w:tr>
    </w:tbl>
    <w:p>
      <w:pPr>
        <w:spacing w:after="80"/>
      </w:pPr>
    </w:p>
    <w:p>
      <w:pPr>
        <w:spacing w:after="160" w:line="300"/>
      </w:pPr>
      <w:r>
        <w:rPr>
          <w:sz w:val="21"/>
          <w:szCs w:val="21"/>
        </w:rPr>
        <w:t xml:space="preserve">A tabela admin_users que já existe é o precedente direto para clinic_staff — mesmo padrão de "papel com acesso a dados de terceiros", só que hoje o escopo é global (paywall_bypass) e no B2B o escopo passa a ser "todos os profile_id vinculados ao mesmo clinic_id", via política de RLS no Supabase (o produto já usa Supabase com RLS, então é extensão do padrão existente, não uma tecnologia nova).</w:t>
      </w:r>
    </w:p>
    <w:p>
      <w:pPr>
        <w:pStyle w:val="Heading2"/>
        <w:spacing w:after="120" w:before="300"/>
      </w:pPr>
      <w:r>
        <w:rPr>
          <w:b/>
          <w:bCs/>
          <w:color w:val="3F2E5C"/>
          <w:sz w:val="24"/>
          <w:szCs w:val="24"/>
        </w:rPr>
        <w:t xml:space="preserve">5.4 Como funciona o branding leve, tecnicamente</w:t>
      </w:r>
    </w:p>
    <w:p>
      <w:pPr>
        <w:spacing w:after="160" w:line="300"/>
      </w:pPr>
      <w:r>
        <w:rPr>
          <w:sz w:val="21"/>
          <w:szCs w:val="21"/>
        </w:rPr>
        <w:t xml:space="preserve">Sem subdomínio, o "tenant" é resolvido pelo vínculo do usuário, não pela URL: ao logar, se profile.clinic_id existir, a aplicação carrega a config de branding daquela clínica (logo, cor primária) e aplica no tema visual da sessão — o equivalente a trocar variáveis de CSS em runtime, algo que o app já é capaz de fazer estruturalmente (usa Tailwind + tokens de cor, ex. as classes joy-violet já vistas no código).</w:t>
      </w:r>
    </w:p>
    <w:p>
      <w:pPr>
        <w:spacing w:after="160" w:line="300"/>
      </w:pPr>
      <w:r>
        <w:rPr>
          <w:sz w:val="21"/>
          <w:szCs w:val="21"/>
        </w:rPr>
        <w:t xml:space="preserve">Vantagem prática dessa rota: nenhuma mudança de infraestrutura de deploy, DNS ou certificado — só uma tabela nova e um carregamento condicional de tema. Isso mantém a promessa "branding sem custo técnico alto" e deixa domínio próprio por clínica como um item de roadmap futuro (plano "Enterprise"), caso a demanda comercial justifique.</w:t>
      </w:r>
    </w:p>
    <w:p>
      <w:pPr>
        <w:pStyle w:val="Heading2"/>
        <w:spacing w:after="120" w:before="300"/>
      </w:pPr>
      <w:r>
        <w:rPr>
          <w:b/>
          <w:bCs/>
          <w:color w:val="3F2E5C"/>
          <w:sz w:val="24"/>
          <w:szCs w:val="24"/>
        </w:rPr>
        <w:t xml:space="preserve">5.5 Fluxo do profissional (painel da clínica)</w:t>
      </w:r>
    </w:p>
    <w:p>
      <w:pPr>
        <w:spacing w:after="160" w:line="300"/>
      </w:pPr>
      <w:r>
        <w:rPr>
          <w:sz w:val="21"/>
          <w:szCs w:val="21"/>
        </w:rPr>
        <w:t xml:space="preserve">Uma clínica precisa, no mínimo, de três telas para o MVP:</w:t>
      </w:r>
    </w:p>
    <w:p>
      <w:pPr>
        <w:pStyle w:val="ListParagraph"/>
        <w:numPr>
          <w:ilvl w:val="0"/>
          <w:numId w:val="2"/>
        </w:numPr>
        <w:spacing w:after="90" w:line="290"/>
      </w:pPr>
      <w:r>
        <w:rPr>
          <w:b/>
          <w:bCs/>
          <w:sz w:val="21"/>
          <w:szCs w:val="21"/>
        </w:rPr>
        <w:t xml:space="preserve">Lista de pacientes — </w:t>
      </w:r>
      <w:r>
        <w:rPr>
          <w:sz w:val="21"/>
          <w:szCs w:val="21"/>
        </w:rPr>
        <w:t xml:space="preserve">quem está ativo, quando confirmou a rotina, há quantos dias não faz check-in — um painel de adesão, não de prontuário clínico completo.</w:t>
      </w:r>
    </w:p>
    <w:p>
      <w:pPr>
        <w:pStyle w:val="ListParagraph"/>
        <w:numPr>
          <w:ilvl w:val="0"/>
          <w:numId w:val="2"/>
        </w:numPr>
        <w:spacing w:after="90" w:line="290"/>
      </w:pPr>
      <w:r>
        <w:rPr>
          <w:b/>
          <w:bCs/>
          <w:sz w:val="21"/>
          <w:szCs w:val="21"/>
        </w:rPr>
        <w:t xml:space="preserve">Perfil do paciente — </w:t>
      </w:r>
      <w:r>
        <w:rPr>
          <w:sz w:val="21"/>
          <w:szCs w:val="21"/>
        </w:rPr>
        <w:t xml:space="preserve">rotina atual, histórico de check-ins/selfies (com consentimento explícito do paciente para a clínica ver essas informações — ver 5.9), progresso ao longo do tempo.</w:t>
      </w:r>
    </w:p>
    <w:p>
      <w:pPr>
        <w:pStyle w:val="ListParagraph"/>
        <w:numPr>
          <w:ilvl w:val="0"/>
          <w:numId w:val="2"/>
        </w:numPr>
        <w:spacing w:after="90" w:line="290"/>
      </w:pPr>
      <w:r>
        <w:rPr>
          <w:b/>
          <w:bCs/>
          <w:sz w:val="21"/>
          <w:szCs w:val="21"/>
        </w:rPr>
        <w:t xml:space="preserve">Convite/cadastro de paciente — </w:t>
      </w:r>
      <w:r>
        <w:rPr>
          <w:sz w:val="21"/>
          <w:szCs w:val="21"/>
        </w:rPr>
        <w:t xml:space="preserve">gerar um convite (link ou código) que o paciente usa para criar a própria conta já vinculada à clínica — reaproveitando a lógica de convite que hoje existe no fluxo de indicação (referral).</w:t>
      </w:r>
    </w:p>
    <w:p>
      <w:pPr>
        <w:spacing w:after="120"/>
      </w:pPr>
    </w:p>
    <w:p>
      <w:pPr>
        <w:pStyle w:val="Heading2"/>
        <w:spacing w:after="120" w:before="300"/>
      </w:pPr>
      <w:r>
        <w:rPr>
          <w:b/>
          <w:bCs/>
          <w:color w:val="3F2E5C"/>
          <w:sz w:val="24"/>
          <w:szCs w:val="24"/>
        </w:rPr>
        <w:t xml:space="preserve">5.6 Fluxo do paciente</w:t>
      </w:r>
    </w:p>
    <w:p>
      <w:pPr>
        <w:spacing w:after="160" w:line="300"/>
      </w:pPr>
      <w:r>
        <w:rPr>
          <w:sz w:val="21"/>
          <w:szCs w:val="21"/>
        </w:rPr>
        <w:t xml:space="preserve">O paciente entra por convite da clínica (e-mail ou link/QR entregue na própria clínica), faz o mesmo onboarding de perfil de pele que já existe hoje, e a experiência de rotina gerada por IA é idêntica ao B2C — a diferença visível é o branding leve da clínica e, opcionalmente, um aviso de que a esteticista/dermatologista responsável acompanha o progresso. Não é necessário (nem desejável para o MVP) que o paciente veja ou pague um paywall individual: o acesso dele é o "assento" que a clínica já pagou.</w:t>
      </w:r>
    </w:p>
    <w:p>
      <w:pPr>
        <w:pStyle w:val="Heading2"/>
        <w:spacing w:after="120" w:before="300"/>
      </w:pPr>
      <w:r>
        <w:rPr>
          <w:b/>
          <w:bCs/>
          <w:color w:val="3F2E5C"/>
          <w:sz w:val="24"/>
          <w:szCs w:val="24"/>
        </w:rPr>
        <w:t xml:space="preserve">5.7 Modelo de pricing B2B (proposta inicial)</w:t>
      </w:r>
    </w:p>
    <w:tbl>
      <w:tblPr>
        <w:tblW w:type="dxa" w:w="9792"/>
        <w:tblBorders>
          <w:top w:val="single" w:color="CCCCCC" w:sz="2"/>
          <w:left w:val="single" w:color="CCCCCC" w:sz="2"/>
          <w:bottom w:val="single" w:color="CCCCCC" w:sz="2"/>
          <w:right w:val="single" w:color="CCCCCC" w:sz="2"/>
          <w:insideH w:val="single" w:color="E2DCF0" w:sz="2"/>
          <w:insideV w:val="single" w:color="E2DCF0" w:sz="2"/>
        </w:tblBorders>
      </w:tblPr>
      <w:tblGrid>
        <w:gridCol w:w="2016"/>
        <w:gridCol w:w="3312"/>
        <w:gridCol w:w="4464"/>
      </w:tblGrid>
      <w:tr>
        <w:trPr>
          <w:tblHeader/>
        </w:trPr>
        <w:tc>
          <w:tcPr>
            <w:tcW w:type="dxa" w:w="2016"/>
            <w:shd w:fill="6B4E9E" w:val="clear"/>
            <w:tcMar>
              <w:top w:type="dxa" w:w="100"/>
              <w:left w:type="dxa" w:w="120"/>
              <w:bottom w:type="dxa" w:w="100"/>
              <w:right w:type="dxa" w:w="120"/>
            </w:tcMar>
          </w:tcPr>
          <w:p>
            <w:r>
              <w:rPr>
                <w:b/>
                <w:bCs/>
                <w:color w:val="FFFFFF"/>
                <w:sz w:val="19"/>
                <w:szCs w:val="19"/>
              </w:rPr>
              <w:t xml:space="preserve">Plano</w:t>
            </w:r>
          </w:p>
        </w:tc>
        <w:tc>
          <w:tcPr>
            <w:tcW w:type="dxa" w:w="3312"/>
            <w:shd w:fill="6B4E9E" w:val="clear"/>
            <w:tcMar>
              <w:top w:type="dxa" w:w="100"/>
              <w:left w:type="dxa" w:w="120"/>
              <w:bottom w:type="dxa" w:w="100"/>
              <w:right w:type="dxa" w:w="120"/>
            </w:tcMar>
          </w:tcPr>
          <w:p>
            <w:r>
              <w:rPr>
                <w:b/>
                <w:bCs/>
                <w:color w:val="FFFFFF"/>
                <w:sz w:val="19"/>
                <w:szCs w:val="19"/>
              </w:rPr>
              <w:t xml:space="preserve">Faixa de pacientes ativos</w:t>
            </w:r>
          </w:p>
        </w:tc>
        <w:tc>
          <w:tcPr>
            <w:tcW w:type="dxa" w:w="4464"/>
            <w:shd w:fill="6B4E9E" w:val="clear"/>
            <w:tcMar>
              <w:top w:type="dxa" w:w="100"/>
              <w:left w:type="dxa" w:w="120"/>
              <w:bottom w:type="dxa" w:w="100"/>
              <w:right w:type="dxa" w:w="120"/>
            </w:tcMar>
          </w:tcPr>
          <w:p>
            <w:r>
              <w:rPr>
                <w:b/>
                <w:bCs/>
                <w:color w:val="FFFFFF"/>
                <w:sz w:val="19"/>
                <w:szCs w:val="19"/>
              </w:rPr>
              <w:t xml:space="preserve">Lógica de preço</w:t>
            </w:r>
          </w:p>
        </w:tc>
      </w:tr>
      <w:tr>
        <w:tc>
          <w:tcPr>
            <w:tcW w:type="dxa" w:w="2016"/>
            <w:shd w:fill="FFFFFF" w:val="clear"/>
            <w:tcMar>
              <w:top w:type="dxa" w:w="90"/>
              <w:left w:type="dxa" w:w="120"/>
              <w:bottom w:type="dxa" w:w="90"/>
              <w:right w:type="dxa" w:w="120"/>
            </w:tcMar>
          </w:tcPr>
          <w:p>
            <w:pPr>
              <w:spacing w:after="40"/>
            </w:pPr>
            <w:r>
              <w:rPr>
                <w:sz w:val="19"/>
                <w:szCs w:val="19"/>
              </w:rPr>
              <w:t xml:space="preserve">Starter</w:t>
            </w:r>
          </w:p>
        </w:tc>
        <w:tc>
          <w:tcPr>
            <w:tcW w:type="dxa" w:w="3312"/>
            <w:shd w:fill="FFFFFF" w:val="clear"/>
            <w:tcMar>
              <w:top w:type="dxa" w:w="90"/>
              <w:left w:type="dxa" w:w="120"/>
              <w:bottom w:type="dxa" w:w="90"/>
              <w:right w:type="dxa" w:w="120"/>
            </w:tcMar>
          </w:tcPr>
          <w:p>
            <w:pPr>
              <w:spacing w:after="40"/>
            </w:pPr>
            <w:r>
              <w:rPr>
                <w:sz w:val="19"/>
                <w:szCs w:val="19"/>
              </w:rPr>
              <w:t xml:space="preserve">até 20 pacientes ativos/mês</w:t>
            </w:r>
          </w:p>
        </w:tc>
        <w:tc>
          <w:tcPr>
            <w:tcW w:type="dxa" w:w="4464"/>
            <w:shd w:fill="FFFFFF" w:val="clear"/>
            <w:tcMar>
              <w:top w:type="dxa" w:w="90"/>
              <w:left w:type="dxa" w:w="120"/>
              <w:bottom w:type="dxa" w:w="90"/>
              <w:right w:type="dxa" w:w="120"/>
            </w:tcMar>
          </w:tcPr>
          <w:p>
            <w:pPr>
              <w:spacing w:after="40"/>
            </w:pPr>
            <w:r>
              <w:rPr>
                <w:sz w:val="19"/>
                <w:szCs w:val="19"/>
              </w:rPr>
              <w:t xml:space="preserve">Preço fixo mensal, pensado para esteticista autônoma ou clínica pequena testando o produto</w:t>
            </w:r>
          </w:p>
        </w:tc>
      </w:tr>
      <w:tr>
        <w:tc>
          <w:tcPr>
            <w:tcW w:type="dxa" w:w="2016"/>
            <w:shd w:fill="F7F5FB" w:val="clear"/>
            <w:tcMar>
              <w:top w:type="dxa" w:w="90"/>
              <w:left w:type="dxa" w:w="120"/>
              <w:bottom w:type="dxa" w:w="90"/>
              <w:right w:type="dxa" w:w="120"/>
            </w:tcMar>
          </w:tcPr>
          <w:p>
            <w:pPr>
              <w:spacing w:after="40"/>
            </w:pPr>
            <w:r>
              <w:rPr>
                <w:sz w:val="19"/>
                <w:szCs w:val="19"/>
              </w:rPr>
              <w:t xml:space="preserve">Clínica</w:t>
            </w:r>
          </w:p>
        </w:tc>
        <w:tc>
          <w:tcPr>
            <w:tcW w:type="dxa" w:w="3312"/>
            <w:shd w:fill="F7F5FB" w:val="clear"/>
            <w:tcMar>
              <w:top w:type="dxa" w:w="90"/>
              <w:left w:type="dxa" w:w="120"/>
              <w:bottom w:type="dxa" w:w="90"/>
              <w:right w:type="dxa" w:w="120"/>
            </w:tcMar>
          </w:tcPr>
          <w:p>
            <w:pPr>
              <w:spacing w:after="40"/>
            </w:pPr>
            <w:r>
              <w:rPr>
                <w:sz w:val="19"/>
                <w:szCs w:val="19"/>
              </w:rPr>
              <w:t xml:space="preserve">21–100 pacientes ativos/mês</w:t>
            </w:r>
          </w:p>
        </w:tc>
        <w:tc>
          <w:tcPr>
            <w:tcW w:type="dxa" w:w="4464"/>
            <w:shd w:fill="F7F5FB" w:val="clear"/>
            <w:tcMar>
              <w:top w:type="dxa" w:w="90"/>
              <w:left w:type="dxa" w:w="120"/>
              <w:bottom w:type="dxa" w:w="90"/>
              <w:right w:type="dxa" w:w="120"/>
            </w:tcMar>
          </w:tcPr>
          <w:p>
            <w:pPr>
              <w:spacing w:after="40"/>
            </w:pPr>
            <w:r>
              <w:rPr>
                <w:sz w:val="19"/>
                <w:szCs w:val="19"/>
              </w:rPr>
              <w:t xml:space="preserve">Preço por faixa (ou por assento com desconto de volume), inclui branding leve e painel completo</w:t>
            </w:r>
          </w:p>
        </w:tc>
      </w:tr>
      <w:tr>
        <w:tc>
          <w:tcPr>
            <w:tcW w:type="dxa" w:w="2016"/>
            <w:shd w:fill="FFFFFF" w:val="clear"/>
            <w:tcMar>
              <w:top w:type="dxa" w:w="90"/>
              <w:left w:type="dxa" w:w="120"/>
              <w:bottom w:type="dxa" w:w="90"/>
              <w:right w:type="dxa" w:w="120"/>
            </w:tcMar>
          </w:tcPr>
          <w:p>
            <w:pPr>
              <w:spacing w:after="40"/>
            </w:pPr>
            <w:r>
              <w:rPr>
                <w:sz w:val="19"/>
                <w:szCs w:val="19"/>
              </w:rPr>
              <w:t xml:space="preserve">Rede/Enterprise</w:t>
            </w:r>
          </w:p>
        </w:tc>
        <w:tc>
          <w:tcPr>
            <w:tcW w:type="dxa" w:w="3312"/>
            <w:shd w:fill="FFFFFF" w:val="clear"/>
            <w:tcMar>
              <w:top w:type="dxa" w:w="90"/>
              <w:left w:type="dxa" w:w="120"/>
              <w:bottom w:type="dxa" w:w="90"/>
              <w:right w:type="dxa" w:w="120"/>
            </w:tcMar>
          </w:tcPr>
          <w:p>
            <w:pPr>
              <w:spacing w:after="40"/>
            </w:pPr>
            <w:r>
              <w:rPr>
                <w:sz w:val="19"/>
                <w:szCs w:val="19"/>
              </w:rPr>
              <w:t xml:space="preserve">100+ pacientes ou múltiplas unidades</w:t>
            </w:r>
          </w:p>
        </w:tc>
        <w:tc>
          <w:tcPr>
            <w:tcW w:type="dxa" w:w="4464"/>
            <w:shd w:fill="FFFFFF" w:val="clear"/>
            <w:tcMar>
              <w:top w:type="dxa" w:w="90"/>
              <w:left w:type="dxa" w:w="120"/>
              <w:bottom w:type="dxa" w:w="90"/>
              <w:right w:type="dxa" w:w="120"/>
            </w:tcMar>
          </w:tcPr>
          <w:p>
            <w:pPr>
              <w:spacing w:after="40"/>
            </w:pPr>
            <w:r>
              <w:rPr>
                <w:sz w:val="19"/>
                <w:szCs w:val="19"/>
              </w:rPr>
              <w:t xml:space="preserve">Negociado; primeiro candidato natural a ganhar domínio próprio (ver 5.3) e relatório white-label para a rede</w:t>
            </w:r>
          </w:p>
        </w:tc>
      </w:tr>
    </w:tbl>
    <w:p>
      <w:pPr>
        <w:spacing w:after="80"/>
      </w:pPr>
    </w:p>
    <w:p>
      <w:pPr>
        <w:spacing w:after="160" w:line="300"/>
      </w:pPr>
      <w:r>
        <w:rPr>
          <w:sz w:val="21"/>
          <w:szCs w:val="21"/>
        </w:rPr>
        <w:t xml:space="preserve">"Paciente ativo" precisa de definição operacional clara desde o início (ex.: fez ao menos 1 check-in nos últimos 30 dias) para que o faturamento por assento não vire fonte de disputa comercial com a clínica.</w:t>
      </w:r>
    </w:p>
    <w:p>
      <w:pPr>
        <w:pStyle w:val="Heading2"/>
        <w:spacing w:after="120" w:before="300"/>
      </w:pPr>
      <w:r>
        <w:rPr>
          <w:b/>
          <w:bCs/>
          <w:color w:val="3F2E5C"/>
          <w:sz w:val="24"/>
          <w:szCs w:val="24"/>
        </w:rPr>
        <w:t xml:space="preserve">5.8 Reaproveitamento de infraestrutura existente</w:t>
      </w:r>
    </w:p>
    <w:p>
      <w:pPr>
        <w:pStyle w:val="ListParagraph"/>
        <w:numPr>
          <w:ilvl w:val="0"/>
          <w:numId w:val="2"/>
        </w:numPr>
        <w:spacing w:after="90" w:line="290"/>
      </w:pPr>
      <w:r>
        <w:rPr>
          <w:sz w:val="21"/>
          <w:szCs w:val="21"/>
        </w:rPr>
        <w:t xml:space="preserve">admin_users → modelo de referência para clinic_staff (mesma lógica de papel/permissão, escopo diferente).</w:t>
      </w:r>
    </w:p>
    <w:p>
      <w:pPr>
        <w:pStyle w:val="ListParagraph"/>
        <w:numPr>
          <w:ilvl w:val="0"/>
          <w:numId w:val="2"/>
        </w:numPr>
        <w:spacing w:after="90" w:line="290"/>
      </w:pPr>
      <w:r>
        <w:rPr>
          <w:sz w:val="21"/>
          <w:szCs w:val="21"/>
        </w:rPr>
        <w:t xml:space="preserve">subscriptions → ganha um novo tipo de registro (assento de clínica), sem quebrar o modelo atual de assinatura individual — os dois convivem.</w:t>
      </w:r>
    </w:p>
    <w:p>
      <w:pPr>
        <w:pStyle w:val="ListParagraph"/>
        <w:numPr>
          <w:ilvl w:val="0"/>
          <w:numId w:val="2"/>
        </w:numPr>
        <w:spacing w:after="90" w:line="290"/>
      </w:pPr>
      <w:r>
        <w:rPr>
          <w:sz w:val="21"/>
          <w:szCs w:val="21"/>
        </w:rPr>
        <w:t xml:space="preserve">Sistema de indicação (referral) → vira a base do fluxo de convite de paciente pela clínica.</w:t>
      </w:r>
    </w:p>
    <w:p>
      <w:pPr>
        <w:pStyle w:val="ListParagraph"/>
        <w:numPr>
          <w:ilvl w:val="0"/>
          <w:numId w:val="2"/>
        </w:numPr>
        <w:spacing w:after="90" w:line="290"/>
      </w:pPr>
      <w:r>
        <w:rPr>
          <w:sz w:val="21"/>
          <w:szCs w:val="21"/>
        </w:rPr>
        <w:t xml:space="preserve">Cron jobs de e-mail/push (weekly-digest, re-engagement) → passam a poder ser filtrados/segmentados por clinic_id, permitindo, no futuro, um resumo semanal para o profissional ("3 pacientes sem check-in há mais de 5 dias").</w:t>
      </w:r>
    </w:p>
    <w:p>
      <w:pPr>
        <w:spacing w:after="120"/>
      </w:pPr>
    </w:p>
    <w:p>
      <w:pPr>
        <w:pStyle w:val="Heading2"/>
        <w:spacing w:after="120" w:before="300"/>
      </w:pPr>
      <w:r>
        <w:rPr>
          <w:b/>
          <w:bCs/>
          <w:color w:val="3F2E5C"/>
          <w:sz w:val="24"/>
          <w:szCs w:val="24"/>
        </w:rPr>
        <w:t xml:space="preserve">5.9 LGPD e dados sensíveis de saúde</w:t>
      </w:r>
    </w:p>
    <w:p>
      <w:pPr>
        <w:spacing w:after="160" w:line="300"/>
      </w:pPr>
      <w:r>
        <w:rPr>
          <w:sz w:val="21"/>
          <w:szCs w:val="21"/>
        </w:rPr>
        <w:t xml:space="preserve">Este é o ponto de maior risco do módulo B2B e merece revisão jurídica formal antes do lançamento comercial — o mapeamento abaixo é ponto de partida, não parecer legal:</w:t>
      </w:r>
    </w:p>
    <w:p>
      <w:pPr>
        <w:pStyle w:val="ListParagraph"/>
        <w:numPr>
          <w:ilvl w:val="0"/>
          <w:numId w:val="2"/>
        </w:numPr>
        <w:spacing w:after="90" w:line="290"/>
      </w:pPr>
      <w:r>
        <w:rPr>
          <w:b/>
          <w:bCs/>
          <w:sz w:val="21"/>
          <w:szCs w:val="21"/>
        </w:rPr>
        <w:t xml:space="preserve">Dado sensível — </w:t>
      </w:r>
      <w:r>
        <w:rPr>
          <w:sz w:val="21"/>
          <w:szCs w:val="21"/>
        </w:rPr>
        <w:t xml:space="preserve">informações de pele (acne, sensibilidade, gravidez/amamentação, alergias) se enquadram como dado pessoal sobre saúde (LGPD, art. 5º, II), o que exige consentimento específico e destacado — não basta o termo de uso genérico atual cobrir isso implicitamente.</w:t>
      </w:r>
    </w:p>
    <w:p>
      <w:pPr>
        <w:pStyle w:val="ListParagraph"/>
        <w:numPr>
          <w:ilvl w:val="0"/>
          <w:numId w:val="2"/>
        </w:numPr>
        <w:spacing w:after="90" w:line="290"/>
      </w:pPr>
      <w:r>
        <w:rPr>
          <w:b/>
          <w:bCs/>
          <w:sz w:val="21"/>
          <w:szCs w:val="21"/>
        </w:rPr>
        <w:t xml:space="preserve">Papéis de controlador/operador — </w:t>
      </w:r>
      <w:r>
        <w:rPr>
          <w:sz w:val="21"/>
          <w:szCs w:val="21"/>
        </w:rPr>
        <w:t xml:space="preserve">quando uma clínica passa a visualizar dados de check-in e progresso do próprio paciente, é preciso deixar contratualmente claro quem é controlador (provavelmente a clínica, na relação clínica-paciente) e quem é operador (a Zion Skincare, processando em nome da clínica) — isso normalmente vira uma cláusula de tratamento de dados no contrato B2B (DPA).</w:t>
      </w:r>
    </w:p>
    <w:p>
      <w:pPr>
        <w:pStyle w:val="ListParagraph"/>
        <w:numPr>
          <w:ilvl w:val="0"/>
          <w:numId w:val="2"/>
        </w:numPr>
        <w:spacing w:after="90" w:line="290"/>
      </w:pPr>
      <w:r>
        <w:rPr>
          <w:b/>
          <w:bCs/>
          <w:sz w:val="21"/>
          <w:szCs w:val="21"/>
        </w:rPr>
        <w:t xml:space="preserve">Consentimento do paciente para a clínica ver seus dados — </w:t>
      </w:r>
      <w:r>
        <w:rPr>
          <w:sz w:val="21"/>
          <w:szCs w:val="21"/>
        </w:rPr>
        <w:t xml:space="preserve">mesmo sendo convidado pela própria clínica, o paciente precisa aceitar explicitamente que aquela clínica específica visualize seu histórico dentro do app — não pode ser assumido pelo simples fato de ter sido convidado.</w:t>
      </w:r>
    </w:p>
    <w:p>
      <w:pPr>
        <w:spacing w:after="120"/>
      </w:pPr>
    </w:p>
    <w:p>
      <w:pPr>
        <w:pStyle w:val="Heading2"/>
        <w:spacing w:after="120" w:before="300"/>
      </w:pPr>
      <w:r>
        <w:rPr>
          <w:b/>
          <w:bCs/>
          <w:color w:val="3F2E5C"/>
          <w:sz w:val="24"/>
          <w:szCs w:val="24"/>
        </w:rPr>
        <w:t xml:space="preserve">5.10 Roadmap por fases</w:t>
      </w:r>
    </w:p>
    <w:tbl>
      <w:tblPr>
        <w:tblW w:type="dxa" w:w="9792"/>
        <w:tblBorders>
          <w:top w:val="single" w:color="CCCCCC" w:sz="2"/>
          <w:left w:val="single" w:color="CCCCCC" w:sz="2"/>
          <w:bottom w:val="single" w:color="CCCCCC" w:sz="2"/>
          <w:right w:val="single" w:color="CCCCCC" w:sz="2"/>
          <w:insideH w:val="single" w:color="E2DCF0" w:sz="2"/>
          <w:insideV w:val="single" w:color="E2DCF0" w:sz="2"/>
        </w:tblBorders>
      </w:tblPr>
      <w:tblGrid>
        <w:gridCol w:w="1440"/>
        <w:gridCol w:w="6048"/>
        <w:gridCol w:w="2304"/>
      </w:tblGrid>
      <w:tr>
        <w:trPr>
          <w:tblHeader/>
        </w:trPr>
        <w:tc>
          <w:tcPr>
            <w:tcW w:type="dxa" w:w="1440"/>
            <w:shd w:fill="6B4E9E" w:val="clear"/>
            <w:tcMar>
              <w:top w:type="dxa" w:w="100"/>
              <w:left w:type="dxa" w:w="120"/>
              <w:bottom w:type="dxa" w:w="100"/>
              <w:right w:type="dxa" w:w="120"/>
            </w:tcMar>
          </w:tcPr>
          <w:p>
            <w:r>
              <w:rPr>
                <w:b/>
                <w:bCs/>
                <w:color w:val="FFFFFF"/>
                <w:sz w:val="19"/>
                <w:szCs w:val="19"/>
              </w:rPr>
              <w:t xml:space="preserve">Fase</w:t>
            </w:r>
          </w:p>
        </w:tc>
        <w:tc>
          <w:tcPr>
            <w:tcW w:type="dxa" w:w="6048"/>
            <w:shd w:fill="6B4E9E" w:val="clear"/>
            <w:tcMar>
              <w:top w:type="dxa" w:w="100"/>
              <w:left w:type="dxa" w:w="120"/>
              <w:bottom w:type="dxa" w:w="100"/>
              <w:right w:type="dxa" w:w="120"/>
            </w:tcMar>
          </w:tcPr>
          <w:p>
            <w:r>
              <w:rPr>
                <w:b/>
                <w:bCs/>
                <w:color w:val="FFFFFF"/>
                <w:sz w:val="19"/>
                <w:szCs w:val="19"/>
              </w:rPr>
              <w:t xml:space="preserve">Escopo</w:t>
            </w:r>
          </w:p>
        </w:tc>
        <w:tc>
          <w:tcPr>
            <w:tcW w:type="dxa" w:w="2304"/>
            <w:shd w:fill="6B4E9E" w:val="clear"/>
            <w:tcMar>
              <w:top w:type="dxa" w:w="100"/>
              <w:left w:type="dxa" w:w="120"/>
              <w:bottom w:type="dxa" w:w="100"/>
              <w:right w:type="dxa" w:w="120"/>
            </w:tcMar>
          </w:tcPr>
          <w:p>
            <w:r>
              <w:rPr>
                <w:b/>
                <w:bCs/>
                <w:color w:val="FFFFFF"/>
                <w:sz w:val="19"/>
                <w:szCs w:val="19"/>
              </w:rPr>
              <w:t xml:space="preserve">Duração estimada</w:t>
            </w:r>
          </w:p>
        </w:tc>
      </w:tr>
      <w:tr>
        <w:tc>
          <w:tcPr>
            <w:tcW w:type="dxa" w:w="1440"/>
            <w:shd w:fill="FFFFFF" w:val="clear"/>
            <w:tcMar>
              <w:top w:type="dxa" w:w="90"/>
              <w:left w:type="dxa" w:w="120"/>
              <w:bottom w:type="dxa" w:w="90"/>
              <w:right w:type="dxa" w:w="120"/>
            </w:tcMar>
          </w:tcPr>
          <w:p>
            <w:pPr>
              <w:spacing w:after="40"/>
            </w:pPr>
            <w:r>
              <w:rPr>
                <w:sz w:val="19"/>
                <w:szCs w:val="19"/>
              </w:rPr>
              <w:t xml:space="preserve">MVP</w:t>
            </w:r>
          </w:p>
        </w:tc>
        <w:tc>
          <w:tcPr>
            <w:tcW w:type="dxa" w:w="6048"/>
            <w:shd w:fill="FFFFFF" w:val="clear"/>
            <w:tcMar>
              <w:top w:type="dxa" w:w="90"/>
              <w:left w:type="dxa" w:w="120"/>
              <w:bottom w:type="dxa" w:w="90"/>
              <w:right w:type="dxa" w:w="120"/>
            </w:tcMar>
          </w:tcPr>
          <w:p>
            <w:pPr>
              <w:spacing w:after="40"/>
            </w:pPr>
            <w:r>
              <w:rPr>
                <w:sz w:val="19"/>
                <w:szCs w:val="19"/>
              </w:rPr>
              <w:t xml:space="preserve">Tabelas clinics/clinic_staff/clinic_patients + RLS. Branding leve (logo + cor). Convite de paciente. Painel simples de lista de pacientes + adesão. Cobrança manual/fatura para 2–3 clínicas piloto.</w:t>
            </w:r>
          </w:p>
        </w:tc>
        <w:tc>
          <w:tcPr>
            <w:tcW w:type="dxa" w:w="2304"/>
            <w:shd w:fill="FFFFFF" w:val="clear"/>
            <w:tcMar>
              <w:top w:type="dxa" w:w="90"/>
              <w:left w:type="dxa" w:w="120"/>
              <w:bottom w:type="dxa" w:w="90"/>
              <w:right w:type="dxa" w:w="120"/>
            </w:tcMar>
          </w:tcPr>
          <w:p>
            <w:pPr>
              <w:spacing w:after="40"/>
            </w:pPr>
            <w:r>
              <w:rPr>
                <w:sz w:val="19"/>
                <w:szCs w:val="19"/>
              </w:rPr>
              <w:t xml:space="preserve">8–10 semanas</w:t>
            </w:r>
          </w:p>
        </w:tc>
      </w:tr>
      <w:tr>
        <w:tc>
          <w:tcPr>
            <w:tcW w:type="dxa" w:w="1440"/>
            <w:shd w:fill="F7F5FB" w:val="clear"/>
            <w:tcMar>
              <w:top w:type="dxa" w:w="90"/>
              <w:left w:type="dxa" w:w="120"/>
              <w:bottom w:type="dxa" w:w="90"/>
              <w:right w:type="dxa" w:w="120"/>
            </w:tcMar>
          </w:tcPr>
          <w:p>
            <w:pPr>
              <w:spacing w:after="40"/>
            </w:pPr>
            <w:r>
              <w:rPr>
                <w:sz w:val="19"/>
                <w:szCs w:val="19"/>
              </w:rPr>
              <w:t xml:space="preserve">V1</w:t>
            </w:r>
          </w:p>
        </w:tc>
        <w:tc>
          <w:tcPr>
            <w:tcW w:type="dxa" w:w="6048"/>
            <w:shd w:fill="F7F5FB" w:val="clear"/>
            <w:tcMar>
              <w:top w:type="dxa" w:w="90"/>
              <w:left w:type="dxa" w:w="120"/>
              <w:bottom w:type="dxa" w:w="90"/>
              <w:right w:type="dxa" w:w="120"/>
            </w:tcMar>
          </w:tcPr>
          <w:p>
            <w:pPr>
              <w:spacing w:after="40"/>
            </w:pPr>
            <w:r>
              <w:rPr>
                <w:sz w:val="19"/>
                <w:szCs w:val="19"/>
              </w:rPr>
              <w:t xml:space="preserve">Perfil detalhado do paciente no painel. Definição e medição formal de "paciente ativo" para faturamento. Onboarding self-service para novas clínicas (sem intervenção manual a cada cliente).</w:t>
            </w:r>
          </w:p>
        </w:tc>
        <w:tc>
          <w:tcPr>
            <w:tcW w:type="dxa" w:w="2304"/>
            <w:shd w:fill="F7F5FB" w:val="clear"/>
            <w:tcMar>
              <w:top w:type="dxa" w:w="90"/>
              <w:left w:type="dxa" w:w="120"/>
              <w:bottom w:type="dxa" w:w="90"/>
              <w:right w:type="dxa" w:w="120"/>
            </w:tcMar>
          </w:tcPr>
          <w:p>
            <w:pPr>
              <w:spacing w:after="40"/>
            </w:pPr>
            <w:r>
              <w:rPr>
                <w:sz w:val="19"/>
                <w:szCs w:val="19"/>
              </w:rPr>
              <w:t xml:space="preserve">+4–6 semanas</w:t>
            </w:r>
          </w:p>
        </w:tc>
      </w:tr>
      <w:tr>
        <w:tc>
          <w:tcPr>
            <w:tcW w:type="dxa" w:w="1440"/>
            <w:shd w:fill="FFFFFF" w:val="clear"/>
            <w:tcMar>
              <w:top w:type="dxa" w:w="90"/>
              <w:left w:type="dxa" w:w="120"/>
              <w:bottom w:type="dxa" w:w="90"/>
              <w:right w:type="dxa" w:w="120"/>
            </w:tcMar>
          </w:tcPr>
          <w:p>
            <w:pPr>
              <w:spacing w:after="40"/>
            </w:pPr>
            <w:r>
              <w:rPr>
                <w:sz w:val="19"/>
                <w:szCs w:val="19"/>
              </w:rPr>
              <w:t xml:space="preserve">V2</w:t>
            </w:r>
          </w:p>
        </w:tc>
        <w:tc>
          <w:tcPr>
            <w:tcW w:type="dxa" w:w="6048"/>
            <w:shd w:fill="FFFFFF" w:val="clear"/>
            <w:tcMar>
              <w:top w:type="dxa" w:w="90"/>
              <w:left w:type="dxa" w:w="120"/>
              <w:bottom w:type="dxa" w:w="90"/>
              <w:right w:type="dxa" w:w="120"/>
            </w:tcMar>
          </w:tcPr>
          <w:p>
            <w:pPr>
              <w:spacing w:after="40"/>
            </w:pPr>
            <w:r>
              <w:rPr>
                <w:sz w:val="19"/>
                <w:szCs w:val="19"/>
              </w:rPr>
              <w:t xml:space="preserve">Plano Enterprise com domínio próprio (reavaliar viabilidade técnica com base na demanda real). Relatórios exportáveis para a clínica. Resumo semanal automático para o profissional.</w:t>
            </w:r>
          </w:p>
        </w:tc>
        <w:tc>
          <w:tcPr>
            <w:tcW w:type="dxa" w:w="2304"/>
            <w:shd w:fill="FFFFFF" w:val="clear"/>
            <w:tcMar>
              <w:top w:type="dxa" w:w="90"/>
              <w:left w:type="dxa" w:w="120"/>
              <w:bottom w:type="dxa" w:w="90"/>
              <w:right w:type="dxa" w:w="120"/>
            </w:tcMar>
          </w:tcPr>
          <w:p>
            <w:pPr>
              <w:spacing w:after="40"/>
            </w:pPr>
            <w:r>
              <w:rPr>
                <w:sz w:val="19"/>
                <w:szCs w:val="19"/>
              </w:rPr>
              <w:t xml:space="preserve">+6–8 semanas</w:t>
            </w:r>
          </w:p>
        </w:tc>
      </w:tr>
    </w:tbl>
    <w:p>
      <w:pPr>
        <w:spacing w:after="120"/>
      </w:pPr>
    </w:p>
    <w:p>
      <w:r>
        <w:br w:type="page"/>
      </w:r>
    </w:p>
    <w:p>
      <w:pPr>
        <w:pStyle w:val="Heading1"/>
        <w:pBdr>
          <w:bottom w:val="single" w:color="6B4E9E" w:sz="6" w:space="4"/>
        </w:pBdr>
        <w:spacing w:after="160" w:before="420"/>
      </w:pPr>
      <w:r>
        <w:rPr>
          <w:b/>
          <w:bCs/>
          <w:color w:val="3F2E5C"/>
          <w:sz w:val="30"/>
          <w:szCs w:val="30"/>
        </w:rPr>
        <w:t xml:space="preserve">6. Cronograma consolidado</w:t>
      </w:r>
    </w:p>
    <w:p>
      <w:pPr>
        <w:spacing w:after="160" w:line="300"/>
      </w:pPr>
      <w:r>
        <w:rPr>
          <w:sz w:val="21"/>
          <w:szCs w:val="21"/>
        </w:rPr>
        <w:t xml:space="preserve">Visão trimestral combinando os dois módulos, assumindo início imediato do Módulo Afiliados e início do desenho de dados do B2B em paralelo (sem competir por engenharia até o Afiliados MVP estar no ar):</w:t>
      </w:r>
    </w:p>
    <w:tbl>
      <w:tblPr>
        <w:tblW w:type="dxa" w:w="9792"/>
        <w:tblBorders>
          <w:top w:val="single" w:color="CCCCCC" w:sz="2"/>
          <w:left w:val="single" w:color="CCCCCC" w:sz="2"/>
          <w:bottom w:val="single" w:color="CCCCCC" w:sz="2"/>
          <w:right w:val="single" w:color="CCCCCC" w:sz="2"/>
          <w:insideH w:val="single" w:color="E2DCF0" w:sz="2"/>
          <w:insideV w:val="single" w:color="E2DCF0" w:sz="2"/>
        </w:tblBorders>
      </w:tblPr>
      <w:tblGrid>
        <w:gridCol w:w="2016"/>
        <w:gridCol w:w="3888"/>
        <w:gridCol w:w="3888"/>
      </w:tblGrid>
      <w:tr>
        <w:trPr>
          <w:tblHeader/>
        </w:trPr>
        <w:tc>
          <w:tcPr>
            <w:tcW w:type="dxa" w:w="2016"/>
            <w:shd w:fill="6B4E9E" w:val="clear"/>
            <w:tcMar>
              <w:top w:type="dxa" w:w="100"/>
              <w:left w:type="dxa" w:w="120"/>
              <w:bottom w:type="dxa" w:w="100"/>
              <w:right w:type="dxa" w:w="120"/>
            </w:tcMar>
          </w:tcPr>
          <w:p>
            <w:r>
              <w:rPr>
                <w:b/>
                <w:bCs/>
                <w:color w:val="FFFFFF"/>
                <w:sz w:val="19"/>
                <w:szCs w:val="19"/>
              </w:rPr>
              <w:t xml:space="preserve">Período</w:t>
            </w:r>
          </w:p>
        </w:tc>
        <w:tc>
          <w:tcPr>
            <w:tcW w:type="dxa" w:w="3888"/>
            <w:shd w:fill="6B4E9E" w:val="clear"/>
            <w:tcMar>
              <w:top w:type="dxa" w:w="100"/>
              <w:left w:type="dxa" w:w="120"/>
              <w:bottom w:type="dxa" w:w="100"/>
              <w:right w:type="dxa" w:w="120"/>
            </w:tcMar>
          </w:tcPr>
          <w:p>
            <w:r>
              <w:rPr>
                <w:b/>
                <w:bCs/>
                <w:color w:val="FFFFFF"/>
                <w:sz w:val="19"/>
                <w:szCs w:val="19"/>
              </w:rPr>
              <w:t xml:space="preserve">Afiliados</w:t>
            </w:r>
          </w:p>
        </w:tc>
        <w:tc>
          <w:tcPr>
            <w:tcW w:type="dxa" w:w="3888"/>
            <w:shd w:fill="6B4E9E" w:val="clear"/>
            <w:tcMar>
              <w:top w:type="dxa" w:w="100"/>
              <w:left w:type="dxa" w:w="120"/>
              <w:bottom w:type="dxa" w:w="100"/>
              <w:right w:type="dxa" w:w="120"/>
            </w:tcMar>
          </w:tcPr>
          <w:p>
            <w:r>
              <w:rPr>
                <w:b/>
                <w:bCs/>
                <w:color w:val="FFFFFF"/>
                <w:sz w:val="19"/>
                <w:szCs w:val="19"/>
              </w:rPr>
              <w:t xml:space="preserve">B2B</w:t>
            </w:r>
          </w:p>
        </w:tc>
      </w:tr>
      <w:tr>
        <w:tc>
          <w:tcPr>
            <w:tcW w:type="dxa" w:w="2016"/>
            <w:shd w:fill="FFFFFF" w:val="clear"/>
            <w:tcMar>
              <w:top w:type="dxa" w:w="90"/>
              <w:left w:type="dxa" w:w="120"/>
              <w:bottom w:type="dxa" w:w="90"/>
              <w:right w:type="dxa" w:w="120"/>
            </w:tcMar>
          </w:tcPr>
          <w:p>
            <w:pPr>
              <w:spacing w:after="40"/>
            </w:pPr>
            <w:r>
              <w:rPr>
                <w:sz w:val="19"/>
                <w:szCs w:val="19"/>
              </w:rPr>
              <w:t xml:space="preserve">Semanas 1–2</w:t>
            </w:r>
          </w:p>
        </w:tc>
        <w:tc>
          <w:tcPr>
            <w:tcW w:type="dxa" w:w="3888"/>
            <w:shd w:fill="FFFFFF" w:val="clear"/>
            <w:tcMar>
              <w:top w:type="dxa" w:w="90"/>
              <w:left w:type="dxa" w:w="120"/>
              <w:bottom w:type="dxa" w:w="90"/>
              <w:right w:type="dxa" w:w="120"/>
            </w:tcMar>
          </w:tcPr>
          <w:p>
            <w:pPr>
              <w:spacing w:after="40"/>
            </w:pPr>
            <w:r>
              <w:rPr>
                <w:sz w:val="19"/>
                <w:szCs w:val="19"/>
              </w:rPr>
              <w:t xml:space="preserve">Curadoria de marcas + integração Awin/Amazon Associados</w:t>
            </w:r>
          </w:p>
        </w:tc>
        <w:tc>
          <w:tcPr>
            <w:tcW w:type="dxa" w:w="3888"/>
            <w:shd w:fill="FFFFFF" w:val="clear"/>
            <w:tcMar>
              <w:top w:type="dxa" w:w="90"/>
              <w:left w:type="dxa" w:w="120"/>
              <w:bottom w:type="dxa" w:w="90"/>
              <w:right w:type="dxa" w:w="120"/>
            </w:tcMar>
          </w:tcPr>
          <w:p>
            <w:pPr>
              <w:spacing w:after="40"/>
            </w:pPr>
            <w:r>
              <w:rPr>
                <w:sz w:val="19"/>
                <w:szCs w:val="19"/>
              </w:rPr>
              <w:t xml:space="preserve">Desenho de schema (clinics/staff/patients) e RLS — sem build ainda</w:t>
            </w:r>
          </w:p>
        </w:tc>
      </w:tr>
      <w:tr>
        <w:tc>
          <w:tcPr>
            <w:tcW w:type="dxa" w:w="2016"/>
            <w:shd w:fill="F7F5FB" w:val="clear"/>
            <w:tcMar>
              <w:top w:type="dxa" w:w="90"/>
              <w:left w:type="dxa" w:w="120"/>
              <w:bottom w:type="dxa" w:w="90"/>
              <w:right w:type="dxa" w:w="120"/>
            </w:tcMar>
          </w:tcPr>
          <w:p>
            <w:pPr>
              <w:spacing w:after="40"/>
            </w:pPr>
            <w:r>
              <w:rPr>
                <w:sz w:val="19"/>
                <w:szCs w:val="19"/>
              </w:rPr>
              <w:t xml:space="preserve">Semanas 3–6</w:t>
            </w:r>
          </w:p>
        </w:tc>
        <w:tc>
          <w:tcPr>
            <w:tcW w:type="dxa" w:w="3888"/>
            <w:shd w:fill="F7F5FB" w:val="clear"/>
            <w:tcMar>
              <w:top w:type="dxa" w:w="90"/>
              <w:left w:type="dxa" w:w="120"/>
              <w:bottom w:type="dxa" w:w="90"/>
              <w:right w:type="dxa" w:w="120"/>
            </w:tcMar>
          </w:tcPr>
          <w:p>
            <w:pPr>
              <w:spacing w:after="40"/>
            </w:pPr>
            <w:r>
              <w:rPr>
                <w:sz w:val="19"/>
                <w:szCs w:val="19"/>
              </w:rPr>
              <w:t xml:space="preserve">MVP no ar: cartão de produto na rotina</w:t>
            </w:r>
          </w:p>
        </w:tc>
        <w:tc>
          <w:tcPr>
            <w:tcW w:type="dxa" w:w="3888"/>
            <w:shd w:fill="F7F5FB" w:val="clear"/>
            <w:tcMar>
              <w:top w:type="dxa" w:w="90"/>
              <w:left w:type="dxa" w:w="120"/>
              <w:bottom w:type="dxa" w:w="90"/>
              <w:right w:type="dxa" w:w="120"/>
            </w:tcMar>
          </w:tcPr>
          <w:p>
            <w:pPr>
              <w:spacing w:after="40"/>
            </w:pPr>
            <w:r>
              <w:rPr>
                <w:sz w:val="19"/>
                <w:szCs w:val="19"/>
              </w:rPr>
              <w:t xml:space="preserve">Protótipo de painel da clínica + branding leve</w:t>
            </w:r>
          </w:p>
        </w:tc>
      </w:tr>
      <w:tr>
        <w:tc>
          <w:tcPr>
            <w:tcW w:type="dxa" w:w="2016"/>
            <w:shd w:fill="FFFFFF" w:val="clear"/>
            <w:tcMar>
              <w:top w:type="dxa" w:w="90"/>
              <w:left w:type="dxa" w:w="120"/>
              <w:bottom w:type="dxa" w:w="90"/>
              <w:right w:type="dxa" w:w="120"/>
            </w:tcMar>
          </w:tcPr>
          <w:p>
            <w:pPr>
              <w:spacing w:after="40"/>
            </w:pPr>
            <w:r>
              <w:rPr>
                <w:sz w:val="19"/>
                <w:szCs w:val="19"/>
              </w:rPr>
              <w:t xml:space="preserve">Semanas 7–10</w:t>
            </w:r>
          </w:p>
        </w:tc>
        <w:tc>
          <w:tcPr>
            <w:tcW w:type="dxa" w:w="3888"/>
            <w:shd w:fill="FFFFFF" w:val="clear"/>
            <w:tcMar>
              <w:top w:type="dxa" w:w="90"/>
              <w:left w:type="dxa" w:w="120"/>
              <w:bottom w:type="dxa" w:w="90"/>
              <w:right w:type="dxa" w:w="120"/>
            </w:tcMar>
          </w:tcPr>
          <w:p>
            <w:pPr>
              <w:spacing w:after="40"/>
            </w:pPr>
            <w:r>
              <w:rPr>
                <w:sz w:val="19"/>
                <w:szCs w:val="19"/>
              </w:rPr>
              <w:t xml:space="preserve">V1: kits, e-mail semanal, push</w:t>
            </w:r>
          </w:p>
        </w:tc>
        <w:tc>
          <w:tcPr>
            <w:tcW w:type="dxa" w:w="3888"/>
            <w:shd w:fill="FFFFFF" w:val="clear"/>
            <w:tcMar>
              <w:top w:type="dxa" w:w="90"/>
              <w:left w:type="dxa" w:w="120"/>
              <w:bottom w:type="dxa" w:w="90"/>
              <w:right w:type="dxa" w:w="120"/>
            </w:tcMar>
          </w:tcPr>
          <w:p>
            <w:pPr>
              <w:spacing w:after="40"/>
            </w:pPr>
            <w:r>
              <w:rPr>
                <w:sz w:val="19"/>
                <w:szCs w:val="19"/>
              </w:rPr>
              <w:t xml:space="preserve">MVP em piloto fechado com 2–3 clínicas parceiras</w:t>
            </w:r>
          </w:p>
        </w:tc>
      </w:tr>
      <w:tr>
        <w:tc>
          <w:tcPr>
            <w:tcW w:type="dxa" w:w="2016"/>
            <w:shd w:fill="F7F5FB" w:val="clear"/>
            <w:tcMar>
              <w:top w:type="dxa" w:w="90"/>
              <w:left w:type="dxa" w:w="120"/>
              <w:bottom w:type="dxa" w:w="90"/>
              <w:right w:type="dxa" w:w="120"/>
            </w:tcMar>
          </w:tcPr>
          <w:p>
            <w:pPr>
              <w:spacing w:after="40"/>
            </w:pPr>
            <w:r>
              <w:rPr>
                <w:sz w:val="19"/>
                <w:szCs w:val="19"/>
              </w:rPr>
              <w:t xml:space="preserve">Semanas 11–16</w:t>
            </w:r>
          </w:p>
        </w:tc>
        <w:tc>
          <w:tcPr>
            <w:tcW w:type="dxa" w:w="3888"/>
            <w:shd w:fill="F7F5FB" w:val="clear"/>
            <w:tcMar>
              <w:top w:type="dxa" w:w="90"/>
              <w:left w:type="dxa" w:w="120"/>
              <w:bottom w:type="dxa" w:w="90"/>
              <w:right w:type="dxa" w:w="120"/>
            </w:tcMar>
          </w:tcPr>
          <w:p>
            <w:pPr>
              <w:spacing w:after="40"/>
            </w:pPr>
            <w:r>
              <w:rPr>
                <w:sz w:val="19"/>
                <w:szCs w:val="19"/>
              </w:rPr>
              <w:t xml:space="preserve">V2: negociação direta com laboratórios, IA para justificativa</w:t>
            </w:r>
          </w:p>
        </w:tc>
        <w:tc>
          <w:tcPr>
            <w:tcW w:type="dxa" w:w="3888"/>
            <w:shd w:fill="F7F5FB" w:val="clear"/>
            <w:tcMar>
              <w:top w:type="dxa" w:w="90"/>
              <w:left w:type="dxa" w:w="120"/>
              <w:bottom w:type="dxa" w:w="90"/>
              <w:right w:type="dxa" w:w="120"/>
            </w:tcMar>
          </w:tcPr>
          <w:p>
            <w:pPr>
              <w:spacing w:after="40"/>
            </w:pPr>
            <w:r>
              <w:rPr>
                <w:sz w:val="19"/>
                <w:szCs w:val="19"/>
              </w:rPr>
              <w:t xml:space="preserve">V1: onboarding self-service, cobrança recorrente formal</w:t>
            </w:r>
          </w:p>
        </w:tc>
      </w:tr>
    </w:tbl>
    <w:p>
      <w:pPr>
        <w:spacing w:after="120"/>
      </w:pPr>
    </w:p>
    <w:p>
      <w:pPr>
        <w:pStyle w:val="Heading1"/>
        <w:pBdr>
          <w:bottom w:val="single" w:color="6B4E9E" w:sz="6" w:space="4"/>
        </w:pBdr>
        <w:spacing w:after="160" w:before="420"/>
      </w:pPr>
      <w:r>
        <w:rPr>
          <w:b/>
          <w:bCs/>
          <w:color w:val="3F2E5C"/>
          <w:sz w:val="30"/>
          <w:szCs w:val="30"/>
        </w:rPr>
        <w:t xml:space="preserve">7. Riscos e mitigação</w:t>
      </w:r>
    </w:p>
    <w:tbl>
      <w:tblPr>
        <w:tblW w:type="dxa" w:w="9791"/>
        <w:tblBorders>
          <w:top w:val="single" w:color="CCCCCC" w:sz="2"/>
          <w:left w:val="single" w:color="CCCCCC" w:sz="2"/>
          <w:bottom w:val="single" w:color="CCCCCC" w:sz="2"/>
          <w:right w:val="single" w:color="CCCCCC" w:sz="2"/>
          <w:insideH w:val="single" w:color="E2DCF0" w:sz="2"/>
          <w:insideV w:val="single" w:color="E2DCF0" w:sz="2"/>
        </w:tblBorders>
      </w:tblPr>
      <w:tblGrid>
        <w:gridCol w:w="3024"/>
        <w:gridCol w:w="1727"/>
        <w:gridCol w:w="5040"/>
      </w:tblGrid>
      <w:tr>
        <w:trPr>
          <w:tblHeader/>
        </w:trPr>
        <w:tc>
          <w:tcPr>
            <w:tcW w:type="dxa" w:w="3024"/>
            <w:shd w:fill="6B4E9E" w:val="clear"/>
            <w:tcMar>
              <w:top w:type="dxa" w:w="100"/>
              <w:left w:type="dxa" w:w="120"/>
              <w:bottom w:type="dxa" w:w="100"/>
              <w:right w:type="dxa" w:w="120"/>
            </w:tcMar>
          </w:tcPr>
          <w:p>
            <w:r>
              <w:rPr>
                <w:b/>
                <w:bCs/>
                <w:color w:val="FFFFFF"/>
                <w:sz w:val="19"/>
                <w:szCs w:val="19"/>
              </w:rPr>
              <w:t xml:space="preserve">Risco</w:t>
            </w:r>
          </w:p>
        </w:tc>
        <w:tc>
          <w:tcPr>
            <w:tcW w:type="dxa" w:w="1727"/>
            <w:shd w:fill="6B4E9E" w:val="clear"/>
            <w:tcMar>
              <w:top w:type="dxa" w:w="100"/>
              <w:left w:type="dxa" w:w="120"/>
              <w:bottom w:type="dxa" w:w="100"/>
              <w:right w:type="dxa" w:w="120"/>
            </w:tcMar>
          </w:tcPr>
          <w:p>
            <w:r>
              <w:rPr>
                <w:b/>
                <w:bCs/>
                <w:color w:val="FFFFFF"/>
                <w:sz w:val="19"/>
                <w:szCs w:val="19"/>
              </w:rPr>
              <w:t xml:space="preserve">Impacto</w:t>
            </w:r>
          </w:p>
        </w:tc>
        <w:tc>
          <w:tcPr>
            <w:tcW w:type="dxa" w:w="5040"/>
            <w:shd w:fill="6B4E9E" w:val="clear"/>
            <w:tcMar>
              <w:top w:type="dxa" w:w="100"/>
              <w:left w:type="dxa" w:w="120"/>
              <w:bottom w:type="dxa" w:w="100"/>
              <w:right w:type="dxa" w:w="120"/>
            </w:tcMar>
          </w:tcPr>
          <w:p>
            <w:r>
              <w:rPr>
                <w:b/>
                <w:bCs/>
                <w:color w:val="FFFFFF"/>
                <w:sz w:val="19"/>
                <w:szCs w:val="19"/>
              </w:rPr>
              <w:t xml:space="preserve">Mitigação</w:t>
            </w:r>
          </w:p>
        </w:tc>
      </w:tr>
      <w:tr>
        <w:tc>
          <w:tcPr>
            <w:tcW w:type="dxa" w:w="3024"/>
            <w:shd w:fill="FFFFFF" w:val="clear"/>
            <w:tcMar>
              <w:top w:type="dxa" w:w="90"/>
              <w:left w:type="dxa" w:w="120"/>
              <w:bottom w:type="dxa" w:w="90"/>
              <w:right w:type="dxa" w:w="120"/>
            </w:tcMar>
          </w:tcPr>
          <w:p>
            <w:pPr>
              <w:spacing w:after="40"/>
            </w:pPr>
            <w:r>
              <w:rPr>
                <w:sz w:val="19"/>
                <w:szCs w:val="19"/>
              </w:rPr>
              <w:t xml:space="preserve">Conflito de interesse percebido (indicar produto por comissão, não por ser o melhor)</w:t>
            </w:r>
          </w:p>
        </w:tc>
        <w:tc>
          <w:tcPr>
            <w:tcW w:type="dxa" w:w="1727"/>
            <w:shd w:fill="FFFFFF" w:val="clear"/>
            <w:tcMar>
              <w:top w:type="dxa" w:w="90"/>
              <w:left w:type="dxa" w:w="120"/>
              <w:bottom w:type="dxa" w:w="90"/>
              <w:right w:type="dxa" w:w="120"/>
            </w:tcMar>
          </w:tcPr>
          <w:p>
            <w:pPr>
              <w:spacing w:after="40"/>
            </w:pPr>
            <w:r>
              <w:rPr>
                <w:sz w:val="19"/>
                <w:szCs w:val="19"/>
              </w:rPr>
              <w:t xml:space="preserve">Alto — corrói a confiança, que é o ativo central do app</w:t>
            </w:r>
          </w:p>
        </w:tc>
        <w:tc>
          <w:tcPr>
            <w:tcW w:type="dxa" w:w="5040"/>
            <w:shd w:fill="FFFFFF" w:val="clear"/>
            <w:tcMar>
              <w:top w:type="dxa" w:w="90"/>
              <w:left w:type="dxa" w:w="120"/>
              <w:bottom w:type="dxa" w:w="90"/>
              <w:right w:type="dxa" w:w="120"/>
            </w:tcMar>
          </w:tcPr>
          <w:p>
            <w:pPr>
              <w:spacing w:after="40"/>
            </w:pPr>
            <w:r>
              <w:rPr>
                <w:sz w:val="19"/>
                <w:szCs w:val="19"/>
              </w:rPr>
              <w:t xml:space="preserve">Curadoria antes da comissão (seção 4.1); selo de transparência; alternativas em faixas de preço diferentes, não só a opção mais rentável</w:t>
            </w:r>
          </w:p>
        </w:tc>
      </w:tr>
      <w:tr>
        <w:tc>
          <w:tcPr>
            <w:tcW w:type="dxa" w:w="3024"/>
            <w:shd w:fill="F7F5FB" w:val="clear"/>
            <w:tcMar>
              <w:top w:type="dxa" w:w="90"/>
              <w:left w:type="dxa" w:w="120"/>
              <w:bottom w:type="dxa" w:w="90"/>
              <w:right w:type="dxa" w:w="120"/>
            </w:tcMar>
          </w:tcPr>
          <w:p>
            <w:pPr>
              <w:spacing w:after="40"/>
            </w:pPr>
            <w:r>
              <w:rPr>
                <w:sz w:val="19"/>
                <w:szCs w:val="19"/>
              </w:rPr>
              <w:t xml:space="preserve">Dado de saúde exposto incorretamente no B2B (clínica vendo mais do que deveria, ou paciente sem saber que é visto)</w:t>
            </w:r>
          </w:p>
        </w:tc>
        <w:tc>
          <w:tcPr>
            <w:tcW w:type="dxa" w:w="1727"/>
            <w:shd w:fill="F7F5FB" w:val="clear"/>
            <w:tcMar>
              <w:top w:type="dxa" w:w="90"/>
              <w:left w:type="dxa" w:w="120"/>
              <w:bottom w:type="dxa" w:w="90"/>
              <w:right w:type="dxa" w:w="120"/>
            </w:tcMar>
          </w:tcPr>
          <w:p>
            <w:pPr>
              <w:spacing w:after="40"/>
            </w:pPr>
            <w:r>
              <w:rPr>
                <w:sz w:val="19"/>
                <w:szCs w:val="19"/>
              </w:rPr>
              <w:t xml:space="preserve">Alto — risco legal (LGPD) e reputacional</w:t>
            </w:r>
          </w:p>
        </w:tc>
        <w:tc>
          <w:tcPr>
            <w:tcW w:type="dxa" w:w="5040"/>
            <w:shd w:fill="F7F5FB" w:val="clear"/>
            <w:tcMar>
              <w:top w:type="dxa" w:w="90"/>
              <w:left w:type="dxa" w:w="120"/>
              <w:bottom w:type="dxa" w:w="90"/>
              <w:right w:type="dxa" w:w="120"/>
            </w:tcMar>
          </w:tcPr>
          <w:p>
            <w:pPr>
              <w:spacing w:after="40"/>
            </w:pPr>
            <w:r>
              <w:rPr>
                <w:sz w:val="19"/>
                <w:szCs w:val="19"/>
              </w:rPr>
              <w:t xml:space="preserve">Consentimento explícito por vínculo clínica-paciente; RLS restringindo por clinic_id; revisão jurídica formal do contrato B2B antes do primeiro piloto pago</w:t>
            </w:r>
          </w:p>
        </w:tc>
      </w:tr>
      <w:tr>
        <w:tc>
          <w:tcPr>
            <w:tcW w:type="dxa" w:w="3024"/>
            <w:shd w:fill="FFFFFF" w:val="clear"/>
            <w:tcMar>
              <w:top w:type="dxa" w:w="90"/>
              <w:left w:type="dxa" w:w="120"/>
              <w:bottom w:type="dxa" w:w="90"/>
              <w:right w:type="dxa" w:w="120"/>
            </w:tcMar>
          </w:tcPr>
          <w:p>
            <w:pPr>
              <w:spacing w:after="40"/>
            </w:pPr>
            <w:r>
              <w:rPr>
                <w:sz w:val="19"/>
                <w:szCs w:val="19"/>
              </w:rPr>
              <w:t xml:space="preserve">Rede de afiliado reportar conversão com atraso/imprecisão</w:t>
            </w:r>
          </w:p>
        </w:tc>
        <w:tc>
          <w:tcPr>
            <w:tcW w:type="dxa" w:w="1727"/>
            <w:shd w:fill="FFFFFF" w:val="clear"/>
            <w:tcMar>
              <w:top w:type="dxa" w:w="90"/>
              <w:left w:type="dxa" w:w="120"/>
              <w:bottom w:type="dxa" w:w="90"/>
              <w:right w:type="dxa" w:w="120"/>
            </w:tcMar>
          </w:tcPr>
          <w:p>
            <w:pPr>
              <w:spacing w:after="40"/>
            </w:pPr>
            <w:r>
              <w:rPr>
                <w:sz w:val="19"/>
                <w:szCs w:val="19"/>
              </w:rPr>
              <w:t xml:space="preserve">Médio — dificulta medir ROI do módulo com precisão no início</w:t>
            </w:r>
          </w:p>
        </w:tc>
        <w:tc>
          <w:tcPr>
            <w:tcW w:type="dxa" w:w="5040"/>
            <w:shd w:fill="FFFFFF" w:val="clear"/>
            <w:tcMar>
              <w:top w:type="dxa" w:w="90"/>
              <w:left w:type="dxa" w:w="120"/>
              <w:bottom w:type="dxa" w:w="90"/>
              <w:right w:type="dxa" w:w="120"/>
            </w:tcMar>
          </w:tcPr>
          <w:p>
            <w:pPr>
              <w:spacing w:after="40"/>
            </w:pPr>
            <w:r>
              <w:rPr>
                <w:sz w:val="19"/>
                <w:szCs w:val="19"/>
              </w:rPr>
              <w:t xml:space="preserve">Tratar os números de RPU do MVP como direcionais nos primeiros 2–3 meses; não tomar decisão de corte de catálogo só com 1 mês de dado</w:t>
            </w:r>
          </w:p>
        </w:tc>
      </w:tr>
      <w:tr>
        <w:tc>
          <w:tcPr>
            <w:tcW w:type="dxa" w:w="3024"/>
            <w:shd w:fill="F7F5FB" w:val="clear"/>
            <w:tcMar>
              <w:top w:type="dxa" w:w="90"/>
              <w:left w:type="dxa" w:w="120"/>
              <w:bottom w:type="dxa" w:w="90"/>
              <w:right w:type="dxa" w:w="120"/>
            </w:tcMar>
          </w:tcPr>
          <w:p>
            <w:pPr>
              <w:spacing w:after="40"/>
            </w:pPr>
            <w:r>
              <w:rPr>
                <w:sz w:val="19"/>
                <w:szCs w:val="19"/>
              </w:rPr>
              <w:t xml:space="preserve">Ciclo de venda B2B mais longo que o esperado, atrasando receita</w:t>
            </w:r>
          </w:p>
        </w:tc>
        <w:tc>
          <w:tcPr>
            <w:tcW w:type="dxa" w:w="1727"/>
            <w:shd w:fill="F7F5FB" w:val="clear"/>
            <w:tcMar>
              <w:top w:type="dxa" w:w="90"/>
              <w:left w:type="dxa" w:w="120"/>
              <w:bottom w:type="dxa" w:w="90"/>
              <w:right w:type="dxa" w:w="120"/>
            </w:tcMar>
          </w:tcPr>
          <w:p>
            <w:pPr>
              <w:spacing w:after="40"/>
            </w:pPr>
            <w:r>
              <w:rPr>
                <w:sz w:val="19"/>
                <w:szCs w:val="19"/>
              </w:rPr>
              <w:t xml:space="preserve">Médio — pressão de caixa se não houver a receita de Afiliados rodando em paralelo</w:t>
            </w:r>
          </w:p>
        </w:tc>
        <w:tc>
          <w:tcPr>
            <w:tcW w:type="dxa" w:w="5040"/>
            <w:shd w:fill="F7F5FB" w:val="clear"/>
            <w:tcMar>
              <w:top w:type="dxa" w:w="90"/>
              <w:left w:type="dxa" w:w="120"/>
              <w:bottom w:type="dxa" w:w="90"/>
              <w:right w:type="dxa" w:w="120"/>
            </w:tcMar>
          </w:tcPr>
          <w:p>
            <w:pPr>
              <w:spacing w:after="40"/>
            </w:pPr>
            <w:r>
              <w:rPr>
                <w:sz w:val="19"/>
                <w:szCs w:val="19"/>
              </w:rPr>
              <w:t xml:space="preserve">Exatamente por isso o sequenciamento recomendado começa por Afiliados (seção 3)</w:t>
            </w:r>
          </w:p>
        </w:tc>
      </w:tr>
      <w:tr>
        <w:tc>
          <w:tcPr>
            <w:tcW w:type="dxa" w:w="3024"/>
            <w:shd w:fill="FFFFFF" w:val="clear"/>
            <w:tcMar>
              <w:top w:type="dxa" w:w="90"/>
              <w:left w:type="dxa" w:w="120"/>
              <w:bottom w:type="dxa" w:w="90"/>
              <w:right w:type="dxa" w:w="120"/>
            </w:tcMar>
          </w:tcPr>
          <w:p>
            <w:pPr>
              <w:spacing w:after="40"/>
            </w:pPr>
            <w:r>
              <w:rPr>
                <w:sz w:val="19"/>
                <w:szCs w:val="19"/>
              </w:rPr>
              <w:t xml:space="preserve">Canibalização de preço: clínica pede desconto alegando que "o paciente já pagaria sozinho"</w:t>
            </w:r>
          </w:p>
        </w:tc>
        <w:tc>
          <w:tcPr>
            <w:tcW w:type="dxa" w:w="1727"/>
            <w:shd w:fill="FFFFFF" w:val="clear"/>
            <w:tcMar>
              <w:top w:type="dxa" w:w="90"/>
              <w:left w:type="dxa" w:w="120"/>
              <w:bottom w:type="dxa" w:w="90"/>
              <w:right w:type="dxa" w:w="120"/>
            </w:tcMar>
          </w:tcPr>
          <w:p>
            <w:pPr>
              <w:spacing w:after="40"/>
            </w:pPr>
            <w:r>
              <w:rPr>
                <w:sz w:val="19"/>
                <w:szCs w:val="19"/>
              </w:rPr>
              <w:t xml:space="preserve">Médio — pressão sobre o pricing B2B</w:t>
            </w:r>
          </w:p>
        </w:tc>
        <w:tc>
          <w:tcPr>
            <w:tcW w:type="dxa" w:w="5040"/>
            <w:shd w:fill="FFFFFF" w:val="clear"/>
            <w:tcMar>
              <w:top w:type="dxa" w:w="90"/>
              <w:left w:type="dxa" w:w="120"/>
              <w:bottom w:type="dxa" w:w="90"/>
              <w:right w:type="dxa" w:w="120"/>
            </w:tcMar>
          </w:tcPr>
          <w:p>
            <w:pPr>
              <w:spacing w:after="40"/>
            </w:pPr>
            <w:r>
              <w:rPr>
                <w:sz w:val="19"/>
                <w:szCs w:val="19"/>
              </w:rPr>
              <w:t xml:space="preserve">Deixar claro que o valor vendido à clínica é a ferramenta de acompanhamento profissional, não revenda de assinatura B2C — política de desconto por volume definida antes das primeiras negociações</w:t>
            </w:r>
          </w:p>
        </w:tc>
      </w:tr>
    </w:tbl>
    <w:p>
      <w:pPr>
        <w:spacing w:after="120"/>
      </w:pPr>
    </w:p>
    <w:p>
      <w:pPr>
        <w:pStyle w:val="Heading1"/>
        <w:pBdr>
          <w:bottom w:val="single" w:color="6B4E9E" w:sz="6" w:space="4"/>
        </w:pBdr>
        <w:spacing w:after="160" w:before="420"/>
      </w:pPr>
      <w:r>
        <w:rPr>
          <w:b/>
          <w:bCs/>
          <w:color w:val="3F2E5C"/>
          <w:sz w:val="30"/>
          <w:szCs w:val="30"/>
        </w:rPr>
        <w:t xml:space="preserve">8. Métrica norte por módulo</w:t>
      </w:r>
    </w:p>
    <w:p>
      <w:pPr>
        <w:pStyle w:val="ListParagraph"/>
        <w:numPr>
          <w:ilvl w:val="0"/>
          <w:numId w:val="2"/>
        </w:numPr>
        <w:spacing w:after="90" w:line="290"/>
      </w:pPr>
      <w:r>
        <w:rPr>
          <w:b/>
          <w:bCs/>
          <w:sz w:val="21"/>
          <w:szCs w:val="21"/>
        </w:rPr>
        <w:t xml:space="preserve">Afiliados — </w:t>
      </w:r>
      <w:r>
        <w:rPr>
          <w:sz w:val="21"/>
          <w:szCs w:val="21"/>
        </w:rPr>
        <w:t xml:space="preserve">Receita de comissão por usuário ativo mensal (RPU de afiliados). É a métrica que prova que a recomendação de produto está gerando caixa incremental sem depender de novos assinantes.</w:t>
      </w:r>
    </w:p>
    <w:p>
      <w:pPr>
        <w:pStyle w:val="ListParagraph"/>
        <w:numPr>
          <w:ilvl w:val="0"/>
          <w:numId w:val="2"/>
        </w:numPr>
        <w:spacing w:after="90" w:line="290"/>
      </w:pPr>
      <w:r>
        <w:rPr>
          <w:b/>
          <w:bCs/>
          <w:sz w:val="21"/>
          <w:szCs w:val="21"/>
        </w:rPr>
        <w:t xml:space="preserve">B2B — </w:t>
      </w:r>
      <w:r>
        <w:rPr>
          <w:sz w:val="21"/>
          <w:szCs w:val="21"/>
        </w:rPr>
        <w:t xml:space="preserve">Número de pacientes ativos faturáveis (assentos ativos) e taxa de renovação mensal das clínicas parceiras. É a métrica que prova retenção do cliente B2B — o que importa mais, no médio prazo, do que o número bruto de clínicas contratadas.</w:t>
      </w:r>
    </w:p>
    <w:p>
      <w:pPr>
        <w:spacing w:after="120"/>
      </w:pPr>
    </w:p>
    <w:p>
      <w:pPr>
        <w:pStyle w:val="Heading1"/>
        <w:pBdr>
          <w:bottom w:val="single" w:color="6B4E9E" w:sz="6" w:space="4"/>
        </w:pBdr>
        <w:spacing w:after="160" w:before="420"/>
      </w:pPr>
      <w:r>
        <w:rPr>
          <w:b/>
          <w:bCs/>
          <w:color w:val="3F2E5C"/>
          <w:sz w:val="30"/>
          <w:szCs w:val="30"/>
        </w:rPr>
        <w:t xml:space="preserve">9. Próximos passos imediatos (próximas 2–4 semanas)</w:t>
      </w:r>
    </w:p>
    <w:p>
      <w:pPr>
        <w:pStyle w:val="ListParagraph"/>
        <w:numPr>
          <w:ilvl w:val="0"/>
          <w:numId w:val="2"/>
        </w:numPr>
        <w:spacing w:after="90" w:line="290"/>
      </w:pPr>
      <w:r>
        <w:rPr>
          <w:b/>
          <w:bCs/>
          <w:sz w:val="21"/>
          <w:szCs w:val="21"/>
        </w:rPr>
        <w:t xml:space="preserve">1. </w:t>
      </w:r>
      <w:r>
        <w:rPr>
          <w:sz w:val="21"/>
          <w:szCs w:val="21"/>
        </w:rPr>
        <w:t xml:space="preserve">Definir a lista inicial de 8–12 marcas curadas (2–3 por categoria de produto mais comum na rotina) — decisão de produto, não de engenharia.</w:t>
      </w:r>
    </w:p>
    <w:p>
      <w:pPr>
        <w:pStyle w:val="ListParagraph"/>
        <w:numPr>
          <w:ilvl w:val="0"/>
          <w:numId w:val="2"/>
        </w:numPr>
        <w:spacing w:after="90" w:line="290"/>
      </w:pPr>
      <w:r>
        <w:rPr>
          <w:b/>
          <w:bCs/>
          <w:sz w:val="21"/>
          <w:szCs w:val="21"/>
        </w:rPr>
        <w:t xml:space="preserve">2. </w:t>
      </w:r>
      <w:r>
        <w:rPr>
          <w:sz w:val="21"/>
          <w:szCs w:val="21"/>
        </w:rPr>
        <w:t xml:space="preserve">Abrir cadastro na Awin e no Amazon Associados e mapear quais marcas da lista curada já estão disponíveis em cada rede.</w:t>
      </w:r>
    </w:p>
    <w:p>
      <w:pPr>
        <w:pStyle w:val="ListParagraph"/>
        <w:numPr>
          <w:ilvl w:val="0"/>
          <w:numId w:val="2"/>
        </w:numPr>
        <w:spacing w:after="90" w:line="290"/>
      </w:pPr>
      <w:r>
        <w:rPr>
          <w:b/>
          <w:bCs/>
          <w:sz w:val="21"/>
          <w:szCs w:val="21"/>
        </w:rPr>
        <w:t xml:space="preserve">3. </w:t>
      </w:r>
      <w:r>
        <w:rPr>
          <w:sz w:val="21"/>
          <w:szCs w:val="21"/>
        </w:rPr>
        <w:t xml:space="preserve">Desenhar e revisar as tabelas brands/products/affiliate_links/kits com o time técnico, validando o matching por budget_level/skin_type contra casos reais de rotina já geradas.</w:t>
      </w:r>
    </w:p>
    <w:p>
      <w:pPr>
        <w:pStyle w:val="ListParagraph"/>
        <w:numPr>
          <w:ilvl w:val="0"/>
          <w:numId w:val="2"/>
        </w:numPr>
        <w:spacing w:after="90" w:line="290"/>
      </w:pPr>
      <w:r>
        <w:rPr>
          <w:b/>
          <w:bCs/>
          <w:sz w:val="21"/>
          <w:szCs w:val="21"/>
        </w:rPr>
        <w:t xml:space="preserve">4. </w:t>
      </w:r>
      <w:r>
        <w:rPr>
          <w:sz w:val="21"/>
          <w:szCs w:val="21"/>
        </w:rPr>
        <w:t xml:space="preserve">Redigir o texto de transparência ("contém link de afiliado") e validar com jurídico junto da atualização necessária na política de privacidade (nova finalidade de uso do perfil de pele).</w:t>
      </w:r>
    </w:p>
    <w:p>
      <w:pPr>
        <w:pStyle w:val="ListParagraph"/>
        <w:numPr>
          <w:ilvl w:val="0"/>
          <w:numId w:val="2"/>
        </w:numPr>
        <w:spacing w:after="90" w:line="290"/>
      </w:pPr>
      <w:r>
        <w:rPr>
          <w:b/>
          <w:bCs/>
          <w:sz w:val="21"/>
          <w:szCs w:val="21"/>
        </w:rPr>
        <w:t xml:space="preserve">5. </w:t>
      </w:r>
      <w:r>
        <w:rPr>
          <w:sz w:val="21"/>
          <w:szCs w:val="21"/>
        </w:rPr>
        <w:t xml:space="preserve">Em paralelo, desenhar o schema clinics/clinic_staff/clinic_patients e as políticas de RLS correspondentes, e listar 3–5 clínicas candidatas a piloto para validar o discurso comercial antes de qualquer linha de código do painel B2B.</w:t>
      </w:r>
    </w:p>
    <w:p>
      <w:pPr>
        <w:spacing w:after="120"/>
      </w:pPr>
    </w:p>
    <w:p>
      <w:pPr>
        <w:spacing w:after="160" w:line="300"/>
      </w:pPr>
      <w:r>
        <w:rPr>
          <w:i/>
          <w:iCs/>
          <w:color w:val="666666"/>
          <w:sz w:val="19"/>
          <w:szCs w:val="19"/>
        </w:rPr>
        <w:t xml:space="preserve">Este documento é um ponto de partida estratégico — os números de pricing, comissão e prazos são estimativas de planejamento e devem ser ajustados à medida que dado real (cliques, conversão, resposta comercial das clínicas) começar a aparecer.</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2026-08-24T18:15:46.433Z</dcterms:created>
  <dcterms:modified xsi:type="dcterms:W3CDTF">2026-08-24T18:15:46.449Z</dcterms:modified>
</cp:coreProperties>
</file>

<file path=docProps/custom.xml><?xml version="1.0" encoding="utf-8"?>
<Properties xmlns="http://schemas.openxmlformats.org/officeDocument/2006/custom-properties" xmlns:vt="http://schemas.openxmlformats.org/officeDocument/2006/docPropsVTypes"/>
</file>