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B6B4E"/>
          <w:sz w:val="20"/>
          <w:szCs w:val="20"/>
        </w:rPr>
        <w:t xml:space="preserve">ZION SKINCARE</w:t>
      </w:r>
    </w:p>
    <w:p>
      <w:pPr>
        <w:spacing w:after="200"/>
      </w:pPr>
      <w:r>
        <w:rPr>
          <w:b/>
          <w:bCs/>
          <w:color w:val="1F2A20"/>
          <w:sz w:val="36"/>
          <w:szCs w:val="36"/>
        </w:rPr>
        <w:t xml:space="preserve">Relatório de Análise — Landing Page v3 e Campanha Meta Ads</w:t>
      </w:r>
    </w:p>
    <w:p>
      <w:pPr>
        <w:spacing w:after="60"/>
      </w:pPr>
      <w:r>
        <w:rPr>
          <w:color w:val="666666"/>
          <w:sz w:val="20"/>
          <w:szCs w:val="20"/>
        </w:rPr>
        <w:t xml:space="preserve">Campanha: “Zion Skincare | Assinaturas | Vendas | BR”  ·  Página: /sales-lp-v3</w:t>
      </w:r>
    </w:p>
    <w:p>
      <w:pPr>
        <w:spacing w:after="320"/>
      </w:pPr>
      <w:r>
        <w:rPr>
          <w:i/>
          <w:iCs/>
          <w:color w:val="666666"/>
          <w:sz w:val="20"/>
          <w:szCs w:val="20"/>
        </w:rPr>
        <w:t xml:space="preserve">Preparado em 24 de agosto de 2026, com base nos dados de produção (Supabase e Meta Ads Manager) até este momento.</w:t>
      </w:r>
    </w:p>
    <w:p>
      <w:pPr>
        <w:pStyle w:val="Heading1"/>
        <w:pBdr>
          <w:bottom w:val="single" w:color="4B6B4E" w:sz="6" w:space="4"/>
        </w:pBdr>
        <w:spacing w:after="160" w:before="360"/>
      </w:pPr>
      <w:r>
        <w:rPr>
          <w:b/>
          <w:bCs/>
          <w:color w:val="1F2A20"/>
          <w:sz w:val="28"/>
          <w:szCs w:val="28"/>
        </w:rPr>
        <w:t xml:space="preserve">Resumo executivo</w:t>
      </w:r>
    </w:p>
    <w:p>
      <w:pPr>
        <w:spacing w:after="160" w:line="300"/>
      </w:pPr>
      <w:r>
        <w:rPr>
          <w:color w:val="1F2A20"/>
          <w:sz w:val="21"/>
          <w:szCs w:val="21"/>
        </w:rPr>
        <w:t xml:space="preserve">A campanha está tecnicamente saudável e o checkout funciona de ponta a ponta em produção — o problema não é um bug de pagamento. O que os dados mostram é um funil que ainda não teve chance real de provar nada: a campanha está no ar há aproximadamente 12 horas, com apenas 57 cliques e R$ 30,16 investidos. Ainda assim, um sinal já vale atenção agora, antes de aumentar o investimento:</w:t>
      </w:r>
    </w:p>
    <w:p>
      <w:pPr>
        <w:pStyle w:val="ListParagraph"/>
        <w:numPr>
          <w:ilvl w:val="0"/>
          <w:numId w:val="2"/>
        </w:numPr>
        <w:spacing w:after="100" w:line="290"/>
      </w:pPr>
      <w:r>
        <w:rPr>
          <w:b/>
          <w:bCs/>
          <w:color w:val="1F2A20"/>
          <w:sz w:val="21"/>
          <w:szCs w:val="21"/>
        </w:rPr>
        <w:t xml:space="preserve">Nenhum visitante vindo do anúncio (43 pessoas, entre vídeo e imagem) chegou a clicar em um plano na seção de preços. </w:t>
      </w:r>
      <w:r>
        <w:rPr>
          <w:color w:val="1F2A20"/>
          <w:sz w:val="21"/>
          <w:szCs w:val="21"/>
        </w:rPr>
        <w:t xml:space="preserve">As únicas 2 tentativas de checkout registradas vieram de acesso direto, sem nenhum parâmetro de anúncio — muito provavelmente testes internos, não clientes reais.</w:t>
      </w:r>
    </w:p>
    <w:p>
      <w:pPr>
        <w:pStyle w:val="ListParagraph"/>
        <w:numPr>
          <w:ilvl w:val="0"/>
          <w:numId w:val="2"/>
        </w:numPr>
        <w:spacing w:after="100" w:line="290"/>
      </w:pPr>
      <w:r>
        <w:rPr>
          <w:color w:val="1F2A20"/>
          <w:sz w:val="21"/>
          <w:szCs w:val="21"/>
        </w:rPr>
        <w:t xml:space="preserve">Verifiquei o checkout manualmente em produção: o botão “Assinar Mensal” abre corretamente uma sessão real do Stripe (modo live), com o preço certo (R$ 29,90/mês). Não há erro técnico impedindo a venda.</w:t>
      </w:r>
    </w:p>
    <w:p>
      <w:pPr>
        <w:pStyle w:val="ListParagraph"/>
        <w:numPr>
          <w:ilvl w:val="0"/>
          <w:numId w:val="2"/>
        </w:numPr>
        <w:spacing w:after="100" w:line="290"/>
      </w:pPr>
      <w:r>
        <w:rPr>
          <w:color w:val="1F2A20"/>
          <w:sz w:val="21"/>
          <w:szCs w:val="21"/>
        </w:rPr>
        <w:t xml:space="preserve">O anúncio promete uma “rotina personalizada em 30 segundos”, mas a landing v3 foi construída de propósito sem o quiz de personalização (só Hero + demonstração do app + preços) — quem clica no anúncio esperando uma experiência personalizada não a encontra antes de ver o preço.</w:t>
      </w:r>
    </w:p>
    <w:p>
      <w:pPr>
        <w:pStyle w:val="ListParagraph"/>
        <w:numPr>
          <w:ilvl w:val="0"/>
          <w:numId w:val="2"/>
        </w:numPr>
        <w:spacing w:after="100" w:line="290"/>
      </w:pPr>
      <w:r>
        <w:rPr>
          <w:color w:val="1F2A20"/>
          <w:sz w:val="21"/>
          <w:szCs w:val="21"/>
        </w:rPr>
        <w:t xml:space="preserve">O banco de dados de todo o produto (não só desta campanha) tem zero assinaturas, zero pagamentos e apenas 1 conta criada — ou seja, a ausência de vendas não é exclusiva da v3.</w:t>
      </w:r>
    </w:p>
    <w:p>
      <w:pPr>
        <w:spacing w:after="160" w:line="300"/>
      </w:pPr>
      <w:r>
        <w:rPr>
          <w:color w:val="1F2A20"/>
          <w:sz w:val="21"/>
          <w:szCs w:val="21"/>
        </w:rPr>
        <w:t xml:space="preserve">Em resumo: ainda é cedo para dizer que a página “não converte” — a amostra é pequena demais para isso. Mas o degrau específico de anúncio → clique em preço (0 de 43) já merece investigação e ação antes de aumentar verba, porque é um sinal mais precoce e mais barato de corrigir do que esperar por mais gasto sem vendas.</w:t>
      </w:r>
    </w:p>
    <w:p>
      <w:pPr>
        <w:pStyle w:val="Heading1"/>
        <w:pBdr>
          <w:bottom w:val="single" w:color="4B6B4E" w:sz="6" w:space="4"/>
        </w:pBdr>
        <w:spacing w:after="160" w:before="360"/>
      </w:pPr>
      <w:r>
        <w:rPr>
          <w:b/>
          <w:bCs/>
          <w:color w:val="1F2A20"/>
          <w:sz w:val="28"/>
          <w:szCs w:val="28"/>
        </w:rPr>
        <w:t xml:space="preserve">1. Panorama da campanha no Meta Ads</w:t>
      </w:r>
    </w:p>
    <w:p>
      <w:pPr>
        <w:spacing w:after="160" w:line="300"/>
      </w:pPr>
      <w:r>
        <w:rPr>
          <w:color w:val="1F2A20"/>
          <w:sz w:val="21"/>
          <w:szCs w:val="21"/>
        </w:rPr>
        <w:t xml:space="preserve">Campanha “Zion Skincare | Assinaturas | Vendas | BR”, status Ativo, objetivo “Compra no site”, orçamento diário de R$ 70,00, atribuição por clique de 7 dias.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rPr>
          <w:tblHeader/>
        </w:trPr>
        <w:tc>
          <w:tcPr>
            <w:tcW w:type="dxa" w:w="6080"/>
            <w:shd w:fill="4B6B4E" w:val="clear"/>
            <w:tcMar>
              <w:top w:type="dxa" w:w="80"/>
              <w:left w:type="dxa" w:w="100"/>
              <w:bottom w:type="dxa" w:w="80"/>
              <w:right w:type="dxa" w:w="100"/>
            </w:tcMar>
          </w:tcPr>
          <w:p>
            <w:pPr>
              <w:jc w:val="left"/>
            </w:pPr>
            <w:r>
              <w:rPr>
                <w:b/>
                <w:bCs/>
                <w:color w:val="FFFFFF"/>
                <w:sz w:val="19"/>
                <w:szCs w:val="19"/>
              </w:rPr>
              <w:t xml:space="preserve">Métrica</w:t>
            </w:r>
          </w:p>
        </w:tc>
        <w:tc>
          <w:tcPr>
            <w:tcW w:type="dxa" w:w="4000"/>
            <w:shd w:fill="4B6B4E" w:val="clear"/>
            <w:tcMar>
              <w:top w:type="dxa" w:w="80"/>
              <w:left w:type="dxa" w:w="100"/>
              <w:bottom w:type="dxa" w:w="80"/>
              <w:right w:type="dxa" w:w="100"/>
            </w:tcMar>
          </w:tcPr>
          <w:p>
            <w:pPr>
              <w:jc w:val="left"/>
            </w:pPr>
            <w:r>
              <w:rPr>
                <w:b/>
                <w:bCs/>
                <w:color w:val="FFFFFF"/>
                <w:sz w:val="19"/>
                <w:szCs w:val="19"/>
              </w:rPr>
              <w:t xml:space="preserve">Valor</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Período com dados</w:t>
            </w:r>
          </w:p>
        </w:tc>
        <w:tc>
          <w:tcPr>
            <w:tcW w:type="dxa" w:w="4000"/>
            <w:tcMar>
              <w:top w:type="dxa" w:w="80"/>
              <w:left w:type="dxa" w:w="100"/>
              <w:bottom w:type="dxa" w:w="80"/>
              <w:right w:type="dxa" w:w="100"/>
            </w:tcMar>
          </w:tcPr>
          <w:p>
            <w:pPr>
              <w:jc w:val="left"/>
            </w:pPr>
            <w:r>
              <w:rPr>
                <w:b w:val="false"/>
                <w:bCs w:val="false"/>
                <w:color w:val="1F2A20"/>
                <w:sz w:val="19"/>
                <w:szCs w:val="19"/>
              </w:rPr>
              <w:t xml:space="preserve">~12 horas (campanha recém-lançada)</w:t>
            </w:r>
          </w:p>
        </w:tc>
      </w:tr>
      <w:tr>
        <w:tc>
          <w:tcPr>
            <w:tcW w:type="dxa" w:w="6080"/>
            <w:shd w:fill="EDF1EC" w:val="clear"/>
            <w:tcMar>
              <w:top w:type="dxa" w:w="80"/>
              <w:left w:type="dxa" w:w="100"/>
              <w:bottom w:type="dxa" w:w="80"/>
              <w:right w:type="dxa" w:w="100"/>
            </w:tcMar>
          </w:tcPr>
          <w:p>
            <w:pPr>
              <w:jc w:val="left"/>
            </w:pPr>
            <w:r>
              <w:rPr>
                <w:b w:val="false"/>
                <w:bCs w:val="false"/>
                <w:color w:val="1F2A20"/>
                <w:sz w:val="19"/>
                <w:szCs w:val="19"/>
              </w:rPr>
              <w:t xml:space="preserve">Valor investido</w:t>
            </w:r>
          </w:p>
        </w:tc>
        <w:tc>
          <w:tcPr>
            <w:tcW w:type="dxa" w:w="4000"/>
            <w:shd w:fill="EDF1EC" w:val="clear"/>
            <w:tcMar>
              <w:top w:type="dxa" w:w="80"/>
              <w:left w:type="dxa" w:w="100"/>
              <w:bottom w:type="dxa" w:w="80"/>
              <w:right w:type="dxa" w:w="100"/>
            </w:tcMar>
          </w:tcPr>
          <w:p>
            <w:pPr>
              <w:jc w:val="left"/>
            </w:pPr>
            <w:r>
              <w:rPr>
                <w:b w:val="false"/>
                <w:bCs w:val="false"/>
                <w:color w:val="1F2A20"/>
                <w:sz w:val="19"/>
                <w:szCs w:val="19"/>
              </w:rPr>
              <w:t xml:space="preserve">R$ 30,16</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Impressões</w:t>
            </w:r>
          </w:p>
        </w:tc>
        <w:tc>
          <w:tcPr>
            <w:tcW w:type="dxa" w:w="4000"/>
            <w:tcMar>
              <w:top w:type="dxa" w:w="80"/>
              <w:left w:type="dxa" w:w="100"/>
              <w:bottom w:type="dxa" w:w="80"/>
              <w:right w:type="dxa" w:w="100"/>
            </w:tcMar>
          </w:tcPr>
          <w:p>
            <w:pPr>
              <w:jc w:val="left"/>
            </w:pPr>
            <w:r>
              <w:rPr>
                <w:b w:val="false"/>
                <w:bCs w:val="false"/>
                <w:color w:val="1F2A20"/>
                <w:sz w:val="19"/>
                <w:szCs w:val="19"/>
              </w:rPr>
              <w:t xml:space="preserve">1.363</w:t>
            </w:r>
          </w:p>
        </w:tc>
      </w:tr>
      <w:tr>
        <w:tc>
          <w:tcPr>
            <w:tcW w:type="dxa" w:w="6080"/>
            <w:shd w:fill="EDF1EC" w:val="clear"/>
            <w:tcMar>
              <w:top w:type="dxa" w:w="80"/>
              <w:left w:type="dxa" w:w="100"/>
              <w:bottom w:type="dxa" w:w="80"/>
              <w:right w:type="dxa" w:w="100"/>
            </w:tcMar>
          </w:tcPr>
          <w:p>
            <w:pPr>
              <w:jc w:val="left"/>
            </w:pPr>
            <w:r>
              <w:rPr>
                <w:b w:val="false"/>
                <w:bCs w:val="false"/>
                <w:color w:val="1F2A20"/>
                <w:sz w:val="19"/>
                <w:szCs w:val="19"/>
              </w:rPr>
              <w:t xml:space="preserve">Alcance</w:t>
            </w:r>
          </w:p>
        </w:tc>
        <w:tc>
          <w:tcPr>
            <w:tcW w:type="dxa" w:w="4000"/>
            <w:shd w:fill="EDF1EC" w:val="clear"/>
            <w:tcMar>
              <w:top w:type="dxa" w:w="80"/>
              <w:left w:type="dxa" w:w="100"/>
              <w:bottom w:type="dxa" w:w="80"/>
              <w:right w:type="dxa" w:w="100"/>
            </w:tcMar>
          </w:tcPr>
          <w:p>
            <w:pPr>
              <w:jc w:val="left"/>
            </w:pPr>
            <w:r>
              <w:rPr>
                <w:b w:val="false"/>
                <w:bCs w:val="false"/>
                <w:color w:val="1F2A20"/>
                <w:sz w:val="19"/>
                <w:szCs w:val="19"/>
              </w:rPr>
              <w:t xml:space="preserve">1.223 pessoas</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Cliques no link</w:t>
            </w:r>
          </w:p>
        </w:tc>
        <w:tc>
          <w:tcPr>
            <w:tcW w:type="dxa" w:w="4000"/>
            <w:tcMar>
              <w:top w:type="dxa" w:w="80"/>
              <w:left w:type="dxa" w:w="100"/>
              <w:bottom w:type="dxa" w:w="80"/>
              <w:right w:type="dxa" w:w="100"/>
            </w:tcMar>
          </w:tcPr>
          <w:p>
            <w:pPr>
              <w:jc w:val="left"/>
            </w:pPr>
            <w:r>
              <w:rPr>
                <w:b w:val="false"/>
                <w:bCs w:val="false"/>
                <w:color w:val="1F2A20"/>
                <w:sz w:val="19"/>
                <w:szCs w:val="19"/>
              </w:rPr>
              <w:t xml:space="preserve">57</w:t>
            </w:r>
          </w:p>
        </w:tc>
      </w:tr>
      <w:tr>
        <w:tc>
          <w:tcPr>
            <w:tcW w:type="dxa" w:w="6080"/>
            <w:shd w:fill="EDF1EC" w:val="clear"/>
            <w:tcMar>
              <w:top w:type="dxa" w:w="80"/>
              <w:left w:type="dxa" w:w="100"/>
              <w:bottom w:type="dxa" w:w="80"/>
              <w:right w:type="dxa" w:w="100"/>
            </w:tcMar>
          </w:tcPr>
          <w:p>
            <w:pPr>
              <w:jc w:val="left"/>
            </w:pPr>
            <w:r>
              <w:rPr>
                <w:b w:val="false"/>
                <w:bCs w:val="false"/>
                <w:color w:val="1F2A20"/>
                <w:sz w:val="19"/>
                <w:szCs w:val="19"/>
              </w:rPr>
              <w:t xml:space="preserve">CTR (cliques no link)</w:t>
            </w:r>
          </w:p>
        </w:tc>
        <w:tc>
          <w:tcPr>
            <w:tcW w:type="dxa" w:w="4000"/>
            <w:shd w:fill="EDF1EC" w:val="clear"/>
            <w:tcMar>
              <w:top w:type="dxa" w:w="80"/>
              <w:left w:type="dxa" w:w="100"/>
              <w:bottom w:type="dxa" w:w="80"/>
              <w:right w:type="dxa" w:w="100"/>
            </w:tcMar>
          </w:tcPr>
          <w:p>
            <w:pPr>
              <w:jc w:val="left"/>
            </w:pPr>
            <w:r>
              <w:rPr>
                <w:b w:val="false"/>
                <w:bCs w:val="false"/>
                <w:color w:val="1F2A20"/>
                <w:sz w:val="19"/>
                <w:szCs w:val="19"/>
              </w:rPr>
              <w:t xml:space="preserve">4,18%</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CPC médio</w:t>
            </w:r>
          </w:p>
        </w:tc>
        <w:tc>
          <w:tcPr>
            <w:tcW w:type="dxa" w:w="4000"/>
            <w:tcMar>
              <w:top w:type="dxa" w:w="80"/>
              <w:left w:type="dxa" w:w="100"/>
              <w:bottom w:type="dxa" w:w="80"/>
              <w:right w:type="dxa" w:w="100"/>
            </w:tcMar>
          </w:tcPr>
          <w:p>
            <w:pPr>
              <w:jc w:val="left"/>
            </w:pPr>
            <w:r>
              <w:rPr>
                <w:b w:val="false"/>
                <w:bCs w:val="false"/>
                <w:color w:val="1F2A20"/>
                <w:sz w:val="19"/>
                <w:szCs w:val="19"/>
              </w:rPr>
              <w:t xml:space="preserve">R$ 0,53</w:t>
            </w:r>
          </w:p>
        </w:tc>
      </w:tr>
      <w:tr>
        <w:tc>
          <w:tcPr>
            <w:tcW w:type="dxa" w:w="6080"/>
            <w:shd w:fill="EDF1EC" w:val="clear"/>
            <w:tcMar>
              <w:top w:type="dxa" w:w="80"/>
              <w:left w:type="dxa" w:w="100"/>
              <w:bottom w:type="dxa" w:w="80"/>
              <w:right w:type="dxa" w:w="100"/>
            </w:tcMar>
          </w:tcPr>
          <w:p>
            <w:pPr>
              <w:jc w:val="left"/>
            </w:pPr>
            <w:r>
              <w:rPr>
                <w:b w:val="false"/>
                <w:bCs w:val="false"/>
                <w:color w:val="1F2A20"/>
                <w:sz w:val="19"/>
                <w:szCs w:val="19"/>
              </w:rPr>
              <w:t xml:space="preserve">CPM</w:t>
            </w:r>
          </w:p>
        </w:tc>
        <w:tc>
          <w:tcPr>
            <w:tcW w:type="dxa" w:w="4000"/>
            <w:shd w:fill="EDF1EC" w:val="clear"/>
            <w:tcMar>
              <w:top w:type="dxa" w:w="80"/>
              <w:left w:type="dxa" w:w="100"/>
              <w:bottom w:type="dxa" w:w="80"/>
              <w:right w:type="dxa" w:w="100"/>
            </w:tcMar>
          </w:tcPr>
          <w:p>
            <w:pPr>
              <w:jc w:val="left"/>
            </w:pPr>
            <w:r>
              <w:rPr>
                <w:b w:val="false"/>
                <w:bCs w:val="false"/>
                <w:color w:val="1F2A20"/>
                <w:sz w:val="19"/>
                <w:szCs w:val="19"/>
              </w:rPr>
              <w:t xml:space="preserve">R$ 22,13</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Visualizações da página de destino (pixel Meta)</w:t>
            </w:r>
          </w:p>
        </w:tc>
        <w:tc>
          <w:tcPr>
            <w:tcW w:type="dxa" w:w="4000"/>
            <w:tcMar>
              <w:top w:type="dxa" w:w="80"/>
              <w:left w:type="dxa" w:w="100"/>
              <w:bottom w:type="dxa" w:w="80"/>
              <w:right w:type="dxa" w:w="100"/>
            </w:tcMar>
          </w:tcPr>
          <w:p>
            <w:pPr>
              <w:jc w:val="left"/>
            </w:pPr>
            <w:r>
              <w:rPr>
                <w:b w:val="false"/>
                <w:bCs w:val="false"/>
                <w:color w:val="1F2A20"/>
                <w:sz w:val="19"/>
                <w:szCs w:val="19"/>
              </w:rPr>
              <w:t xml:space="preserve">32</w:t>
            </w:r>
          </w:p>
        </w:tc>
      </w:tr>
      <w:tr>
        <w:tc>
          <w:tcPr>
            <w:tcW w:type="dxa" w:w="6080"/>
            <w:shd w:fill="EDF1EC" w:val="clear"/>
            <w:tcMar>
              <w:top w:type="dxa" w:w="80"/>
              <w:left w:type="dxa" w:w="100"/>
              <w:bottom w:type="dxa" w:w="80"/>
              <w:right w:type="dxa" w:w="100"/>
            </w:tcMar>
          </w:tcPr>
          <w:p>
            <w:pPr>
              <w:jc w:val="left"/>
            </w:pPr>
            <w:r>
              <w:rPr>
                <w:b w:val="false"/>
                <w:bCs w:val="false"/>
                <w:color w:val="1F2A20"/>
                <w:sz w:val="19"/>
                <w:szCs w:val="19"/>
              </w:rPr>
              <w:t xml:space="preserve">Custo por visualização de página</w:t>
            </w:r>
          </w:p>
        </w:tc>
        <w:tc>
          <w:tcPr>
            <w:tcW w:type="dxa" w:w="4000"/>
            <w:shd w:fill="EDF1EC" w:val="clear"/>
            <w:tcMar>
              <w:top w:type="dxa" w:w="80"/>
              <w:left w:type="dxa" w:w="100"/>
              <w:bottom w:type="dxa" w:w="80"/>
              <w:right w:type="dxa" w:w="100"/>
            </w:tcMar>
          </w:tcPr>
          <w:p>
            <w:pPr>
              <w:jc w:val="left"/>
            </w:pPr>
            <w:r>
              <w:rPr>
                <w:b w:val="false"/>
                <w:bCs w:val="false"/>
                <w:color w:val="1F2A20"/>
                <w:sz w:val="19"/>
                <w:szCs w:val="19"/>
              </w:rPr>
              <w:t xml:space="preserve">R$ 0,94</w:t>
            </w:r>
          </w:p>
        </w:tc>
      </w:tr>
      <w:tr>
        <w:tc>
          <w:tcPr>
            <w:tcW w:type="dxa" w:w="6080"/>
            <w:tcMar>
              <w:top w:type="dxa" w:w="80"/>
              <w:left w:type="dxa" w:w="100"/>
              <w:bottom w:type="dxa" w:w="80"/>
              <w:right w:type="dxa" w:w="100"/>
            </w:tcMar>
          </w:tcPr>
          <w:p>
            <w:pPr>
              <w:jc w:val="left"/>
            </w:pPr>
            <w:r>
              <w:rPr>
                <w:b w:val="false"/>
                <w:bCs w:val="false"/>
                <w:color w:val="1F2A20"/>
                <w:sz w:val="19"/>
                <w:szCs w:val="19"/>
              </w:rPr>
              <w:t xml:space="preserve">Resultados de compra no site</w:t>
            </w:r>
          </w:p>
        </w:tc>
        <w:tc>
          <w:tcPr>
            <w:tcW w:type="dxa" w:w="4000"/>
            <w:tcMar>
              <w:top w:type="dxa" w:w="80"/>
              <w:left w:type="dxa" w:w="100"/>
              <w:bottom w:type="dxa" w:w="80"/>
              <w:right w:type="dxa" w:w="100"/>
            </w:tcMar>
          </w:tcPr>
          <w:p>
            <w:pPr>
              <w:jc w:val="left"/>
            </w:pPr>
            <w:r>
              <w:rPr>
                <w:b w:val="false"/>
                <w:bCs w:val="false"/>
                <w:color w:val="1F2A20"/>
                <w:sz w:val="19"/>
                <w:szCs w:val="19"/>
              </w:rPr>
              <w:t xml:space="preserve">0</w:t>
            </w:r>
          </w:p>
        </w:tc>
      </w:tr>
    </w:tbl>
    <w:p>
      <w:pPr>
        <w:spacing w:after="240" w:before="60"/>
      </w:pPr>
      <w:r>
        <w:rPr>
          <w:i/>
          <w:iCs/>
          <w:color w:val="666666"/>
          <w:sz w:val="18"/>
          <w:szCs w:val="18"/>
        </w:rPr>
        <w:t xml:space="preserve">Fonte: Meta Ads Manager, conta 1024466199986934, últimos 30 dias (dados reais concentrados nas últimas ~12h).</w:t>
      </w:r>
    </w:p>
    <w:p>
      <w:pPr>
        <w:spacing w:after="160" w:line="300"/>
      </w:pPr>
      <w:r>
        <w:rPr>
          <w:color w:val="1F2A20"/>
          <w:sz w:val="21"/>
          <w:szCs w:val="21"/>
        </w:rPr>
        <w:t xml:space="preserve">CTR e CPC estão dentro de uma faixa saudável para o mercado brasileiro — o anúncio está atraindo cliques a um custo razoável. O gargalo não está na atenção inicial, está no que acontece depois do clique.</w:t>
      </w:r>
    </w:p>
    <w:p>
      <w:pPr>
        <w:pStyle w:val="Heading2"/>
        <w:spacing w:after="120" w:before="280"/>
      </w:pPr>
      <w:r>
        <w:rPr>
          <w:b/>
          <w:bCs/>
          <w:color w:val="4B6B4E"/>
          <w:sz w:val="24"/>
          <w:szCs w:val="24"/>
        </w:rPr>
        <w:t xml:space="preserve">1.1 Vídeo vs. imagem: comparação ainda não é válida</w:t>
      </w:r>
    </w:p>
    <w:p>
      <w:pPr>
        <w:spacing w:after="160" w:line="300"/>
      </w:pPr>
      <w:r>
        <w:rPr>
          <w:color w:val="1F2A20"/>
          <w:sz w:val="21"/>
          <w:szCs w:val="21"/>
        </w:rPr>
        <w:t xml:space="preserve">A própria campanha foi desenhada para comparar os dois criativos (por isso o utm_content=video/imagem), mas o algoritmo do Meta concentrou o orçamento quase todo no anúncio de imagem: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2200"/>
        <w:gridCol w:w="1800"/>
        <w:gridCol w:w="2400"/>
      </w:tblGrid>
      <w:tr>
        <w:trPr>
          <w:tblHeader/>
        </w:trPr>
        <w:tc>
          <w:tcPr>
            <w:tcW w:type="dxa" w:w="3680"/>
            <w:shd w:fill="4B6B4E" w:val="clear"/>
            <w:tcMar>
              <w:top w:type="dxa" w:w="80"/>
              <w:left w:type="dxa" w:w="100"/>
              <w:bottom w:type="dxa" w:w="80"/>
              <w:right w:type="dxa" w:w="100"/>
            </w:tcMar>
          </w:tcPr>
          <w:p>
            <w:pPr>
              <w:jc w:val="left"/>
            </w:pPr>
            <w:r>
              <w:rPr>
                <w:b/>
                <w:bCs/>
                <w:color w:val="FFFFFF"/>
                <w:sz w:val="19"/>
                <w:szCs w:val="19"/>
              </w:rPr>
              <w:t xml:space="preserve">Anúncio</w:t>
            </w:r>
          </w:p>
        </w:tc>
        <w:tc>
          <w:tcPr>
            <w:tcW w:type="dxa" w:w="2200"/>
            <w:shd w:fill="4B6B4E" w:val="clear"/>
            <w:tcMar>
              <w:top w:type="dxa" w:w="80"/>
              <w:left w:type="dxa" w:w="100"/>
              <w:bottom w:type="dxa" w:w="80"/>
              <w:right w:type="dxa" w:w="100"/>
            </w:tcMar>
          </w:tcPr>
          <w:p>
            <w:pPr>
              <w:jc w:val="left"/>
            </w:pPr>
            <w:r>
              <w:rPr>
                <w:b/>
                <w:bCs/>
                <w:color w:val="FFFFFF"/>
                <w:sz w:val="19"/>
                <w:szCs w:val="19"/>
              </w:rPr>
              <w:t xml:space="preserve">Valor gasto</w:t>
            </w:r>
          </w:p>
        </w:tc>
        <w:tc>
          <w:tcPr>
            <w:tcW w:type="dxa" w:w="1800"/>
            <w:shd w:fill="4B6B4E" w:val="clear"/>
            <w:tcMar>
              <w:top w:type="dxa" w:w="80"/>
              <w:left w:type="dxa" w:w="100"/>
              <w:bottom w:type="dxa" w:w="80"/>
              <w:right w:type="dxa" w:w="100"/>
            </w:tcMar>
          </w:tcPr>
          <w:p>
            <w:pPr>
              <w:jc w:val="left"/>
            </w:pPr>
            <w:r>
              <w:rPr>
                <w:b/>
                <w:bCs/>
                <w:color w:val="FFFFFF"/>
                <w:sz w:val="19"/>
                <w:szCs w:val="19"/>
              </w:rPr>
              <w:t xml:space="preserve">Alcance</w:t>
            </w:r>
          </w:p>
        </w:tc>
        <w:tc>
          <w:tcPr>
            <w:tcW w:type="dxa" w:w="2400"/>
            <w:shd w:fill="4B6B4E" w:val="clear"/>
            <w:tcMar>
              <w:top w:type="dxa" w:w="80"/>
              <w:left w:type="dxa" w:w="100"/>
              <w:bottom w:type="dxa" w:w="80"/>
              <w:right w:type="dxa" w:w="100"/>
            </w:tcMar>
          </w:tcPr>
          <w:p>
            <w:pPr>
              <w:jc w:val="left"/>
            </w:pPr>
            <w:r>
              <w:rPr>
                <w:b/>
                <w:bCs/>
                <w:color w:val="FFFFFF"/>
                <w:sz w:val="19"/>
                <w:szCs w:val="19"/>
              </w:rPr>
              <w:t xml:space="preserve">Cliques (aprox.)</w:t>
            </w:r>
          </w:p>
        </w:tc>
      </w:tr>
      <w:tr>
        <w:tc>
          <w:tcPr>
            <w:tcW w:type="dxa" w:w="3680"/>
            <w:tcMar>
              <w:top w:type="dxa" w:w="80"/>
              <w:left w:type="dxa" w:w="100"/>
              <w:bottom w:type="dxa" w:w="80"/>
              <w:right w:type="dxa" w:w="100"/>
            </w:tcMar>
          </w:tcPr>
          <w:p>
            <w:pPr>
              <w:jc w:val="left"/>
            </w:pPr>
            <w:r>
              <w:rPr>
                <w:b w:val="false"/>
                <w:bCs w:val="false"/>
                <w:color w:val="1F2A20"/>
                <w:sz w:val="19"/>
                <w:szCs w:val="19"/>
              </w:rPr>
              <w:t xml:space="preserve">Imagem (“Novo anúncio de Vendas”)</w:t>
            </w:r>
          </w:p>
        </w:tc>
        <w:tc>
          <w:tcPr>
            <w:tcW w:type="dxa" w:w="2200"/>
            <w:tcMar>
              <w:top w:type="dxa" w:w="80"/>
              <w:left w:type="dxa" w:w="100"/>
              <w:bottom w:type="dxa" w:w="80"/>
              <w:right w:type="dxa" w:w="100"/>
            </w:tcMar>
          </w:tcPr>
          <w:p>
            <w:pPr>
              <w:jc w:val="left"/>
            </w:pPr>
            <w:r>
              <w:rPr>
                <w:b w:val="false"/>
                <w:bCs w:val="false"/>
                <w:color w:val="1F2A20"/>
                <w:sz w:val="19"/>
                <w:szCs w:val="19"/>
              </w:rPr>
              <w:t xml:space="preserve">R$ 28,88</w:t>
            </w:r>
          </w:p>
        </w:tc>
        <w:tc>
          <w:tcPr>
            <w:tcW w:type="dxa" w:w="1800"/>
            <w:tcMar>
              <w:top w:type="dxa" w:w="80"/>
              <w:left w:type="dxa" w:w="100"/>
              <w:bottom w:type="dxa" w:w="80"/>
              <w:right w:type="dxa" w:w="100"/>
            </w:tcMar>
          </w:tcPr>
          <w:p>
            <w:pPr>
              <w:jc w:val="left"/>
            </w:pPr>
            <w:r>
              <w:rPr>
                <w:b w:val="false"/>
                <w:bCs w:val="false"/>
                <w:color w:val="1F2A20"/>
                <w:sz w:val="19"/>
                <w:szCs w:val="19"/>
              </w:rPr>
              <w:t xml:space="preserve">1.161</w:t>
            </w:r>
          </w:p>
        </w:tc>
        <w:tc>
          <w:tcPr>
            <w:tcW w:type="dxa" w:w="2400"/>
            <w:tcMar>
              <w:top w:type="dxa" w:w="80"/>
              <w:left w:type="dxa" w:w="100"/>
              <w:bottom w:type="dxa" w:w="80"/>
              <w:right w:type="dxa" w:w="100"/>
            </w:tcMar>
          </w:tcPr>
          <w:p>
            <w:pPr>
              <w:jc w:val="left"/>
            </w:pPr>
            <w:r>
              <w:rPr>
                <w:b w:val="false"/>
                <w:bCs w:val="false"/>
                <w:color w:val="1F2A20"/>
                <w:sz w:val="19"/>
                <w:szCs w:val="19"/>
              </w:rPr>
              <w:t xml:space="preserve">~50</w:t>
            </w:r>
          </w:p>
        </w:tc>
      </w:tr>
      <w:tr>
        <w:tc>
          <w:tcPr>
            <w:tcW w:type="dxa" w:w="3680"/>
            <w:shd w:fill="EDF1EC" w:val="clear"/>
            <w:tcMar>
              <w:top w:type="dxa" w:w="80"/>
              <w:left w:type="dxa" w:w="100"/>
              <w:bottom w:type="dxa" w:w="80"/>
              <w:right w:type="dxa" w:w="100"/>
            </w:tcMar>
          </w:tcPr>
          <w:p>
            <w:pPr>
              <w:jc w:val="left"/>
            </w:pPr>
            <w:r>
              <w:rPr>
                <w:b w:val="false"/>
                <w:bCs w:val="false"/>
                <w:color w:val="1F2A20"/>
                <w:sz w:val="19"/>
                <w:szCs w:val="19"/>
              </w:rPr>
              <w:t xml:space="preserve">Vídeo (“Novo Anuncio de Vendas - Video”)</w:t>
            </w:r>
          </w:p>
        </w:tc>
        <w:tc>
          <w:tcPr>
            <w:tcW w:type="dxa" w:w="2200"/>
            <w:shd w:fill="EDF1EC" w:val="clear"/>
            <w:tcMar>
              <w:top w:type="dxa" w:w="80"/>
              <w:left w:type="dxa" w:w="100"/>
              <w:bottom w:type="dxa" w:w="80"/>
              <w:right w:type="dxa" w:w="100"/>
            </w:tcMar>
          </w:tcPr>
          <w:p>
            <w:pPr>
              <w:jc w:val="left"/>
            </w:pPr>
            <w:r>
              <w:rPr>
                <w:b w:val="false"/>
                <w:bCs w:val="false"/>
                <w:color w:val="1F2A20"/>
                <w:sz w:val="19"/>
                <w:szCs w:val="19"/>
              </w:rPr>
              <w:t xml:space="preserve">R$ 1,28</w:t>
            </w:r>
          </w:p>
        </w:tc>
        <w:tc>
          <w:tcPr>
            <w:tcW w:type="dxa" w:w="1800"/>
            <w:shd w:fill="EDF1EC" w:val="clear"/>
            <w:tcMar>
              <w:top w:type="dxa" w:w="80"/>
              <w:left w:type="dxa" w:w="100"/>
              <w:bottom w:type="dxa" w:w="80"/>
              <w:right w:type="dxa" w:w="100"/>
            </w:tcMar>
          </w:tcPr>
          <w:p>
            <w:pPr>
              <w:jc w:val="left"/>
            </w:pPr>
            <w:r>
              <w:rPr>
                <w:b w:val="false"/>
                <w:bCs w:val="false"/>
                <w:color w:val="1F2A20"/>
                <w:sz w:val="19"/>
                <w:szCs w:val="19"/>
              </w:rPr>
              <w:t xml:space="preserve">48</w:t>
            </w:r>
          </w:p>
        </w:tc>
        <w:tc>
          <w:tcPr>
            <w:tcW w:type="dxa" w:w="2400"/>
            <w:shd w:fill="EDF1EC" w:val="clear"/>
            <w:tcMar>
              <w:top w:type="dxa" w:w="80"/>
              <w:left w:type="dxa" w:w="100"/>
              <w:bottom w:type="dxa" w:w="80"/>
              <w:right w:type="dxa" w:w="100"/>
            </w:tcMar>
          </w:tcPr>
          <w:p>
            <w:pPr>
              <w:jc w:val="left"/>
            </w:pPr>
            <w:r>
              <w:rPr>
                <w:b w:val="false"/>
                <w:bCs w:val="false"/>
                <w:color w:val="1F2A20"/>
                <w:sz w:val="19"/>
                <w:szCs w:val="19"/>
              </w:rPr>
              <w:t xml:space="preserve">~6</w:t>
            </w:r>
          </w:p>
        </w:tc>
      </w:tr>
    </w:tbl>
    <w:p>
      <w:pPr>
        <w:spacing w:after="240" w:before="60"/>
      </w:pPr>
      <w:r>
        <w:rPr>
          <w:i/>
          <w:iCs/>
          <w:color w:val="666666"/>
          <w:sz w:val="18"/>
          <w:szCs w:val="18"/>
        </w:rPr>
        <w:t xml:space="preserve">O anúncio de vídeo recebeu menos de 5% do orçamento e do alcance — a comparação vídeo vs. imagem prevista na tabela landing_page_visits ainda não tem amostra suficiente para conclusão.</w:t>
      </w:r>
    </w:p>
    <w:p>
      <w:pPr>
        <w:spacing w:after="160" w:line="300"/>
      </w:pPr>
      <w:r>
        <w:rPr>
          <w:color w:val="1F2A20"/>
          <w:sz w:val="21"/>
          <w:szCs w:val="21"/>
        </w:rPr>
        <w:t xml:space="preserve">Vale checar se isso é apenas a fase de aprendizado normal do Meta (que tende a favorecer um criativo cedo) ou se o vídeo tem algum problema de relevância. O editor de anúncios já sinaliza um aviso de que o texto do vídeo pode ficar coberto pelo ícone de perfil/CTA em alguns posicionamentos — vale revisar.</w:t>
      </w:r>
    </w:p>
    <w:p>
      <w:pPr>
        <w:pStyle w:val="Heading2"/>
        <w:spacing w:after="120" w:before="280"/>
      </w:pPr>
      <w:r>
        <w:rPr>
          <w:b/>
          <w:bCs/>
          <w:color w:val="4B6B4E"/>
          <w:sz w:val="24"/>
          <w:szCs w:val="24"/>
        </w:rPr>
        <w:t xml:space="preserve">1.2 Configuração técnica do anúncio — está correta</w:t>
      </w:r>
    </w:p>
    <w:p>
      <w:pPr>
        <w:pStyle w:val="ListParagraph"/>
        <w:numPr>
          <w:ilvl w:val="0"/>
          <w:numId w:val="2"/>
        </w:numPr>
        <w:spacing w:after="100" w:line="290"/>
      </w:pPr>
      <w:r>
        <w:rPr>
          <w:color w:val="1F2A20"/>
          <w:sz w:val="21"/>
          <w:szCs w:val="21"/>
        </w:rPr>
        <w:t xml:space="preserve">Pixel do Meta (ID 1889083312055915) confere exatamente com o pixel carregado no código da landing page.</w:t>
      </w:r>
    </w:p>
    <w:p>
      <w:pPr>
        <w:pStyle w:val="ListParagraph"/>
        <w:numPr>
          <w:ilvl w:val="0"/>
          <w:numId w:val="2"/>
        </w:numPr>
        <w:spacing w:after="100" w:line="290"/>
      </w:pPr>
      <w:r>
        <w:rPr>
          <w:color w:val="1F2A20"/>
          <w:sz w:val="21"/>
          <w:szCs w:val="21"/>
        </w:rPr>
        <w:t xml:space="preserve">URL de destino dos dois anúncios aponta corretamente para /sales-lp-v3.</w:t>
      </w:r>
    </w:p>
    <w:p>
      <w:pPr>
        <w:pStyle w:val="ListParagraph"/>
        <w:numPr>
          <w:ilvl w:val="0"/>
          <w:numId w:val="2"/>
        </w:numPr>
        <w:spacing w:after="100" w:line="290"/>
      </w:pPr>
      <w:r>
        <w:rPr>
          <w:color w:val="1F2A20"/>
          <w:sz w:val="21"/>
          <w:szCs w:val="21"/>
        </w:rPr>
        <w:t xml:space="preserve">Parâmetros UTM corretos e consistentes: utm_source=meta&amp;utm_medium=paid_social&amp;utm_campaign=zion_assinaturas_vendas_br&amp;utm_content=video (ou imagem) — batem exatamente com o que a página grava no banco.</w:t>
      </w:r>
    </w:p>
    <w:p>
      <w:pPr>
        <w:pStyle w:val="Heading1"/>
        <w:pBdr>
          <w:bottom w:val="single" w:color="4B6B4E" w:sz="6" w:space="4"/>
        </w:pBdr>
        <w:spacing w:after="160" w:before="360"/>
      </w:pPr>
      <w:r>
        <w:rPr>
          <w:b/>
          <w:bCs/>
          <w:color w:val="1F2A20"/>
          <w:sz w:val="28"/>
          <w:szCs w:val="28"/>
        </w:rPr>
        <w:t xml:space="preserve">2. Funil de conversão (tabela landing_page_visits)</w:t>
      </w:r>
    </w:p>
    <w:p>
      <w:pPr>
        <w:spacing w:after="160" w:line="300"/>
      </w:pPr>
      <w:r>
        <w:rPr>
          <w:color w:val="1F2A20"/>
          <w:sz w:val="21"/>
          <w:szCs w:val="21"/>
        </w:rPr>
        <w:t xml:space="preserve">A tabela landing_page_visits foi criada há pouco especificamente para medir este lançamento, e registra três eventos: page_view (chegou na página), checkout_started (clicou em um dos botões “Assinar”) e, futuramente, a compra em si (hoje capturada nas tabelas subscriptions/payments).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680"/>
        <w:gridCol w:w="1600"/>
        <w:gridCol w:w="1800"/>
        <w:gridCol w:w="1800"/>
        <w:gridCol w:w="1800"/>
      </w:tblGrid>
      <w:tr>
        <w:trPr>
          <w:tblHeader/>
        </w:trPr>
        <w:tc>
          <w:tcPr>
            <w:tcW w:type="dxa" w:w="2680"/>
            <w:shd w:fill="4B6B4E" w:val="clear"/>
            <w:tcMar>
              <w:top w:type="dxa" w:w="80"/>
              <w:left w:type="dxa" w:w="100"/>
              <w:bottom w:type="dxa" w:w="80"/>
              <w:right w:type="dxa" w:w="100"/>
            </w:tcMar>
          </w:tcPr>
          <w:p>
            <w:pPr>
              <w:jc w:val="left"/>
            </w:pPr>
            <w:r>
              <w:rPr>
                <w:b/>
                <w:bCs/>
                <w:color w:val="FFFFFF"/>
                <w:sz w:val="19"/>
                <w:szCs w:val="19"/>
              </w:rPr>
              <w:t xml:space="preserve">Origem (ad_source)</w:t>
            </w:r>
          </w:p>
        </w:tc>
        <w:tc>
          <w:tcPr>
            <w:tcW w:type="dxa" w:w="1600"/>
            <w:shd w:fill="4B6B4E" w:val="clear"/>
            <w:tcMar>
              <w:top w:type="dxa" w:w="80"/>
              <w:left w:type="dxa" w:w="100"/>
              <w:bottom w:type="dxa" w:w="80"/>
              <w:right w:type="dxa" w:w="100"/>
            </w:tcMar>
          </w:tcPr>
          <w:p>
            <w:pPr>
              <w:jc w:val="left"/>
            </w:pPr>
            <w:r>
              <w:rPr>
                <w:b/>
                <w:bCs/>
                <w:color w:val="FFFFFF"/>
                <w:sz w:val="19"/>
                <w:szCs w:val="19"/>
              </w:rPr>
              <w:t xml:space="preserve">page_view</w:t>
            </w:r>
          </w:p>
        </w:tc>
        <w:tc>
          <w:tcPr>
            <w:tcW w:type="dxa" w:w="1800"/>
            <w:shd w:fill="4B6B4E" w:val="clear"/>
            <w:tcMar>
              <w:top w:type="dxa" w:w="80"/>
              <w:left w:type="dxa" w:w="100"/>
              <w:bottom w:type="dxa" w:w="80"/>
              <w:right w:type="dxa" w:w="100"/>
            </w:tcMar>
          </w:tcPr>
          <w:p>
            <w:pPr>
              <w:jc w:val="left"/>
            </w:pPr>
            <w:r>
              <w:rPr>
                <w:b/>
                <w:bCs/>
                <w:color w:val="FFFFFF"/>
                <w:sz w:val="19"/>
                <w:szCs w:val="19"/>
              </w:rPr>
              <w:t xml:space="preserve">checkout_started</w:t>
            </w:r>
          </w:p>
        </w:tc>
        <w:tc>
          <w:tcPr>
            <w:tcW w:type="dxa" w:w="1800"/>
            <w:shd w:fill="4B6B4E" w:val="clear"/>
            <w:tcMar>
              <w:top w:type="dxa" w:w="80"/>
              <w:left w:type="dxa" w:w="100"/>
              <w:bottom w:type="dxa" w:w="80"/>
              <w:right w:type="dxa" w:w="100"/>
            </w:tcMar>
          </w:tcPr>
          <w:p>
            <w:pPr>
              <w:jc w:val="left"/>
            </w:pPr>
            <w:r>
              <w:rPr>
                <w:b/>
                <w:bCs/>
                <w:color w:val="FFFFFF"/>
                <w:sz w:val="19"/>
                <w:szCs w:val="19"/>
              </w:rPr>
              <w:t xml:space="preserve">Visitantes únicos</w:t>
            </w:r>
          </w:p>
        </w:tc>
        <w:tc>
          <w:tcPr>
            <w:tcW w:type="dxa" w:w="1800"/>
            <w:shd w:fill="4B6B4E" w:val="clear"/>
            <w:tcMar>
              <w:top w:type="dxa" w:w="80"/>
              <w:left w:type="dxa" w:w="100"/>
              <w:bottom w:type="dxa" w:w="80"/>
              <w:right w:type="dxa" w:w="100"/>
            </w:tcMar>
          </w:tcPr>
          <w:p>
            <w:pPr>
              <w:jc w:val="left"/>
            </w:pPr>
            <w:r>
              <w:rPr>
                <w:b/>
                <w:bCs/>
                <w:color w:val="FFFFFF"/>
                <w:sz w:val="19"/>
                <w:szCs w:val="19"/>
              </w:rPr>
              <w:t xml:space="preserve">Taxa clique→checkout</w:t>
            </w:r>
          </w:p>
        </w:tc>
      </w:tr>
      <w:tr>
        <w:tc>
          <w:tcPr>
            <w:tcW w:type="dxa" w:w="2680"/>
            <w:tcMar>
              <w:top w:type="dxa" w:w="80"/>
              <w:left w:type="dxa" w:w="100"/>
              <w:bottom w:type="dxa" w:w="80"/>
              <w:right w:type="dxa" w:w="100"/>
            </w:tcMar>
          </w:tcPr>
          <w:p>
            <w:pPr>
              <w:jc w:val="left"/>
            </w:pPr>
            <w:r>
              <w:rPr>
                <w:b w:val="false"/>
                <w:bCs w:val="false"/>
                <w:color w:val="1F2A20"/>
                <w:sz w:val="19"/>
                <w:szCs w:val="19"/>
              </w:rPr>
              <w:t xml:space="preserve">imagem (anúncio)</w:t>
            </w:r>
          </w:p>
        </w:tc>
        <w:tc>
          <w:tcPr>
            <w:tcW w:type="dxa" w:w="1600"/>
            <w:tcMar>
              <w:top w:type="dxa" w:w="80"/>
              <w:left w:type="dxa" w:w="100"/>
              <w:bottom w:type="dxa" w:w="80"/>
              <w:right w:type="dxa" w:w="100"/>
            </w:tcMar>
          </w:tcPr>
          <w:p>
            <w:pPr>
              <w:jc w:val="left"/>
            </w:pPr>
            <w:r>
              <w:rPr>
                <w:b w:val="false"/>
                <w:bCs w:val="false"/>
                <w:color w:val="1F2A20"/>
                <w:sz w:val="19"/>
                <w:szCs w:val="19"/>
              </w:rPr>
              <w:t xml:space="preserve">37</w:t>
            </w:r>
          </w:p>
        </w:tc>
        <w:tc>
          <w:tcPr>
            <w:tcW w:type="dxa" w:w="1800"/>
            <w:tcMar>
              <w:top w:type="dxa" w:w="80"/>
              <w:left w:type="dxa" w:w="100"/>
              <w:bottom w:type="dxa" w:w="80"/>
              <w:right w:type="dxa" w:w="100"/>
            </w:tcMar>
          </w:tcPr>
          <w:p>
            <w:pPr>
              <w:jc w:val="left"/>
            </w:pPr>
            <w:r>
              <w:rPr>
                <w:b w:val="false"/>
                <w:bCs w:val="false"/>
                <w:color w:val="1F2A20"/>
                <w:sz w:val="19"/>
                <w:szCs w:val="19"/>
              </w:rPr>
              <w:t xml:space="preserve">0</w:t>
            </w:r>
          </w:p>
        </w:tc>
        <w:tc>
          <w:tcPr>
            <w:tcW w:type="dxa" w:w="1800"/>
            <w:tcMar>
              <w:top w:type="dxa" w:w="80"/>
              <w:left w:type="dxa" w:w="100"/>
              <w:bottom w:type="dxa" w:w="80"/>
              <w:right w:type="dxa" w:w="100"/>
            </w:tcMar>
          </w:tcPr>
          <w:p>
            <w:pPr>
              <w:jc w:val="left"/>
            </w:pPr>
            <w:r>
              <w:rPr>
                <w:b w:val="false"/>
                <w:bCs w:val="false"/>
                <w:color w:val="1F2A20"/>
                <w:sz w:val="19"/>
                <w:szCs w:val="19"/>
              </w:rPr>
              <w:t xml:space="preserve">32</w:t>
            </w:r>
          </w:p>
        </w:tc>
        <w:tc>
          <w:tcPr>
            <w:tcW w:type="dxa" w:w="1800"/>
            <w:tcMar>
              <w:top w:type="dxa" w:w="80"/>
              <w:left w:type="dxa" w:w="100"/>
              <w:bottom w:type="dxa" w:w="80"/>
              <w:right w:type="dxa" w:w="100"/>
            </w:tcMar>
          </w:tcPr>
          <w:p>
            <w:pPr>
              <w:jc w:val="left"/>
            </w:pPr>
            <w:r>
              <w:rPr>
                <w:b w:val="false"/>
                <w:bCs w:val="false"/>
                <w:color w:val="1F2A20"/>
                <w:sz w:val="19"/>
                <w:szCs w:val="19"/>
              </w:rPr>
              <w:t xml:space="preserve">0%</w:t>
            </w:r>
          </w:p>
        </w:tc>
      </w:tr>
      <w:tr>
        <w:tc>
          <w:tcPr>
            <w:tcW w:type="dxa" w:w="2680"/>
            <w:shd w:fill="EDF1EC" w:val="clear"/>
            <w:tcMar>
              <w:top w:type="dxa" w:w="80"/>
              <w:left w:type="dxa" w:w="100"/>
              <w:bottom w:type="dxa" w:w="80"/>
              <w:right w:type="dxa" w:w="100"/>
            </w:tcMar>
          </w:tcPr>
          <w:p>
            <w:pPr>
              <w:jc w:val="left"/>
            </w:pPr>
            <w:r>
              <w:rPr>
                <w:b w:val="false"/>
                <w:bCs w:val="false"/>
                <w:color w:val="1F2A20"/>
                <w:sz w:val="19"/>
                <w:szCs w:val="19"/>
              </w:rPr>
              <w:t xml:space="preserve">video (anúncio)</w:t>
            </w:r>
          </w:p>
        </w:tc>
        <w:tc>
          <w:tcPr>
            <w:tcW w:type="dxa" w:w="1600"/>
            <w:shd w:fill="EDF1EC" w:val="clear"/>
            <w:tcMar>
              <w:top w:type="dxa" w:w="80"/>
              <w:left w:type="dxa" w:w="100"/>
              <w:bottom w:type="dxa" w:w="80"/>
              <w:right w:type="dxa" w:w="100"/>
            </w:tcMar>
          </w:tcPr>
          <w:p>
            <w:pPr>
              <w:jc w:val="left"/>
            </w:pPr>
            <w:r>
              <w:rPr>
                <w:b w:val="false"/>
                <w:bCs w:val="false"/>
                <w:color w:val="1F2A20"/>
                <w:sz w:val="19"/>
                <w:szCs w:val="19"/>
              </w:rPr>
              <w:t xml:space="preserve">6</w:t>
            </w:r>
          </w:p>
        </w:tc>
        <w:tc>
          <w:tcPr>
            <w:tcW w:type="dxa" w:w="1800"/>
            <w:shd w:fill="EDF1EC" w:val="clear"/>
            <w:tcMar>
              <w:top w:type="dxa" w:w="80"/>
              <w:left w:type="dxa" w:w="100"/>
              <w:bottom w:type="dxa" w:w="80"/>
              <w:right w:type="dxa" w:w="100"/>
            </w:tcMar>
          </w:tcPr>
          <w:p>
            <w:pPr>
              <w:jc w:val="left"/>
            </w:pPr>
            <w:r>
              <w:rPr>
                <w:b w:val="false"/>
                <w:bCs w:val="false"/>
                <w:color w:val="1F2A20"/>
                <w:sz w:val="19"/>
                <w:szCs w:val="19"/>
              </w:rPr>
              <w:t xml:space="preserve">0</w:t>
            </w:r>
          </w:p>
        </w:tc>
        <w:tc>
          <w:tcPr>
            <w:tcW w:type="dxa" w:w="1800"/>
            <w:shd w:fill="EDF1EC" w:val="clear"/>
            <w:tcMar>
              <w:top w:type="dxa" w:w="80"/>
              <w:left w:type="dxa" w:w="100"/>
              <w:bottom w:type="dxa" w:w="80"/>
              <w:right w:type="dxa" w:w="100"/>
            </w:tcMar>
          </w:tcPr>
          <w:p>
            <w:pPr>
              <w:jc w:val="left"/>
            </w:pPr>
            <w:r>
              <w:rPr>
                <w:b w:val="false"/>
                <w:bCs w:val="false"/>
                <w:color w:val="1F2A20"/>
                <w:sz w:val="19"/>
                <w:szCs w:val="19"/>
              </w:rPr>
              <w:t xml:space="preserve">5</w:t>
            </w:r>
          </w:p>
        </w:tc>
        <w:tc>
          <w:tcPr>
            <w:tcW w:type="dxa" w:w="1800"/>
            <w:shd w:fill="EDF1EC" w:val="clear"/>
            <w:tcMar>
              <w:top w:type="dxa" w:w="80"/>
              <w:left w:type="dxa" w:w="100"/>
              <w:bottom w:type="dxa" w:w="80"/>
              <w:right w:type="dxa" w:w="100"/>
            </w:tcMar>
          </w:tcPr>
          <w:p>
            <w:pPr>
              <w:jc w:val="left"/>
            </w:pPr>
            <w:r>
              <w:rPr>
                <w:b w:val="false"/>
                <w:bCs w:val="false"/>
                <w:color w:val="1F2A20"/>
                <w:sz w:val="19"/>
                <w:szCs w:val="19"/>
              </w:rPr>
              <w:t xml:space="preserve">0%</w:t>
            </w:r>
          </w:p>
        </w:tc>
      </w:tr>
      <w:tr>
        <w:tc>
          <w:tcPr>
            <w:tcW w:type="dxa" w:w="2680"/>
            <w:tcMar>
              <w:top w:type="dxa" w:w="80"/>
              <w:left w:type="dxa" w:w="100"/>
              <w:bottom w:type="dxa" w:w="80"/>
              <w:right w:type="dxa" w:w="100"/>
            </w:tcMar>
          </w:tcPr>
          <w:p>
            <w:pPr>
              <w:jc w:val="left"/>
            </w:pPr>
            <w:r>
              <w:rPr>
                <w:b w:val="false"/>
                <w:bCs w:val="false"/>
                <w:color w:val="1F2A20"/>
                <w:sz w:val="19"/>
                <w:szCs w:val="19"/>
              </w:rPr>
              <w:t xml:space="preserve">organico (sem UTM)</w:t>
            </w:r>
          </w:p>
        </w:tc>
        <w:tc>
          <w:tcPr>
            <w:tcW w:type="dxa" w:w="1600"/>
            <w:tcMar>
              <w:top w:type="dxa" w:w="80"/>
              <w:left w:type="dxa" w:w="100"/>
              <w:bottom w:type="dxa" w:w="80"/>
              <w:right w:type="dxa" w:w="100"/>
            </w:tcMar>
          </w:tcPr>
          <w:p>
            <w:pPr>
              <w:jc w:val="left"/>
            </w:pPr>
            <w:r>
              <w:rPr>
                <w:b w:val="false"/>
                <w:bCs w:val="false"/>
                <w:color w:val="1F2A20"/>
                <w:sz w:val="19"/>
                <w:szCs w:val="19"/>
              </w:rPr>
              <w:t xml:space="preserve">5</w:t>
            </w:r>
          </w:p>
        </w:tc>
        <w:tc>
          <w:tcPr>
            <w:tcW w:type="dxa" w:w="1800"/>
            <w:tcMar>
              <w:top w:type="dxa" w:w="80"/>
              <w:left w:type="dxa" w:w="100"/>
              <w:bottom w:type="dxa" w:w="80"/>
              <w:right w:type="dxa" w:w="100"/>
            </w:tcMar>
          </w:tcPr>
          <w:p>
            <w:pPr>
              <w:jc w:val="left"/>
            </w:pPr>
            <w:r>
              <w:rPr>
                <w:b w:val="false"/>
                <w:bCs w:val="false"/>
                <w:color w:val="1F2A20"/>
                <w:sz w:val="19"/>
                <w:szCs w:val="19"/>
              </w:rPr>
              <w:t xml:space="preserve">2</w:t>
            </w:r>
          </w:p>
        </w:tc>
        <w:tc>
          <w:tcPr>
            <w:tcW w:type="dxa" w:w="1800"/>
            <w:tcMar>
              <w:top w:type="dxa" w:w="80"/>
              <w:left w:type="dxa" w:w="100"/>
              <w:bottom w:type="dxa" w:w="80"/>
              <w:right w:type="dxa" w:w="100"/>
            </w:tcMar>
          </w:tcPr>
          <w:p>
            <w:pPr>
              <w:jc w:val="left"/>
            </w:pPr>
            <w:r>
              <w:rPr>
                <w:b w:val="false"/>
                <w:bCs w:val="false"/>
                <w:color w:val="1F2A20"/>
                <w:sz w:val="19"/>
                <w:szCs w:val="19"/>
              </w:rPr>
              <w:t xml:space="preserve">5</w:t>
            </w:r>
          </w:p>
        </w:tc>
        <w:tc>
          <w:tcPr>
            <w:tcW w:type="dxa" w:w="1800"/>
            <w:tcMar>
              <w:top w:type="dxa" w:w="80"/>
              <w:left w:type="dxa" w:w="100"/>
              <w:bottom w:type="dxa" w:w="80"/>
              <w:right w:type="dxa" w:w="100"/>
            </w:tcMar>
          </w:tcPr>
          <w:p>
            <w:pPr>
              <w:jc w:val="left"/>
            </w:pPr>
            <w:r>
              <w:rPr>
                <w:b w:val="false"/>
                <w:bCs w:val="false"/>
                <w:color w:val="1F2A20"/>
                <w:sz w:val="19"/>
                <w:szCs w:val="19"/>
              </w:rPr>
              <w:t xml:space="preserve">40%*</w:t>
            </w:r>
          </w:p>
        </w:tc>
      </w:tr>
    </w:tbl>
    <w:p>
      <w:pPr>
        <w:spacing w:after="240" w:before="60"/>
      </w:pPr>
      <w:r>
        <w:rPr>
          <w:i/>
          <w:iCs/>
          <w:color w:val="666666"/>
          <w:sz w:val="18"/>
          <w:szCs w:val="18"/>
        </w:rPr>
        <w:t xml:space="preserve">*Amostra de apenas 5 sessões, sem nenhum parâmetro de anúncio (acesso direto) — muito provavelmente testes internos da equipe, não tráfego real de cliente. Não deve ser lido como “tráfego orgânico converte melhor”.</w:t>
      </w:r>
    </w:p>
    <w:p>
      <w:pPr>
        <w:spacing w:after="160" w:line="300"/>
      </w:pPr>
      <w:r>
        <w:rPr>
          <w:color w:val="1F2A20"/>
          <w:sz w:val="21"/>
          <w:szCs w:val="21"/>
        </w:rPr>
        <w:t xml:space="preserve">O ponto que meritório de atenção imediata: das 43 pessoas que chegaram à página vindas do anúncio pago (imagem + vídeo), nenhuma clicou em nenhum dos três planos. Isso é diferente de “0 vendas” — é um sinal anterior no funil, mais barato de investigar, porque não exige nem que a pessoa preencha o cartão.</w:t>
      </w:r>
    </w:p>
    <w:p>
      <w:pPr>
        <w:pStyle w:val="Heading2"/>
        <w:spacing w:after="120" w:before="280"/>
      </w:pPr>
      <w:r>
        <w:rPr>
          <w:b/>
          <w:bCs/>
          <w:color w:val="4B6B4E"/>
          <w:sz w:val="24"/>
          <w:szCs w:val="24"/>
        </w:rPr>
        <w:t xml:space="preserve">2.1 Onde a atenção se perde antes do clique em “Assinar”</w:t>
      </w:r>
    </w:p>
    <w:p>
      <w:pPr>
        <w:spacing w:after="160" w:line="300"/>
      </w:pPr>
      <w:r>
        <w:rPr>
          <w:color w:val="1F2A20"/>
          <w:sz w:val="21"/>
          <w:szCs w:val="21"/>
        </w:rPr>
        <w:t xml:space="preserve">Hoje a página não mede nada entre “chegou” e “clicou em Assinar”. O código já prevê um evento cta_click na mesma tabela, mas ele nunca é disparado — nem o botão “Quero minha rotina” do cabeçalho, nem o “Quero minha rotina agora” ou “Ver o app” do Hero chamam esse tracking. Isso significa que, hoje, é impossível saber se as 43 pessoas:</w:t>
      </w:r>
    </w:p>
    <w:p>
      <w:pPr>
        <w:pStyle w:val="ListParagraph"/>
        <w:numPr>
          <w:ilvl w:val="0"/>
          <w:numId w:val="3"/>
        </w:numPr>
        <w:spacing w:after="120" w:line="290"/>
      </w:pPr>
      <w:r>
        <w:rPr>
          <w:color w:val="1F2A20"/>
          <w:sz w:val="21"/>
          <w:szCs w:val="21"/>
        </w:rPr>
        <w:t xml:space="preserve">Nem rolaram a página até o final (abandono no topo, comum em anúncio + conexão móvel lenta);</w:t>
      </w:r>
    </w:p>
    <w:p>
      <w:pPr>
        <w:pStyle w:val="ListParagraph"/>
        <w:numPr>
          <w:ilvl w:val="0"/>
          <w:numId w:val="3"/>
        </w:numPr>
        <w:spacing w:after="120" w:line="290"/>
      </w:pPr>
      <w:r>
        <w:rPr>
          <w:color w:val="1F2A20"/>
          <w:sz w:val="21"/>
          <w:szCs w:val="21"/>
        </w:rPr>
        <w:t xml:space="preserve">Rolaram e viram a seção de preços, mas não clicaram em nenhum plano (hesitação na oferta/preço);</w:t>
      </w:r>
    </w:p>
    <w:p>
      <w:pPr>
        <w:pStyle w:val="ListParagraph"/>
        <w:numPr>
          <w:ilvl w:val="0"/>
          <w:numId w:val="3"/>
        </w:numPr>
        <w:spacing w:after="120" w:line="290"/>
      </w:pPr>
      <w:r>
        <w:rPr>
          <w:color w:val="1F2A20"/>
          <w:sz w:val="21"/>
          <w:szCs w:val="21"/>
        </w:rPr>
        <w:t xml:space="preserve">Clicaram em “Ver o app” ou “Quero minha rotina” no topo, mas esses botões só fazem scroll até a própria página — não há para onde “se perder” tecnicamente, mas sem o evento não dá pra confirmar visualmente o comportamento.</w:t>
      </w:r>
    </w:p>
    <w:p>
      <w:pPr>
        <w:spacing w:after="160" w:line="300"/>
      </w:pPr>
      <w:r>
        <w:rPr>
          <w:color w:val="1F2A20"/>
          <w:sz w:val="21"/>
          <w:szCs w:val="21"/>
        </w:rPr>
        <w:t xml:space="preserve">Recomendo instrumentar esse meio de funil (scroll depth e cliques nos CTAs do Hero/cabeçalho) antes de investir mais em mídia — hoje a única visibilidade é “chegou” vs. “clicou pra pagar”, sem nada no meio.</w:t>
      </w:r>
    </w:p>
    <w:p>
      <w:pPr>
        <w:pStyle w:val="Heading2"/>
        <w:spacing w:after="120" w:before="280"/>
      </w:pPr>
      <w:r>
        <w:rPr>
          <w:b/>
          <w:bCs/>
          <w:color w:val="4B6B4E"/>
          <w:sz w:val="24"/>
          <w:szCs w:val="24"/>
        </w:rPr>
        <w:t xml:space="preserve">2.2 Um detalhe de mensuração: nem todo clique vira page_view</w:t>
      </w:r>
    </w:p>
    <w:p>
      <w:pPr>
        <w:spacing w:after="160" w:line="300"/>
      </w:pPr>
      <w:r>
        <w:rPr>
          <w:color w:val="1F2A20"/>
          <w:sz w:val="21"/>
          <w:szCs w:val="21"/>
        </w:rPr>
        <w:t xml:space="preserve">O Meta reporta 57 cliques no link. O próprio pixel do Meta contou 32 “visualizações de página de destino”. E o banco da aplicação registrou 43 page_view atribuídos ao anúncio. Os três números deveriam ser próximos e não são — típico de tráfego majoritariamente mobile (92% dos acessos pagos foram por celular) com alguma perda de gente que clica e sai antes da página carregar por completo, ou navegadores com bloqueio de scripts. Não é grave por si só, mas junto com o resto do quadro, reforça que vale testar a velocidade de carregamento da v3 em uma conexão 4G real, não só no wifi do escritório.</w:t>
      </w:r>
    </w:p>
    <w:p>
      <w:pPr>
        <w:pStyle w:val="Heading1"/>
        <w:pBdr>
          <w:bottom w:val="single" w:color="4B6B4E" w:sz="6" w:space="4"/>
        </w:pBdr>
        <w:spacing w:after="160" w:before="360"/>
      </w:pPr>
      <w:r>
        <w:rPr>
          <w:b/>
          <w:bCs/>
          <w:color w:val="1F2A20"/>
          <w:sz w:val="28"/>
          <w:szCs w:val="28"/>
        </w:rPr>
        <w:t xml:space="preserve">3. Teste técnico do checkout em produção</w:t>
      </w:r>
    </w:p>
    <w:p>
      <w:pPr>
        <w:spacing w:after="160" w:line="300"/>
      </w:pPr>
      <w:r>
        <w:rPr>
          <w:color w:val="1F2A20"/>
          <w:sz w:val="21"/>
          <w:szCs w:val="21"/>
        </w:rPr>
        <w:t xml:space="preserve">Para descartar a hipótese mais grave — um bug impedindo o pagamento — simulei a jornada de um visitante do anúncio: abri a URL de produção com os mesmos parâmetros UTM do anúncio de imagem, rolei até a seção de planos e cliquei em “Assinar Mensal”.</w:t>
      </w:r>
    </w:p>
    <w:p>
      <w:pPr>
        <w:pStyle w:val="ListParagraph"/>
        <w:numPr>
          <w:ilvl w:val="0"/>
          <w:numId w:val="2"/>
        </w:numPr>
        <w:spacing w:after="100" w:line="290"/>
      </w:pPr>
      <w:r>
        <w:rPr>
          <w:color w:val="1F2A20"/>
          <w:sz w:val="21"/>
          <w:szCs w:val="21"/>
        </w:rPr>
        <w:t xml:space="preserve">O botão funcionou e abriu corretamente o Stripe Checkout hospedado, em modo ao vivo (sessão cs_live_...), sem nenhum erro no console.</w:t>
      </w:r>
    </w:p>
    <w:p>
      <w:pPr>
        <w:pStyle w:val="ListParagraph"/>
        <w:numPr>
          <w:ilvl w:val="0"/>
          <w:numId w:val="2"/>
        </w:numPr>
        <w:spacing w:after="100" w:line="290"/>
      </w:pPr>
      <w:r>
        <w:rPr>
          <w:color w:val="1F2A20"/>
          <w:sz w:val="21"/>
          <w:szCs w:val="21"/>
        </w:rPr>
        <w:t xml:space="preserve">O valor exibido (R$ 29,90/mês) e o nome do produto (“Zion Skincare - Plano Mensal”) estavam corretos.</w:t>
      </w:r>
    </w:p>
    <w:p>
      <w:pPr>
        <w:pStyle w:val="ListParagraph"/>
        <w:numPr>
          <w:ilvl w:val="0"/>
          <w:numId w:val="2"/>
        </w:numPr>
        <w:spacing w:after="100" w:line="290"/>
      </w:pPr>
      <w:r>
        <w:rPr>
          <w:color w:val="1F2A20"/>
          <w:sz w:val="21"/>
          <w:szCs w:val="21"/>
        </w:rPr>
        <w:t xml:space="preserve">As variáveis de ambiente de produção (PAYMENTS_PROVIDER=stripe, chaves e price IDs do Stripe live) estão todas configuradas — não há inconsistência entre o que o código espera e o que está publicado.</w:t>
      </w:r>
    </w:p>
    <w:p>
      <w:pPr>
        <w:spacing w:after="160" w:line="300"/>
      </w:pPr>
      <w:r>
        <w:rPr>
          <w:color w:val="1F2A20"/>
          <w:sz w:val="21"/>
          <w:szCs w:val="21"/>
        </w:rPr>
        <w:t xml:space="preserve">Não preenchi nem enviei nenhum dado de cartão — o teste parou na tela de checkout do Stripe, o suficiente para confirmar que o caminho técnico completo (front-end → função de servidor → Stripe) funciona.</w:t>
      </w:r>
    </w:p>
    <w:p>
      <w:pPr>
        <w:spacing w:after="160" w:line="300"/>
      </w:pPr>
      <w:r>
        <w:rPr>
          <w:b/>
          <w:bCs/>
          <w:color w:val="1F2A20"/>
          <w:sz w:val="21"/>
          <w:szCs w:val="21"/>
        </w:rPr>
        <w:t xml:space="preserve">Conclusão desta seção: o checkout não é a causa da falta de vendas.</w:t>
      </w:r>
    </w:p>
    <w:p>
      <w:pPr>
        <w:pStyle w:val="Heading1"/>
        <w:pBdr>
          <w:bottom w:val="single" w:color="4B6B4E" w:sz="6" w:space="4"/>
        </w:pBdr>
        <w:spacing w:after="160" w:before="360"/>
      </w:pPr>
      <w:r>
        <w:rPr>
          <w:b/>
          <w:bCs/>
          <w:color w:val="1F2A20"/>
          <w:sz w:val="28"/>
          <w:szCs w:val="28"/>
        </w:rPr>
        <w:t xml:space="preserve">4. Descompasso entre a promessa do anúncio e a página v3</w:t>
      </w:r>
    </w:p>
    <w:p>
      <w:pPr>
        <w:spacing w:after="160" w:line="300"/>
      </w:pPr>
      <w:r>
        <w:rPr>
          <w:color w:val="1F2A20"/>
          <w:sz w:val="21"/>
          <w:szCs w:val="21"/>
        </w:rPr>
        <w:t xml:space="preserve">Os dois anúncios (vídeo e imagem) usam o mesmo texto principal:</w:t>
      </w:r>
    </w:p>
    <w:p>
      <w:pPr>
        <w:pBdr>
          <w:left w:val="single" w:color="4B6B4E" w:sz="12" w:space="8"/>
        </w:pBdr>
        <w:spacing w:after="200"/>
        <w:ind w:left="420"/>
      </w:pPr>
      <w:r>
        <w:rPr>
          <w:i/>
          <w:iCs/>
          <w:color w:val="666666"/>
          <w:sz w:val="20"/>
          <w:szCs w:val="20"/>
        </w:rPr>
        <w:t xml:space="preserve">“SKINCARE GUIADO POR IA!!! Sua rotina de skincare, personalizada por IA. Baseada no seu tipo de pele. Sem promessa milagrosa, sem passo a mais do que o necessário. Rotina personalizada em 30 segundos! Check-in diário e diário de evolução com fotos. Cancele quando quiser. Planos a partir de R$ 29,90/mês, com garantia de 7 dias.”</w:t>
      </w:r>
    </w:p>
    <w:p>
      <w:pPr>
        <w:spacing w:after="160" w:line="300"/>
      </w:pPr>
      <w:r>
        <w:rPr>
          <w:color w:val="1F2A20"/>
          <w:sz w:val="21"/>
          <w:szCs w:val="21"/>
        </w:rPr>
        <w:t xml:space="preserve">A landing v3 foi construída deliberadamente enxuta (ver comentário no próprio código-fonte): Hero + demonstração do app + preços, sem quiz e sem prova social, para “converter rápido via Stripe”. Isso cria dois pontos de atrito com o que o anúncio prometeu:</w:t>
      </w:r>
    </w:p>
    <w:p>
      <w:pPr>
        <w:pStyle w:val="ListParagraph"/>
        <w:numPr>
          <w:ilvl w:val="0"/>
          <w:numId w:val="2"/>
        </w:numPr>
        <w:spacing w:after="100" w:line="290"/>
      </w:pPr>
      <w:r>
        <w:rPr>
          <w:b/>
          <w:bCs/>
          <w:color w:val="1F2A20"/>
          <w:sz w:val="21"/>
          <w:szCs w:val="21"/>
        </w:rPr>
        <w:t xml:space="preserve">“Personalização em 30 segundos” não é demonstrada. </w:t>
      </w:r>
      <w:r>
        <w:rPr>
          <w:color w:val="1F2A20"/>
          <w:sz w:val="21"/>
          <w:szCs w:val="21"/>
        </w:rPr>
        <w:t xml:space="preserve">A v1 e a v2 do site têm um quiz interativo que entrega essa personalização antes de pedir pagamento; a v3 corta esse passo e mostra só um preview estático do app. Quem clicou no anúncio esperando personalizar algo em 30 segundos chega direto numa tela de planos — sem ter vivido a experiência prometida.</w:t>
      </w:r>
    </w:p>
    <w:p>
      <w:pPr>
        <w:pStyle w:val="ListParagraph"/>
        <w:numPr>
          <w:ilvl w:val="0"/>
          <w:numId w:val="2"/>
        </w:numPr>
        <w:spacing w:after="100" w:line="290"/>
      </w:pPr>
      <w:r>
        <w:rPr>
          <w:b/>
          <w:bCs/>
          <w:color w:val="1F2A20"/>
          <w:sz w:val="21"/>
          <w:szCs w:val="21"/>
        </w:rPr>
        <w:t xml:space="preserve">A garantia de 7 dias aparece, mas só uma vez, longe do botão de pagar. </w:t>
      </w:r>
      <w:r>
        <w:rPr>
          <w:color w:val="1F2A20"/>
          <w:sz w:val="21"/>
          <w:szCs w:val="21"/>
        </w:rPr>
        <w:t xml:space="preserve">Ela está no Hero, como um selo pequeno junto de “Leva ~2 minutos” e “Cabe no seu orçamento” — mas não é repetida perto dos botões “Assinar Mensal/Trimestral/Bimestral”, exatamente no momento em que a pessoa está decidindo se assina algo recorrente de um site que talvez nunca tenha visto antes.</w:t>
      </w:r>
    </w:p>
    <w:p>
      <w:pPr>
        <w:pStyle w:val="ListParagraph"/>
        <w:numPr>
          <w:ilvl w:val="0"/>
          <w:numId w:val="2"/>
        </w:numPr>
        <w:spacing w:after="100" w:line="290"/>
      </w:pPr>
      <w:r>
        <w:rPr>
          <w:b/>
          <w:bCs/>
          <w:color w:val="1F2A20"/>
          <w:sz w:val="21"/>
          <w:szCs w:val="21"/>
        </w:rPr>
        <w:t xml:space="preserve">Zero prova social. </w:t>
      </w:r>
      <w:r>
        <w:rPr>
          <w:color w:val="1F2A20"/>
          <w:sz w:val="21"/>
          <w:szCs w:val="21"/>
        </w:rPr>
        <w:t xml:space="preserve">Sem depoimentos, sem contagem de usuários, sem qualquer selo de confiança além do “processado pela Stripe”. Pedir uma assinatura recorrente já na primeira visita, de uma marca desconhecida, sem nenhum elemento de confiança social, é um pedido grande — mesmo com preço baixo.</w:t>
      </w:r>
    </w:p>
    <w:p>
      <w:pPr>
        <w:pStyle w:val="Heading1"/>
        <w:pBdr>
          <w:bottom w:val="single" w:color="4B6B4E" w:sz="6" w:space="4"/>
        </w:pBdr>
        <w:spacing w:after="160" w:before="360"/>
      </w:pPr>
      <w:r>
        <w:rPr>
          <w:b/>
          <w:bCs/>
          <w:color w:val="1F2A20"/>
          <w:sz w:val="28"/>
          <w:szCs w:val="28"/>
        </w:rPr>
        <w:t xml:space="preserve">5. Recomendações priorizadas</w:t>
      </w:r>
    </w:p>
    <w:p>
      <w:pPr>
        <w:pStyle w:val="Heading2"/>
        <w:spacing w:after="120" w:before="280"/>
      </w:pPr>
      <w:r>
        <w:rPr>
          <w:b/>
          <w:bCs/>
          <w:color w:val="4B6B4E"/>
          <w:sz w:val="24"/>
          <w:szCs w:val="24"/>
        </w:rPr>
        <w:t xml:space="preserve">5.1 Agora (não custam dinheiro extra, só tempo)</w:t>
      </w:r>
    </w:p>
    <w:p>
      <w:pPr>
        <w:pStyle w:val="ListParagraph"/>
        <w:numPr>
          <w:ilvl w:val="0"/>
          <w:numId w:val="3"/>
        </w:numPr>
        <w:spacing w:after="120" w:line="290"/>
      </w:pPr>
      <w:r>
        <w:rPr>
          <w:color w:val="1F2A20"/>
          <w:sz w:val="21"/>
          <w:szCs w:val="21"/>
        </w:rPr>
        <w:t xml:space="preserve">Instrumentar o meio do funil: disparar cta_click (evento que já existe na tabela) nos botões “Quero minha rotina” (cabeçalho e Hero) e “Ver o app”, e adicionar uma métrica simples de scroll até a seção #oferta. Sem isso, qualquer decisão sobre a página continua sendo “no escuro”.</w:t>
      </w:r>
    </w:p>
    <w:p>
      <w:pPr>
        <w:pStyle w:val="ListParagraph"/>
        <w:numPr>
          <w:ilvl w:val="0"/>
          <w:numId w:val="3"/>
        </w:numPr>
        <w:spacing w:after="120" w:line="290"/>
      </w:pPr>
      <w:r>
        <w:rPr>
          <w:color w:val="1F2A20"/>
          <w:sz w:val="21"/>
          <w:szCs w:val="21"/>
        </w:rPr>
        <w:t xml:space="preserve">Repetir a garantia de 7 dias e adicionar um selo de confiança simples (ex.: “pagamento processado pela Stripe, usado por milhões de sites” já existe — pode reforçar com algo como número de usuários ativos, se houver) logo abaixo dos botões de assinar, não só no Hero.</w:t>
      </w:r>
    </w:p>
    <w:p>
      <w:pPr>
        <w:pStyle w:val="ListParagraph"/>
        <w:numPr>
          <w:ilvl w:val="0"/>
          <w:numId w:val="3"/>
        </w:numPr>
        <w:spacing w:after="120" w:line="290"/>
      </w:pPr>
      <w:r>
        <w:rPr>
          <w:color w:val="1F2A20"/>
          <w:sz w:val="21"/>
          <w:szCs w:val="21"/>
        </w:rPr>
        <w:t xml:space="preserve">Rever a promessa “personalizado em 30 segundos” no anúncio: ou trazer de volta um mini-preview do processo de personalização na v3 (mesmo que resumido, sem o quiz completo), ou ajustar o texto do anúncio para não prometer uma experiência que a página não entrega antes do preço.</w:t>
      </w:r>
    </w:p>
    <w:p>
      <w:pPr>
        <w:pStyle w:val="ListParagraph"/>
        <w:numPr>
          <w:ilvl w:val="0"/>
          <w:numId w:val="3"/>
        </w:numPr>
        <w:spacing w:after="120" w:line="290"/>
      </w:pPr>
      <w:r>
        <w:rPr>
          <w:color w:val="1F2A20"/>
          <w:sz w:val="21"/>
          <w:szCs w:val="21"/>
        </w:rPr>
        <w:t xml:space="preserve">Aguardar amostra maior antes de decisões grandes de verba: 57 cliques em meio dia é pouco. Recomendo esperar a campanha acumular pelo menos 150–200 cliques (uns 3–5 dias no ritmo atual) antes de pausar, escalar ou reformular o criativo.</w:t>
      </w:r>
    </w:p>
    <w:p>
      <w:pPr>
        <w:pStyle w:val="ListParagraph"/>
        <w:numPr>
          <w:ilvl w:val="0"/>
          <w:numId w:val="3"/>
        </w:numPr>
        <w:spacing w:after="120" w:line="290"/>
      </w:pPr>
      <w:r>
        <w:rPr>
          <w:color w:val="1F2A20"/>
          <w:sz w:val="21"/>
          <w:szCs w:val="21"/>
        </w:rPr>
        <w:t xml:space="preserve">Testar a página em uma conexão 4G real (não wifi), já que 92% do tráfego pago é mobile e uma fração relevante dos cliques não virou page_view completo.</w:t>
      </w:r>
    </w:p>
    <w:p>
      <w:pPr>
        <w:pStyle w:val="Heading2"/>
        <w:spacing w:after="120" w:before="280"/>
      </w:pPr>
      <w:r>
        <w:rPr>
          <w:b/>
          <w:bCs/>
          <w:color w:val="4B6B4E"/>
          <w:sz w:val="24"/>
          <w:szCs w:val="24"/>
        </w:rPr>
        <w:t xml:space="preserve">5.2 Em seguida (depois de mais dados)</w:t>
      </w:r>
    </w:p>
    <w:p>
      <w:pPr>
        <w:pStyle w:val="ListParagraph"/>
        <w:numPr>
          <w:ilvl w:val="0"/>
          <w:numId w:val="3"/>
        </w:numPr>
        <w:spacing w:after="120" w:line="290"/>
      </w:pPr>
      <w:r>
        <w:rPr>
          <w:color w:val="1F2A20"/>
          <w:sz w:val="21"/>
          <w:szCs w:val="21"/>
        </w:rPr>
        <w:t xml:space="preserve">Revisar a alocação de orçamento entre os dois criativos — o vídeo recebeu menos de 5% do gasto e não teve chance real de ser avaliado; vale entender se é fase de aprendizado do Meta ou um problema de relevância do próprio vídeo (o editor já aponta que o texto pode ficar coberto pelo ícone de perfil em alguns formatos).</w:t>
      </w:r>
    </w:p>
    <w:p>
      <w:pPr>
        <w:pStyle w:val="ListParagraph"/>
        <w:numPr>
          <w:ilvl w:val="0"/>
          <w:numId w:val="3"/>
        </w:numPr>
        <w:spacing w:after="120" w:line="290"/>
      </w:pPr>
      <w:r>
        <w:rPr>
          <w:color w:val="1F2A20"/>
          <w:sz w:val="21"/>
          <w:szCs w:val="21"/>
        </w:rPr>
        <w:t xml:space="preserve">Considerar um teste A/B formal entre a v3 (enxuta, direto ao Stripe) e uma variante com quiz curto antes do preço, para medir se o passo de personalização aumenta a taxa de clique em “Assinar” o suficiente para compensar a fricção extra.</w:t>
      </w:r>
    </w:p>
    <w:p>
      <w:pPr>
        <w:pStyle w:val="ListParagraph"/>
        <w:numPr>
          <w:ilvl w:val="0"/>
          <w:numId w:val="3"/>
        </w:numPr>
        <w:spacing w:after="120" w:line="290"/>
      </w:pPr>
      <w:r>
        <w:rPr>
          <w:color w:val="1F2A20"/>
          <w:sz w:val="21"/>
          <w:szCs w:val="21"/>
        </w:rPr>
        <w:t xml:space="preserve">Padronizar este mesmo teste manual de checkout (visita simulada + clique real até a tela do Stripe) como parte do processo antes de qualquer mudança na v3 subir para produção com tráfego pago ativo.</w:t>
      </w:r>
    </w:p>
    <w:p>
      <w:pPr>
        <w:pStyle w:val="Heading1"/>
        <w:pBdr>
          <w:bottom w:val="single" w:color="4B6B4E" w:sz="6" w:space="4"/>
        </w:pBdr>
        <w:spacing w:after="160" w:before="360"/>
      </w:pPr>
      <w:r>
        <w:rPr>
          <w:b/>
          <w:bCs/>
          <w:color w:val="1F2A20"/>
          <w:sz w:val="28"/>
          <w:szCs w:val="28"/>
        </w:rPr>
        <w:t xml:space="preserve">6. O que já está funcionando bem</w:t>
      </w:r>
    </w:p>
    <w:p>
      <w:pPr>
        <w:pStyle w:val="ListParagraph"/>
        <w:numPr>
          <w:ilvl w:val="0"/>
          <w:numId w:val="2"/>
        </w:numPr>
        <w:spacing w:after="100" w:line="290"/>
      </w:pPr>
      <w:r>
        <w:rPr>
          <w:color w:val="1F2A20"/>
          <w:sz w:val="21"/>
          <w:szCs w:val="21"/>
        </w:rPr>
        <w:t xml:space="preserve">Checkout Stripe funcionando de ponta a ponta em produção, com chaves e price IDs live corretamente configurados.</w:t>
      </w:r>
    </w:p>
    <w:p>
      <w:pPr>
        <w:pStyle w:val="ListParagraph"/>
        <w:numPr>
          <w:ilvl w:val="0"/>
          <w:numId w:val="2"/>
        </w:numPr>
        <w:spacing w:after="100" w:line="290"/>
      </w:pPr>
      <w:r>
        <w:rPr>
          <w:color w:val="1F2A20"/>
          <w:sz w:val="21"/>
          <w:szCs w:val="21"/>
        </w:rPr>
        <w:t xml:space="preserve">Pixel do Meta e parâmetros UTM corretos e consistentes entre anúncio, página e banco de dados.</w:t>
      </w:r>
    </w:p>
    <w:p>
      <w:pPr>
        <w:pStyle w:val="ListParagraph"/>
        <w:numPr>
          <w:ilvl w:val="0"/>
          <w:numId w:val="2"/>
        </w:numPr>
        <w:spacing w:after="100" w:line="290"/>
      </w:pPr>
      <w:r>
        <w:rPr>
          <w:color w:val="1F2A20"/>
          <w:sz w:val="21"/>
          <w:szCs w:val="21"/>
        </w:rPr>
        <w:t xml:space="preserve">CTR (4,18%) e CPC (R$ 0,53) do anúncio estão em um patamar saudável — o problema não está em atrair cliques.</w:t>
      </w:r>
    </w:p>
    <w:p>
      <w:pPr>
        <w:pStyle w:val="ListParagraph"/>
        <w:numPr>
          <w:ilvl w:val="0"/>
          <w:numId w:val="2"/>
        </w:numPr>
        <w:spacing w:after="100" w:line="290"/>
      </w:pPr>
      <w:r>
        <w:rPr>
          <w:color w:val="1F2A20"/>
          <w:sz w:val="21"/>
          <w:szCs w:val="21"/>
        </w:rPr>
        <w:t xml:space="preserve">A tabela landing_page_visits está capturando exatamente os dados certos para diagnosticar o funil (origem, dispositivo, fbclid, evento) — só falta usá-la para o meio do funil também.</w:t>
      </w:r>
    </w:p>
    <w:p>
      <w:pPr>
        <w:pStyle w:val="Heading1"/>
        <w:pBdr>
          <w:bottom w:val="single" w:color="4B6B4E" w:sz="6" w:space="4"/>
        </w:pBdr>
        <w:spacing w:after="160" w:before="360"/>
      </w:pPr>
      <w:r>
        <w:rPr>
          <w:b/>
          <w:bCs/>
          <w:color w:val="1F2A20"/>
          <w:sz w:val="28"/>
          <w:szCs w:val="28"/>
        </w:rPr>
        <w:t xml:space="preserve">7. Limitações desta análise</w:t>
      </w:r>
    </w:p>
    <w:p>
      <w:pPr>
        <w:spacing w:after="160" w:line="300"/>
      </w:pPr>
      <w:r>
        <w:rPr>
          <w:color w:val="1F2A20"/>
          <w:sz w:val="21"/>
          <w:szCs w:val="21"/>
        </w:rPr>
        <w:t xml:space="preserve">A campanha está no ar há aproximadamente 12 horas no momento desta análise, com uma amostra pequena (57 cliques, 43 page views atribuídos ao anúncio, R$ 30,16 investidos). As conclusões aqui devem ser lidas como sinais de alerta precoce e pontos de ação de baixo custo — não como um veredito definitivo sobre se a v3 “funciona ou não”. Recomendo revisitar esta análise em alguns dias, com mais volume, especialmente depois de instrumentar o cta_click sugerido na seção 5.1.</w:t>
      </w:r>
    </w:p>
    <w:p>
      <w:pPr>
        <w:spacing w:before="400"/>
      </w:pPr>
      <w:r>
        <w:rPr>
          <w:i/>
          <w:iCs/>
          <w:color w:val="666666"/>
          <w:sz w:val="18"/>
          <w:szCs w:val="18"/>
        </w:rPr>
        <w:t xml:space="preserve">— Fim do relatório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2026-08-24T12:54:13.799Z</dcterms:created>
  <dcterms:modified xsi:type="dcterms:W3CDTF">2026-08-24T12:54:13.800Z</dcterms:modified>
</cp:coreProperties>
</file>

<file path=docProps/custom.xml><?xml version="1.0" encoding="utf-8"?>
<Properties xmlns="http://schemas.openxmlformats.org/officeDocument/2006/custom-properties" xmlns:vt="http://schemas.openxmlformats.org/officeDocument/2006/docPropsVTypes"/>
</file>