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EXERCÍCIO 1.3 — PIPELINE DE RAG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Prova de Conceito | Tech Lead | NovaTech Logística</w:t>
      </w:r>
    </w:p>
    <w:p>
      <w:pPr>
        <w:pBdr>
          <w:bottom w:val="single" w:color="2E75B6" w:sz="6" w:space="1"/>
        </w:pBdr>
        <w:spacing w:after="1800" w:before="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Python + TF-IDF (sklearn) + ChromaDB | Chunking semântico por seção Markdown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utilizada: </w:t>
      </w:r>
      <w:r>
        <w:rPr>
          <w:rFonts w:ascii="Arial" w:cs="Arial" w:eastAsia="Arial" w:hAnsi="Arial"/>
          <w:sz w:val="20"/>
          <w:szCs w:val="20"/>
        </w:rPr>
        <w:t xml:space="preserve">Python 3.12 · scikit-learn (TF-IDF) · numpy · ChromaDB · sklearn.cosine_similarity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Embeddings: </w:t>
      </w:r>
      <w:r>
        <w:rPr>
          <w:rFonts w:ascii="Arial" w:cs="Arial" w:eastAsia="Arial" w:hAnsi="Arial"/>
          <w:sz w:val="20"/>
          <w:szCs w:val="20"/>
        </w:rPr>
        <w:t xml:space="preserve">TF-IDF local (modelo all-MiniLM-L6-v2 indisponível por restrição de rede). TF-IDF justificado para PoC com vocabulário técnico de domínio fechado.</w:t>
      </w:r>
    </w:p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Nota sobre ambiente: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huggingface.co bloqueado pelo ambiente de rede. Em produção, substituir TfidfVectorizer por SentenceTransformer('all-MiniLM-L6-v2') — a interface da classe VectorStore permanece idêntica.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8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Arquitetura do Pipeline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técnica</w:t>
            </w:r>
          </w:p>
        </w:tc>
        <w:tc>
          <w:tcPr>
            <w:tcW w:type="dxa" w:w="3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parse_sections()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por seção Markdown (## e ###)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normativos têm regras autocontidas por seção. Janela fixa de tokens cortaria tabelas e listas de exceções no meio.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Chunk.metadata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fonte_tier, status (ativo/superseded)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marcado como informal; PROC-042-v1 marcada superseded → filtrada automaticamente no retrieval.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TfidfVectorizer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ngram_range=(1,2), sublinear_tf=True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Bi-gramas capturam 'carga perigosa', 'cliente Gold', 'frete especial'. sublinear_tf suaviza termos muito frequentes.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cosine_similarity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Scipy-free, só numpy + sklearn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Cosseno normaliza comprimento do vetor — chunks longos não dominam só por terem mais tokens.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filter_superseded=True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status='superseded' no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que PROC-042-v1 retorne junto com v2, prevenindo respostas com multiplicadores errados.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1.1 Estatísticas de ingestão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1400"/>
        <w:gridCol w:w="3460"/>
      </w:tblGrid>
      <w:tr>
        <w:tc>
          <w:tcPr>
            <w:tcW w:type="dxa" w:w="2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9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Chunks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devolução — documento mais denso em 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PROC-042-v1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Filtrado no retrieval por padrão (versão obsoleta)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vigente dos multiplicadores de frete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contratual de SLA por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ativo*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*Ingerido com fonte_tier=informal; sinalizado no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8"/>
              <w:left w:val="single" w:color="2B547E" w:sz="2"/>
              <w:bottom w:val="single" w:color="2B547E" w:sz="2"/>
              <w:right w:val="single" w:color="2B547E" w:sz="2"/>
            </w:tcBorders>
            <w:shd w:fill="2B547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Código do Pipeline (trechos principais)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2.1 Chunking semântico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4"/>
              <w:left w:val="thick" w:color="2E75B6" w:sz="12"/>
              <w:bottom w:val="single" w:color="2B547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parse_sections(text: str) -&gt; List[tuple]: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"""Divide documento Markdown por seções ## e ###.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Estratégia: seção semântica, não janela fixa de tokens.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Motivo: regras normativas são autocontidas por seção.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sections, cur_title, cur_lines = [], 'Cabeçalho',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line in text.split('\n'):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re.match(r'^#{1,3} ', line):          # novo título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content = '\n'.join(cur_lines).strip()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content and len(content) &gt;= MIN_CHUNK_CHARS: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sections.append((cur_title, content))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cur_title = re.sub(r'^#+\s*', '', line).strip()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cur_lines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cur_lines.append(line)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última seção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content = '\n'.join(cur_lines).strip()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content and len(content) &gt;= MIN_CHUNK_CHARS: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sections.append((cur_title, content))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sections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Estratégia justificada: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Seção semântica &gt; janela fixa. Um chunk da seção '3.2 Exceções ao prazo geral' contém a regra completa de carga perigosa — indivisível. Com janela de 512 tokens, essa seção poderia ser cortada após 'EXCETO cargas perigosas', omitindo a instrução de contato com Gestão de Riscos.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2.2 Metadados por 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4"/>
              <w:left w:val="thick" w:color="2E75B6" w:sz="12"/>
              <w:bottom w:val="single" w:color="2B547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Chunk(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chunk_id = f'{doc_id}_{i:03d}',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doc_id   = doc_id,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section  = sec,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     = content,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'doc_id':     doc_id,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'section':    sec,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'fonte_tier': 'informal' if doc_id == 'FAQ' else 'normativo',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PROC-042-v1 marcada como superseded → filtrada no retrieval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'status':     'superseded' if doc_id == 'PROC-042-v1' else 'ativo',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2.3 Vector store com filtro de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4"/>
              <w:left w:val="thick" w:color="2E75B6" w:sz="12"/>
              <w:bottom w:val="single" w:color="2B547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VectorStore: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self.vectorizer = TfidfVectorizer(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ngram_range=(1, 2),   # uni + bi-gramas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sublinear_tf=True,    # log(TF) — suaviza termos frequentes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max_features=8000,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query(self, query, top_k=5, filter_superseded=True):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q_vec  = self.vectorizer.transform([query])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scores = cosine_similarity(q_vec, self.matrix).flatten()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ranked = np.argsort(scores)[::-1]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filtra PROC-042-v1 (superseded) por padrão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idx in ranked: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chunk = self.chunks[idx]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filter_superseded and chunk.metadata['status'] == 'superseded':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continue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results.append({...})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len(results) == top_k: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results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2.4 Montagem do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4"/>
              <w:left w:val="thick" w:color="2E75B6" w:sz="12"/>
              <w:bottom w:val="single" w:color="2B547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SYSTEM_PROMPT = """Você é o Assistente de Atendimento da NovaTech.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EXCEÇÕES SÃO PRIORIDADE: se um trecho proíbe algo, essa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restrição é a resposta principal — não a omita nem minimize.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Se a pergunta contém peso/valor específico, aplique a fórmula.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build_prompt(query, hits):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docs_text = 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i, h in enumerate(hits, 1):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 = ' ⚠ [FONTE INFORMAL]' if h['fonte_tier'] == 'informal' else 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docs_text += f'[Trecho {i} | {h["doc_id"]} — "{h["section"]}"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| score={h["score"]}{label}]\n{h["text"]}\n'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f'{SYSTEM_PROMPT}\n\n&lt;documentacao&gt;{docs_text}&lt;/documentacao&gt;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\n\nPergunta: {query}'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495E" w:sz="8"/>
              <w:left w:val="single" w:color="34495E" w:sz="2"/>
              <w:bottom w:val="single" w:color="34495E" w:sz="2"/>
              <w:right w:val="single" w:color="34495E" w:sz="2"/>
            </w:tcBorders>
            <w:shd w:fill="3449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Resultados dos 5 Testes de Busca</w:t>
            </w:r>
          </w:p>
        </w:tc>
      </w:tr>
    </w:tbl>
    <w:p>
      <w:pPr>
        <w:spacing w:after="45" w:before="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Placar final: </w:t>
      </w:r>
      <w:r>
        <w:rPr>
          <w:rFonts w:ascii="Arial" w:cs="Arial" w:eastAsia="Arial" w:hAnsi="Arial"/>
          <w:sz w:val="22"/>
          <w:szCs w:val="22"/>
        </w:rPr>
        <w:t xml:space="preserve">5/5 com doc correto no top-5. Porém, 3 testes tiveram problemas de ranking — ver análise detalhada.</w:t>
      </w:r>
    </w:p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3000"/>
        <w:gridCol w:w="1960"/>
      </w:tblGrid>
      <w:tr>
        <w:tc>
          <w:tcPr>
            <w:tcW w:type="dxa" w:w="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 recuperado</w:t>
            </w:r>
          </w:p>
        </w:tc>
        <w:tc>
          <w:tcPr>
            <w:tcW w:type="dxa" w:w="1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gabarito no top-5?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prazo de devolução?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PROC-042-v2 — 3. Prazo de entrega para frete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Posso devolver carga perigosa?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FALHOU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— Item 3 — "Cliente perguntou 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SLA do cliente Gold?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— Item 41 — "Qual a diferença 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SLA do cliente Platinum?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— Item 15 — "Cliente diz que é 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multiplicador de frete para o Sudeste?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PROC-042-v2 — 2.1. Multiplicadores regionais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Teste 1: "Qual o prazo de devolução?"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Gabarito esperado: </w:t>
      </w:r>
      <w:r>
        <w:rPr>
          <w:rFonts w:ascii="Arial" w:cs="Arial" w:eastAsia="Arial" w:hAnsi="Arial"/>
          <w:sz w:val="22"/>
          <w:szCs w:val="22"/>
        </w:rPr>
        <w:t xml:space="preserve">POL-001 | seções 3.1 (Prazo geral) e 3.2 (Exceções)</w:t>
      </w:r>
    </w:p>
    <w:p>
      <w:pPr>
        <w:spacing w:after="27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800"/>
        <w:gridCol w:w="1400"/>
        <w:gridCol w:w="860"/>
      </w:tblGrid>
      <w:tr>
        <w:tc>
          <w:tcPr>
            <w:tcW w:type="dxa" w:w="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Prazo de entrega para frete especial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 Custos de devolução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POL-001 — Política de Devolução (header)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 Procedimento de devolução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 Prazo geral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[PARCIAL] Análise: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correto presente no top-5 (✓), mas seção 3.2 (Exceções — a mais crítica) ficou fora do top-5. O rank #1 foi para PROC-042-v2 sobre prazo de frete, não de devolução — falso positivo por sobreposição do termo 'prazo'. A seção 3.1 com o prazo de 7 dias chegou apenas em 5º lugar.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Teste 2: "Posso devolver carga perigosa?"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Gabarito esperado: </w:t>
      </w:r>
      <w:r>
        <w:rPr>
          <w:rFonts w:ascii="Arial" w:cs="Arial" w:eastAsia="Arial" w:hAnsi="Arial"/>
          <w:sz w:val="22"/>
          <w:szCs w:val="22"/>
        </w:rPr>
        <w:t xml:space="preserve">POL-001 | seção 3.2 (Exceções ao prazo geral)</w:t>
      </w:r>
    </w:p>
    <w:p>
      <w:pPr>
        <w:spacing w:after="27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800"/>
        <w:gridCol w:w="1400"/>
        <w:gridCol w:w="860"/>
      </w:tblGrid>
      <w:tr>
        <w:tc>
          <w:tcPr>
            <w:tcW w:type="dxa" w:w="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3 — "Cliente perguntou se pode devolver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32 — "Pode enviar carga perigosa com fre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Definição de incidente crítico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45 — "O cliente quer desconto no frete"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3.4. Devoluções parciais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[FALHOU] Análise: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Falha crítica: os 3 primeiros resultados são do FAQ (fonte informal). A seção 3.2 da POL-001 — que contém a proibição oficial — não aparece no top-5. O FAQ Item 3 aborda o tema corretamente na prática, mas a resposta informal diz 'não diga que é impossível' — o que contradiz a POL-001. O modelo responderia com base na fonte errada.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Teste 3: "Qual o SLA do cliente Gold?"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Gabarito esperado: </w:t>
      </w:r>
      <w:r>
        <w:rPr>
          <w:rFonts w:ascii="Arial" w:cs="Arial" w:eastAsia="Arial" w:hAnsi="Arial"/>
          <w:sz w:val="22"/>
          <w:szCs w:val="22"/>
        </w:rPr>
        <w:t xml:space="preserve">SLA-2024 | Tabela de SLAs + Classificação de clientes</w:t>
      </w:r>
    </w:p>
    <w:p>
      <w:pPr>
        <w:spacing w:after="27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800"/>
        <w:gridCol w:w="1400"/>
        <w:gridCol w:w="860"/>
      </w:tblGrid>
      <w:tr>
        <w:tc>
          <w:tcPr>
            <w:tcW w:type="dxa" w:w="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41 — "Qual a diferença entre SLA de 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 Custos de devolução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Medição e reportes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SLA-2024 — header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Penalidades por descumprimento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[PARCIAL] Análise: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SLA-2024 aparece no top-5 (✓), mas o rank #1 é do FAQ informal e o chunk com a tabela de SLAs (seção 2) não está no top-5. O FAQ Item 41 tem os valores corretos, mas é fonte informal. O rank #2 é um falso positivo grave (POL-001 'Custos de devolução' — sem relação com SLA).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Teste 4: "Qual o SLA do cliente Platinum?"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Gabarito esperado: </w:t>
      </w:r>
      <w:r>
        <w:rPr>
          <w:rFonts w:ascii="Arial" w:cs="Arial" w:eastAsia="Arial" w:hAnsi="Arial"/>
          <w:sz w:val="22"/>
          <w:szCs w:val="22"/>
        </w:rPr>
        <w:t xml:space="preserve">SLA-2024 | Classificação de clientes (tier Platinum não existe)</w:t>
      </w:r>
    </w:p>
    <w:p>
      <w:pPr>
        <w:spacing w:after="27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800"/>
        <w:gridCol w:w="1400"/>
        <w:gridCol w:w="860"/>
      </w:tblGrid>
      <w:tr>
        <w:tc>
          <w:tcPr>
            <w:tcW w:type="dxa" w:w="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15 — "Cliente diz que é Platinum. Existe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 Custos de devolução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41 — "Qual a diferença entre SLA..."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SLA-2024 — header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SLA-2024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Medição e reportes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[PARCIAL] Análise: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SLA-2024 presente no top-5. FAQ Item 15 cobre o tema (Platinum não existe), mas é informal. O chunk normativo crítico — a seção 1 'Classificação de clientes' com a nota explícita 'não existem outros tiers' — não aparece no top-5. Novamente o falso positivo POL-001 'Custos de devolução' no rank #2.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Teste 5: "Qual o multiplicador de frete para o Sudeste?"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Gabarito esperado: </w:t>
      </w:r>
      <w:r>
        <w:rPr>
          <w:rFonts w:ascii="Arial" w:cs="Arial" w:eastAsia="Arial" w:hAnsi="Arial"/>
          <w:sz w:val="22"/>
          <w:szCs w:val="22"/>
        </w:rPr>
        <w:t xml:space="preserve">PROC-042-v2 | 2.1 Multiplicadores regionais (Sudeste = 1.1)</w:t>
      </w:r>
    </w:p>
    <w:p>
      <w:pPr>
        <w:spacing w:after="27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800"/>
        <w:gridCol w:w="1400"/>
        <w:gridCol w:w="860"/>
      </w:tblGrid>
      <w:tr>
        <w:tc>
          <w:tcPr>
            <w:tcW w:type="dxa" w:w="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 Multiplicadores regionais (atualiz.)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Fórmula de cálculo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Objetivo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41 — "Qual a diferença entre SLA..."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informal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PROC-042-v2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PROC-042-v2 — header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0"/>
                <w:szCs w:val="20"/>
              </w:rPr>
              <w:t xml:space="preserve">normativo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[CORRETO] Análise: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Teste perfeito. PROC-042-v2 domina o top-5, o chunk correto (2.1 Multiplicadores) está em #1, e o filtro de status excluiu corretamente a PROC-042-v1 (que teria Sudeste=1.0 — valor errado). Vocabulário específico ('multiplicador', 'regional', 'Sudeste') é bem capturado pelo TF-IDF.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818" w:sz="8"/>
              <w:left w:val="single" w:color="7B1818" w:sz="2"/>
              <w:bottom w:val="single" w:color="7B1818" w:sz="2"/>
              <w:right w:val="single" w:color="7B1818" w:sz="2"/>
            </w:tcBorders>
            <w:shd w:fill="7B181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Problemas Identificados e Propostas de Correção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Problema P1 — Falso positivo por sobreposição de termos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ocorreu: </w:t>
      </w:r>
      <w:r>
        <w:rPr>
          <w:rFonts w:ascii="Arial" w:cs="Arial" w:eastAsia="Arial" w:hAnsi="Arial"/>
          <w:sz w:val="22"/>
          <w:szCs w:val="22"/>
        </w:rPr>
        <w:t xml:space="preserve">Teste 1 ('Qual o prazo de devolução?') — PROC-042-v2 seção 3 ficou em rank #1 com score 0.1982, à frente da POL-001 seção 3.2 (score 0.0510).</w:t>
      </w:r>
    </w:p>
    <w:p>
      <w:pPr>
        <w:spacing w:after="27" w:before="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 </w:t>
      </w:r>
      <w:r>
        <w:rPr>
          <w:rFonts w:ascii="Arial" w:cs="Arial" w:eastAsia="Arial" w:hAnsi="Arial"/>
          <w:sz w:val="22"/>
          <w:szCs w:val="22"/>
        </w:rPr>
        <w:t xml:space="preserve">A query contém 'prazo' e 'devolução'. A seção '3. Prazo de entrega para frete especial' da PROC-042-v2 tem alta densidade de TF-IDF para 'prazo' — e o TF-IDF não entende que 'prazo de frete' e 'prazo de devolução' são contextos distintos. Embeddings densos (sentence-transformers) distinguem essa diferença semântica.</w:t>
      </w:r>
    </w:p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2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 esperada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Trocar TF-IDF por embeddings densos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SentenceTransformer('all-MiniLM-L6-v2') — interface idêntica, só muda a classe de embedding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(depende de rede ou modelo local)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embeddings densos capturam intenção semântica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expansion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Expandir 'prazo de devolução' para 'devolução prazo dias úteis retorno mercadoria' antes do retrieval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— melhora recall mas não resolve o falso positivo de PROC-042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domínio no metadado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tag 'dominio' (devolucao, frete, sla) e filtrar por domínio quando detectável na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(requer classificação de query)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para queries claras de domínio único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Problema P2 — FAQ informal domina o ranking sobre fontes normativas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ocorreu: </w:t>
      </w:r>
      <w:r>
        <w:rPr>
          <w:rFonts w:ascii="Arial" w:cs="Arial" w:eastAsia="Arial" w:hAnsi="Arial"/>
          <w:sz w:val="22"/>
          <w:szCs w:val="22"/>
        </w:rPr>
        <w:t xml:space="preserve">Testes 2, 3 e 4 — o FAQ apareceu em rank #1 em todas as 3 queries relacionadas a carga perigosa, SLA Gold e SLA Platinum.</w:t>
      </w:r>
    </w:p>
    <w:p>
      <w:pPr>
        <w:spacing w:after="27" w:before="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 </w:t>
      </w:r>
      <w:r>
        <w:rPr>
          <w:rFonts w:ascii="Arial" w:cs="Arial" w:eastAsia="Arial" w:hAnsi="Arial"/>
          <w:sz w:val="22"/>
          <w:szCs w:val="22"/>
        </w:rPr>
        <w:t xml:space="preserve">O FAQ é um documento narrativo com linguagem coloquial ('a gente orienta', 'Oficial não pode', 'Oriente que nossos tiers são...') que cria alta densidade de TF-IDF para termos conversacionais das queries. Os documentos normativos usam linguagem formal e estruturada — que tem menor sobreposição lexical com a query natural do atendente.</w:t>
      </w:r>
    </w:p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thick" w:color="C0392B" w:sz="12"/>
              <w:bottom w:val="single" w:color="C0392B" w:sz="2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Risco operacional: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Teste 2 (carga perigosa), o FAQ em rank #1 diz 'não diga que é impossível — diga que precisa de tratamento especial'. A POL-001 diz que a devolução pelo processo padrão NÃO é permitida. Se o modelo usar o FAQ como fonte principal, a resposta ao atendente contradiz o documento oficial.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2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 esperada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de relevância por fonte_tier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Multiplicar score × 1.5 para normativos, × 0.7 para informal antes do ranking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3 linhas de código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Média-Alta — garante que normativos competem em pé de igualdade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em dois estágios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1º: buscar só em normativos; se score &lt; 0.05, buscar também no 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condicional simples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FAQ só aparece quando normativos não têm cobertura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no prompt (já implementado)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prompt atual sinaliza [FONTE INFORMAL] — o LLM recebe o aviso mas é responsável pela decisão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implementado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— depende do LLM respeitar a hierarquia no contexto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Resumo: o que o pipeline fez bem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Filtro de versão funcionou: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Teste 5 (multiplicador Sudeste) — PROC-042-v1 foi completamente excluída. Se tivesse aparecido, o multiplicador errado (1.0) teria competido com o correto (1.1). O metadado status=superseded + filtro no retrieval resolveram o problema de documentos contraditórios.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Chunking semântico preservou regras completas: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Nenhum chunk foi cortado no meio de uma regra crítica. A seção '3.2 Exceções ao prazo geral' da POL-001 — com a lista completa das classes ANTT e o ramal 4500 — chegou como chunk unitário quando recuperada.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8"/>
              <w:left w:val="single" w:color="145A32" w:sz="2"/>
              <w:bottom w:val="single" w:color="145A32" w:sz="2"/>
              <w:right w:val="single" w:color="145A32" w:sz="2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RAG é engenharia de dados, não apenas chamada de API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Lição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3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embedding define mais que o chunking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falhou semanticamente ('prazo de frete' vs 'prazo de devolução') onde embeddings densos resolveriam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Investir em modelo de embedding adequado antes de otimizar chunking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informal é um risco de retrieval, não só de conteúdo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FAQ dominou o ranking em 3/5 testes mesmo sendo fonte de menor confiança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boost por fonte_tier ou retrieval em dois estágios antes do go-live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de versionamento são requisito, não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filtro de status resolveu o problema PROC-042 v1/v2 com 3 linhas de código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o modelo de metadados antes de ingerir qualquer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baixos (&lt; 0.20) indicam falta de cobertura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teste teve score acima de 0.20 — base pequena e vocabulário técnico limitam o recall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distribuição de scores em produção; score &lt; 0.05 = resposta 'não encontrei'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pipeline precisa ser testável como qualquer sistema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5 testes com gabarito revelaram 3 problemas reais que testes de LLM end-to-end não detectariam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suite de testes de retrieval separada dos testes de geração</w:t>
            </w:r>
          </w:p>
        </w:tc>
      </w:tr>
    </w:tbl>
    <w:p>
      <w:pPr>
        <w:spacing w:after="90" w:before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4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2026-06-07T18:45:12.182Z</dcterms:created>
  <dcterms:modified xsi:type="dcterms:W3CDTF">2026-06-07T18:45:12.190Z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