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ANÁLISE TÉCNICA — RAG NovaTech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Viabilidade do Pipeline de RAG | Exercício 1.1 — Tech Lead</w:t>
      </w:r>
    </w:p>
    <w:p>
      <w:pPr>
        <w:pBdr>
          <w:bottom w:val="single" w:color="2E75B6" w:sz="6" w:space="1"/>
        </w:pBdr>
        <w:spacing w:after="2000" w:before="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Versão 1 (rascunho) → Revisão Crítica → Versão 2 (final)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Este documento registra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três etapas do exercício</w:t>
      </w:r>
      <w:r>
        <w:rPr>
          <w:rFonts w:ascii="Arial" w:cs="Arial" w:eastAsia="Arial" w:hAnsi="Arial"/>
          <w:sz w:val="20"/>
          <w:szCs w:val="20"/>
        </w:rPr>
        <w:t xml:space="preserve"> de forma compacta: (1) análise inicial, (2) pontos fracos identificados, (3) versão revisada com correções rastreáveis.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8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1 — Versão 1 (rascunho)</w:t>
            </w:r>
          </w:p>
        </w:tc>
      </w:tr>
    </w:tbl>
    <w:p>
      <w:pPr>
        <w:spacing w:after="5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Desafios por tipo de 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000"/>
        <w:gridCol w:w="2960"/>
      </w:tblGrid>
      <w:tr>
        <w:tc>
          <w:tcPr>
            <w:tcW w:type="dxa" w:w="19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5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Desafio principal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c/ tabelas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Linearização destrói relação linha × 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ambíguos; versões misturadas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Intelligence + table-as-unit com prefixo contextual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escaneados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ruidoso deforma tokens e números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miss silencioso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c/ threshold 0.85 + metadado ocr_quality_score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 / Confluence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internos viram texto morto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incompleta ou alucinada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Resolução de links na ingestão + export_view da API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c/ fórmulas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desatualizado + abas sem contexto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financeiros errados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 p/ CSV via LibreOffice + reindexar por hash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Estimativa 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400"/>
        <w:gridCol w:w="2560"/>
      </w:tblGrid>
      <w:tr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Qtde</w:t>
            </w:r>
          </w:p>
        </w:tc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Palavras/un.</w:t>
            </w:r>
          </w:p>
        </w:tc>
        <w:tc>
          <w:tcPr>
            <w:tcW w:type="dxa" w:w="2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 (×1,33)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— SharePoint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pág × 300 = 3.000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3.192.000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 — Confluence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pág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798.000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Planilhas — 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(est.)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33.250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≈ 4.023.000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Escala: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 base inteira = ~31× a janela do GPT-4o (128k). RAG não é opcional — é a única arquitetura viável.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Orçamento de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total GPT-4o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128.000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+ instruções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conversa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 do usuário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Disponível para chunks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124.900</w:t>
            </w:r>
          </w:p>
        </w:tc>
      </w:tr>
    </w:tbl>
    <w:p>
      <w:pPr>
        <w:spacing w:after="5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Top-K recomendado: 5–10 chunks </w:t>
      </w:r>
      <w:r>
        <w:rPr>
          <w:rFonts w:ascii="Arial" w:cs="Arial" w:eastAsia="Arial" w:hAnsi="Arial"/>
          <w:sz w:val="22"/>
          <w:szCs w:val="22"/>
        </w:rPr>
        <w:t xml:space="preserve">(não 249). Acima disso: risco de lost in the middle + chunks contraditórios no mesmo contexto.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Ordenar chunks do mais para o menos relevante — mais relevante no início do contexto.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Usar Semantic Ranker (cross-encoder) para reranking antes de montar o contexto.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prompt: "Use apenas os trechos fornecidos. Se a resposta não estiver neles, diga que não encontrou."</w:t>
      </w:r>
    </w:p>
    <w:p>
      <w:pPr>
        <w:spacing w:after="1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Estratégia de chunking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4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300–500 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1 regra completa sem misturar tópicos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tokens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na fronteira aparecem em pelo menos um chunk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seção semântica (título)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Janela de tokens corta regras no meio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&lt; 400 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chunk unitário c/ prefixo [doc|versão|seção]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Preserva relação linha × coluna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grandes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Chunkar por grupo semântico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SLAs gerais vs. SLAs críticos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contraditórios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Metadados: status ativo/superseded + filtro no retrieval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v1 e v2 da PROC-042 no mesmo contexto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818" w:sz="8"/>
              <w:left w:val="single" w:color="7B1818" w:sz="2"/>
              <w:bottom w:val="single" w:color="7B1818" w:sz="2"/>
              <w:right w:val="single" w:color="7B1818" w:sz="2"/>
            </w:tcBorders>
            <w:shd w:fill="7B181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2 — Revisão Crítica (pontos fracos da v1)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fraco</w:t>
            </w:r>
          </w:p>
        </w:tc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para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Estimativa de tokens otimista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palavras/pág ignora CT-es, formulários e laudos com imagens. Real pode ser 30–40% menor.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Apresentar 3 cenários (conservador/base/otimista) + recomendação de amostragem prévia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 sem governança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 por data_emissao não funciona para as disposições transitórias da PROC-042-v2 (chamados antigos usam v1). Há contratos não migrados.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Exigir reunião de governança com Diretoria Comercial antes de implementar qualquer automação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sem estratégia definida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Mencionado como "risco" mas sem ação. FAQ tem lacunas reais — remover cria gaps; ingerir sem cuidado cria respostas autoritativas com fonte informal.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1 das 3 opções: excluir, ingerir com tier de confiança, ou usar só como golden dataset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política de atualização incremental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Reindexar só os chunks novos sem remover os antigos acumula versões fantasma. Após 6 meses: múltiplas versões parciais de cada doc.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delete-and-reindex por doc_id a cada atualização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comportamento para lacunas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a base não cobre a pergunta (ex: frete &lt; 500kg), o modelo alucina ou responde parcialmente sem sinalizar.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explícita no system prompt para o comportamento de 'não sei'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A32" w:sz="8"/>
              <w:left w:val="single" w:color="145A32" w:sz="2"/>
              <w:bottom w:val="single" w:color="145A32" w:sz="2"/>
              <w:right w:val="single" w:color="145A32" w:sz="2"/>
            </w:tcBorders>
            <w:shd w:fill="145A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PARTE 3 — Versão 2 (revisada | alterações marcadas com RC-N)</w:t>
            </w:r>
          </w:p>
        </w:tc>
      </w:tr>
    </w:tbl>
    <w:p>
      <w:pPr>
        <w:spacing w:after="5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1–3. Fontes, tokens e orçamento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blocos 1 (desafios por fonte), 3 (orçamento de contexto) e 4.1 (parâmetros de chunking) são equivalentes à v1 — sem alteração de conteúdo. As mudanças da v2 concentram-se nos itens abaixo.</w:t>
      </w:r>
    </w:p>
    <w:p>
      <w:pPr>
        <w:spacing w:after="5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Estimativa de tokens [RC-1]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Palavras/pág (PDFs)</w:t>
            </w:r>
          </w:p>
        </w:tc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tokens</w:t>
            </w:r>
          </w:p>
        </w:tc>
        <w:tc>
          <w:tcPr>
            <w:tcW w:type="dxa" w:w="2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(muitos formulários)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1,5M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e embedding mais baratos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← referência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(mix)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≈ 4,0M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Cenário de dimensionamento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(docs densos)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6,0M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e custo de ingestão maiores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Ação antes de dimensionar: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Amostrar 50 PDFs aleatórios para medir densidade real. Reduz a incerteza de 4× para &lt; 1,5× no orçamento.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Estratégia de chunking — adições [RC-2 a RC-5]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4.2 Documentos contraditórios [RC-2]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00" w:sz="2"/>
              <w:left w:val="thick" w:color="E67E00" w:sz="12"/>
              <w:bottom w:val="single" w:color="E67E00" w:sz="2"/>
              <w:right w:val="single" w:color="E67E00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Pré-requisito formal: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Reunião de governança com Diretoria Comercial antes de qualquer automação. Definir: (1) versão canônica por documento; (2) contratos ainda na tabela antiga; (3) responsável por marcar 'superseded'.</w:t>
            </w:r>
          </w:p>
        </w:tc>
      </w:tr>
    </w:tbl>
    <w:p>
      <w:pPr>
        <w:spacing w:after="5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a reunião, o pipeline implementa: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Metadados por chunk: doc_id, versao, data_emissao, status, dominio.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Filtro no retrieval: status ≠ superseded por padrão; histórico acessível para chamados antigos.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prompt: ao detectar conflito de versão no contexto, sinalizar explicitamente ao atendente.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4.3 FAQ informal — três opções [RC-3]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2000"/>
        <w:gridCol w:w="1560"/>
      </w:tblGrid>
      <w:tr>
        <w:tc>
          <w:tcPr>
            <w:tcW w:type="dxa" w:w="1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Prós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  <w:tc>
          <w:tcPr>
            <w:tcW w:type="dxa" w:w="1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Excluir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ingerir o FAQ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risco de fonte informal autoritativa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gaps reais de cobertura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recomendado sem mapear gaps primeiro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Tier de confiança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Ingerir c/ metadado fonte_tier=informal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Mantém cobertura; atendente sabe a origem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instrução robusta + testes rigorosos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6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Golden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FAQ só para gerar perguntas de teste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risco via FAQ na produção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Perde cobertura de casos práticos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Complemento útil à opção B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4.4 Atualização incremental [RC-4]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Implementar delete-and-reindex por doc_id: excluir todos os chunks do documento antes de reindexar a nova versão.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Detectar atualização por hash do arquivo (SharePoint, pasta de rede) ou last_modified da API (Confluence).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Job de auditoria mensal: alertar quando um doc_id tiver mais de uma versão ativa no índice.</w:t>
      </w:r>
    </w:p>
    <w:p>
      <w:pPr>
        <w:spacing w:after="10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B547E"/>
          <w:sz w:val="24"/>
          <w:szCs w:val="24"/>
        </w:rPr>
        <w:t xml:space="preserve">4.5 Comportamento para lacunas [RC-5]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2E75B6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Instrução de 'não sei' (incluir no system prompt): </w:t>
            </w: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Se os trechos fornecidos não contiverem a informação, responda: 'Não encontrei essa informação na documentação disponível. Recomendo consultar [área responsável].' Não tente inferir ou completar com conhecimento geral.</w:t>
            </w:r>
          </w:p>
        </w:tc>
      </w:tr>
    </w:tbl>
    <w:p>
      <w:pPr>
        <w:spacing w:after="5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Lacunas conhecidas na base NovaTech: frete padrão &lt; 500kg, seguro de carga, processo formal de Gestão de Riscos.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Plano de QA deve incluir perguntas sobre essas lacunas — resposta correta é reconhecer a ausência, não inventar.</w:t>
      </w:r>
    </w:p>
    <w:p>
      <w:pPr>
        <w:spacing w:after="100" w:before="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Sumário das alterações v1 →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8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2 — Tokens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Substituído número único por 3 cenários + recomendação de amostragem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4 — Docs contraditórios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Adicionado pré-requisito de governança antes da automação de versionamento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4 — FAQ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Adicionada estratégia com 3 opções e trade-offs; opção B recomendada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4 — novo tópico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delete-and-reindex para atualizações incrementais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4 — novo tópico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de sistema para 'não sei' + casos de teste para gaps documentais</w:t>
            </w:r>
          </w:p>
        </w:tc>
      </w:tr>
    </w:tbl>
    <w:p>
      <w:pPr>
        <w:spacing w:after="100" w:before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B54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2026-06-07T18:04:33.788Z</dcterms:created>
  <dcterms:modified xsi:type="dcterms:W3CDTF">2026-06-07T18:04:33.789Z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