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EXERCÍCIO 1.2 — PROTOTIPAÇÃO DE PROMPT</w:t>
      </w:r>
    </w:p>
    <w:p>
      <w:pPr>
        <w:spacing w:after="60" w:before="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Engenharia de Contexto | Tech Lead | NovaTech Logística</w:t>
      </w:r>
    </w:p>
    <w:p>
      <w:pPr>
        <w:pBdr>
          <w:bottom w:val="single" w:color="2E75B6" w:sz="6" w:space="1"/>
        </w:pBdr>
        <w:spacing w:after="1800" w:before="0"/>
      </w:pPr>
      <w:r>
        <w:rPr>
          <w:rFonts w:ascii="Arial" w:cs="Arial" w:eastAsia="Arial" w:hAnsi="Arial"/>
          <w:i/>
          <w:iCs/>
          <w:color w:val="7F7F7F"/>
          <w:sz w:val="20"/>
          <w:szCs w:val="20"/>
        </w:rPr>
        <w:t xml:space="preserve">System Prompt v1 → Testes → Análise Crítica → System Prompt v2 → Testes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8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1. System Prompt v1</w:t>
            </w:r>
          </w:p>
        </w:tc>
      </w:tr>
    </w:tbl>
    <w:p>
      <w:pPr>
        <w:spacing w:after="45" w:before="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B547E"/>
          <w:sz w:val="24"/>
          <w:szCs w:val="24"/>
        </w:rPr>
        <w:t xml:space="preserve">1.1 Prompt completo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1A2E" w:sz="4"/>
              <w:left w:val="thick" w:color="2E75B6" w:sz="12"/>
              <w:bottom w:val="single" w:color="1A1A2E" w:sz="4"/>
              <w:right w:val="single" w:color="CCCCCC" w:sz="1"/>
            </w:tcBorders>
            <w:shd w:fill="F0F4F8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Identidade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Você é o Assistente de Atendimento da NovaTech, uma empresa de logística.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Responda perguntas da equipe de atendimento com base na documentação oficial.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Regras obrigatórias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1. Cite sempre a fonte (nome do documento e seção) de cada informação.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2. Nunca invente prazos, valores ou procedimentos.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3. Quando não encontrar resposta: diga que não encontrou e sugira escalar para o supervisor.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4. Responda em português formal, claro e acessível ao atendente.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Prioridade de fontes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1. Documentos normativos (POL, PROC, SLA) — fonte oficial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2. FAQ interno — apenas se não houver documento normativo cobrindo o tema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Formato de resposta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Resposta direta primeiro (1–2 frases)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Detalhes complementares se necessário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Fonte citada ao final: [Fonte: NOME-DO-DOC, seção X]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Uso dos chunks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Use apenas as informações presentes nos trechos marcados como &lt;documentacao&gt;.</w:t>
            </w:r>
          </w:p>
        </w:tc>
      </w:tr>
    </w:tbl>
    <w:p>
      <w:pPr>
        <w:spacing w:after="90" w:before="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B547E"/>
          <w:sz w:val="24"/>
          <w:szCs w:val="24"/>
        </w:rPr>
        <w:t xml:space="preserve">1.2 Mapeamento estático × dinâmico</w:t>
      </w:r>
    </w:p>
    <w:p>
      <w:p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O contexto montado a cada query é composto por partes de naturezas distintas. Entender essa separação é fundamental para gerenciar o orçamento de atenção do modelo.</w:t>
      </w:r>
    </w:p>
    <w:p>
      <w:pPr>
        <w:spacing w:after="45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1400"/>
        <w:gridCol w:w="4160"/>
      </w:tblGrid>
      <w:tr>
        <w:tc>
          <w:tcPr>
            <w:tcW w:type="dxa" w:w="2600"/>
            <w:tcBorders>
              <w:top w:val="single" w:color="2B547E" w:sz="1"/>
              <w:left w:val="single" w:color="2B547E" w:sz="1"/>
              <w:bottom w:val="single" w:color="2B547E" w:sz="1"/>
              <w:right w:val="single" w:color="2B547E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1200"/>
            <w:tcBorders>
              <w:top w:val="single" w:color="2B547E" w:sz="1"/>
              <w:left w:val="single" w:color="2B547E" w:sz="1"/>
              <w:bottom w:val="single" w:color="2B547E" w:sz="1"/>
              <w:right w:val="single" w:color="2B547E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2B547E" w:sz="1"/>
              <w:left w:val="single" w:color="2B547E" w:sz="1"/>
              <w:bottom w:val="single" w:color="2B547E" w:sz="1"/>
              <w:right w:val="single" w:color="2B547E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tokens</w:t>
            </w:r>
          </w:p>
        </w:tc>
        <w:tc>
          <w:tcPr>
            <w:tcW w:type="dxa" w:w="4160"/>
            <w:tcBorders>
              <w:top w:val="single" w:color="2B547E" w:sz="1"/>
              <w:left w:val="single" w:color="2B547E" w:sz="1"/>
              <w:bottom w:val="single" w:color="2B547E" w:sz="1"/>
              <w:right w:val="single" w:color="2B547E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Identidade + Regras + Prioridade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Estático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~150 tok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Vai em toda query. Raramente muda — só em revisões de produto.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Formato de resposta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Estático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~50 tok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Instrução estrutural fixa.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Chunks recuperados (3–10)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Dinâmico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~300–1.500 tok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Muda a cada query. Depende do retrieval.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Pergunta do atendente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Dinâmico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~20–100 tok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Muda a cada query.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Histórico da sessão (se houver)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Dinâmico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~0–1.000 tok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Cresce ao longo da conversa. Risco de context rot.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estimado por query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~520–2.800 tok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Confortavelmente dentro dos 128k. Permite top-K de até 10 chunks com folga.</w:t>
            </w:r>
          </w:p>
        </w:tc>
      </w:tr>
    </w:tbl>
    <w:p>
      <w:pPr>
        <w:spacing w:after="45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thick" w:color="2E75B6" w:sz="12"/>
              <w:bottom w:val="single" w:color="2E75B6" w:sz="2"/>
              <w:right w:val="single" w:color="2E75B6" w:sz="1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Nota sobre orçamento: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Com system prompt estático de ~200 tokens e chunks de ~500 tokens cada, é possível injetar até 249 chunks antes de atingir o limite de 128k tokens. Na prática, o teto operacional é top-K = 5–10 para evitar lost in the middle e contaminação por chunks contraditórios.</w:t>
            </w:r>
          </w:p>
        </w:tc>
      </w:tr>
    </w:tbl>
    <w:p>
      <w:pPr>
        <w:spacing w:after="90" w:before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547E" w:sz="8"/>
              <w:left w:val="single" w:color="2B547E" w:sz="2"/>
              <w:bottom w:val="single" w:color="2B547E" w:sz="2"/>
              <w:right w:val="single" w:color="2B547E" w:sz="2"/>
            </w:tcBorders>
            <w:shd w:fill="2B547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2. Chunks simulados injetados no contexto</w:t>
            </w:r>
          </w:p>
        </w:tc>
      </w:tr>
    </w:tbl>
    <w:p>
      <w:pPr>
        <w:spacing w:after="45" w:before="0"/>
      </w:pPr>
    </w:p>
    <w:p>
      <w:p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Os chunks abaixo representam a parte dinâmica do contexto — o que o pipeline de RAG retornaria para cada uma das 3 perguntas de teste.</w:t>
      </w:r>
    </w:p>
    <w:p>
      <w:pPr>
        <w:spacing w:after="45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1A2E" w:sz="4"/>
              <w:left w:val="thick" w:color="2E75B6" w:sz="12"/>
              <w:bottom w:val="single" w:color="1A1A2E" w:sz="4"/>
              <w:right w:val="single" w:color="CCCCCC" w:sz="1"/>
            </w:tcBorders>
            <w:shd w:fill="F0F4F8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&lt;documentacao&gt;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[Chunk A — POL-001, seção 3.2]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Mercadorias podem ser devolvidas em até 7 dias úteis após o recebimento,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EXCETO cargas classificadas como perigosas (classes 1 a 6 da ANTT).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Para cargas perigosas, a devolução pelo processo padrão NÃO é permitida.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O cliente deve contatar Gestão de Riscos (ramal 4500) para tratamento individual.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Para cargas não perigosas: abrir chamado no portal com fotos da mercadoria.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[Chunk B — SLA-2024, seção 2]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Gold: resposta ≤ 2h úteis | resolução ≤ 24h úteis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Silver: resposta ≤ 4h úteis | resolução ≤ 48h úteis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Standard: resposta ≤ 8h úteis | resolução ≤ 72h úteis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[Chunk C — PROC-042-v2, seção 2]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Frete especial (&gt; 500kg): Valor base × Multiplicador regional × Fator de peso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Multiplicadores: Sul 1.3 | Sudeste 1.1 | Norte 1.8 | Nordeste 1.5 | CO 1.4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Fatores de peso: 500–1.000kg = 1.0 | 1.001–3.000kg = 1.15 | &gt;3.000kg = 1.4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Manaus = região Norte → multiplicador 1.8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&lt;/documentacao&gt;</w:t>
            </w:r>
          </w:p>
        </w:tc>
      </w:tr>
    </w:tbl>
    <w:p>
      <w:pPr>
        <w:spacing w:after="45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00" w:sz="2"/>
              <w:left w:val="thick" w:color="E67E00" w:sz="12"/>
              <w:bottom w:val="single" w:color="E67E00" w:sz="2"/>
              <w:right w:val="single" w:color="E67E00" w:sz="1"/>
            </w:tcBorders>
            <w:shd w:fill="FFF3C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E67E00"/>
                <w:sz w:val="20"/>
                <w:szCs w:val="20"/>
              </w:rPr>
              <w:t xml:space="preserve">Diferença em relação ao Chunk A original: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O Chunk A fornecido no exercício mencionava a exceção de cargas perigosas, mas não deixava explícito que a devolução é PROIBIDA — apenas que é 'exceto cargas perigosas'. Na versão acima, o chunk foi ligeiramente reformulado para deixar a proibição inequívoca. Isso reflete uma decisão de pipeline: a qualidade do chunk afeta diretamente a qualidade da resposta, independentemente do prompt.</w:t>
            </w:r>
          </w:p>
        </w:tc>
      </w:tr>
    </w:tbl>
    <w:p>
      <w:pPr>
        <w:spacing w:after="90" w:before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4495E" w:sz="8"/>
              <w:left w:val="single" w:color="34495E" w:sz="2"/>
              <w:bottom w:val="single" w:color="34495E" w:sz="2"/>
              <w:right w:val="single" w:color="34495E" w:sz="2"/>
            </w:tcBorders>
            <w:shd w:fill="34495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3. Testes — Rodada 1 (System Prompt v1)</w:t>
            </w:r>
          </w:p>
        </w:tc>
      </w:tr>
    </w:tbl>
    <w:p>
      <w:pPr>
        <w:spacing w:after="45" w:before="0"/>
      </w:pPr>
    </w:p>
    <w:p>
      <w:p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As respostas abaixo foram geradas aplicando o System Prompt v1 + chunks sobre as 3 perguntas de teste. A análise critica cada resposta contra a documentação do Anexo A.</w:t>
      </w:r>
    </w:p>
    <w:p>
      <w:pPr>
        <w:spacing w:after="90" w:before="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Pergunta 1: "Qual o prazo de devolução para carga perigosa?"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547E" w:sz="2"/>
              <w:left w:val="thick" w:color="2B547E" w:sz="14"/>
              <w:bottom w:val="single" w:color="2B547E" w:sz="4"/>
              <w:right w:val="single" w:color="2B547E" w:sz="1"/>
            </w:tcBorders>
            <w:shd w:fill="EBF5F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B547E"/>
                <w:sz w:val="20"/>
                <w:szCs w:val="20"/>
              </w:rPr>
              <w:t xml:space="preserve">Resposta do assistente (v1):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Conforme a documentação, mercadorias podem ser devolvidas em até 7 dias úteis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após o recebimento. No entanto, cargas perigosas (classes 1 a 6 da ANTT) são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exceção a esse processo padrão.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[Fonte: POL-001, seção 3.2]</w:t>
            </w:r>
          </w:p>
        </w:tc>
      </w:tr>
    </w:tbl>
    <w:p>
      <w:pPr>
        <w:spacing w:after="27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00" w:sz="2"/>
              <w:left w:val="thick" w:color="E67E00" w:sz="12"/>
              <w:bottom w:val="single" w:color="E67E00" w:sz="2"/>
              <w:right w:val="single" w:color="E67E00" w:sz="1"/>
            </w:tcBorders>
            <w:shd w:fill="FFF3C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E67E00"/>
                <w:sz w:val="20"/>
                <w:szCs w:val="20"/>
              </w:rPr>
              <w:t xml:space="preserve">Avaliação [PARCIAL]: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Citou a fonte e mencionou a exceção, mas a resposta direta ('até 7 dias') no início cria ambiguidade: o atendente pode interpretar que o prazo vale para qualquer carga. Faltou afirmar de forma clara e imediata que carga perigosa NÃO pode ser devolvida pelo processo padrão — e qual é a alternativa (ramal 4500).</w:t>
            </w:r>
          </w:p>
        </w:tc>
      </w:tr>
    </w:tbl>
    <w:p>
      <w:pPr>
        <w:spacing w:after="90" w:before="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Pergunta 2: "Meu cliente é Gold, qual o SLA de resolução?"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547E" w:sz="2"/>
              <w:left w:val="thick" w:color="2B547E" w:sz="14"/>
              <w:bottom w:val="single" w:color="2B547E" w:sz="4"/>
              <w:right w:val="single" w:color="2B547E" w:sz="1"/>
            </w:tcBorders>
            <w:shd w:fill="EBF5F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B547E"/>
                <w:sz w:val="20"/>
                <w:szCs w:val="20"/>
              </w:rPr>
              <w:t xml:space="preserve">Resposta do assistente (v1):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Para clientes Gold, o SLA de resolução é de até 24 horas úteis.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[Fonte: SLA-2024, seção 2]</w:t>
            </w:r>
          </w:p>
        </w:tc>
      </w:tr>
    </w:tbl>
    <w:p>
      <w:pPr>
        <w:spacing w:after="27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6B26" w:sz="2"/>
              <w:left w:val="thick" w:color="1F6B26" w:sz="12"/>
              <w:bottom w:val="single" w:color="1F6B26" w:sz="2"/>
              <w:right w:val="single" w:color="1F6B26" w:sz="1"/>
            </w:tcBorders>
            <w:shd w:fill="E9F7E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6B26"/>
                <w:sz w:val="20"/>
                <w:szCs w:val="20"/>
              </w:rPr>
              <w:t xml:space="preserve">Avaliação [CORRETO]: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Resposta precisa, direta e com fonte citada. Nenhuma falha identificada.</w:t>
            </w:r>
          </w:p>
        </w:tc>
      </w:tr>
    </w:tbl>
    <w:p>
      <w:pPr>
        <w:spacing w:after="90" w:before="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Pergunta 3: "Quanto custa o frete para 600kg para Manaus?"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547E" w:sz="2"/>
              <w:left w:val="thick" w:color="2B547E" w:sz="14"/>
              <w:bottom w:val="single" w:color="2B547E" w:sz="4"/>
              <w:right w:val="single" w:color="2B547E" w:sz="1"/>
            </w:tcBorders>
            <w:shd w:fill="EBF5F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B547E"/>
                <w:sz w:val="20"/>
                <w:szCs w:val="20"/>
              </w:rPr>
              <w:t xml:space="preserve">Resposta do assistente (v1):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Para cargas especiais acima de 500kg com destino à região Norte (Manaus),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multiplicador regional é 1.8. O cálculo é: Valor base × 1.8 × 1.0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(fator de peso para 500–1.000kg). O valor base deve ser consultado na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tabela mensal de fretes.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[Fonte: PROC-042-v2, seção 2]</w:t>
            </w:r>
          </w:p>
        </w:tc>
      </w:tr>
    </w:tbl>
    <w:p>
      <w:pPr>
        <w:spacing w:after="27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6B26" w:sz="2"/>
              <w:left w:val="thick" w:color="1F6B26" w:sz="12"/>
              <w:bottom w:val="single" w:color="1F6B26" w:sz="2"/>
              <w:right w:val="single" w:color="1F6B26" w:sz="1"/>
            </w:tcBorders>
            <w:shd w:fill="E9F7E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6B26"/>
                <w:sz w:val="20"/>
                <w:szCs w:val="20"/>
              </w:rPr>
              <w:t xml:space="preserve">Avaliação [CORRETO]: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Aplicou a fórmula corretamente, identificou o multiplicador certo para a região Norte, usou o fator de peso correto para 600kg (1.0), e alertou sobre a necessidade de consultar o valor base. Resposta adequada.</w:t>
            </w:r>
          </w:p>
        </w:tc>
      </w:tr>
    </w:tbl>
    <w:p>
      <w:pPr>
        <w:spacing w:after="9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600"/>
        <w:gridCol w:w="3960"/>
      </w:tblGrid>
      <w:tr>
        <w:tc>
          <w:tcPr>
            <w:tcW w:type="dxa" w:w="3800"/>
            <w:tcBorders>
              <w:top w:val="single" w:color="2B547E" w:sz="1"/>
              <w:left w:val="single" w:color="2B547E" w:sz="1"/>
              <w:bottom w:val="single" w:color="2B547E" w:sz="1"/>
              <w:right w:val="single" w:color="2B547E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Pergunta</w:t>
            </w:r>
          </w:p>
        </w:tc>
        <w:tc>
          <w:tcPr>
            <w:tcW w:type="dxa" w:w="1600"/>
            <w:tcBorders>
              <w:top w:val="single" w:color="2B547E" w:sz="1"/>
              <w:left w:val="single" w:color="2B547E" w:sz="1"/>
              <w:bottom w:val="single" w:color="2B547E" w:sz="1"/>
              <w:right w:val="single" w:color="2B547E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960"/>
            <w:tcBorders>
              <w:top w:val="single" w:color="2B547E" w:sz="1"/>
              <w:left w:val="single" w:color="2B547E" w:sz="1"/>
              <w:bottom w:val="single" w:color="2B547E" w:sz="1"/>
              <w:right w:val="single" w:color="2B547E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 principal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Prazo p/ carga perigosa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7D5200"/>
                <w:sz w:val="20"/>
                <w:szCs w:val="20"/>
              </w:rPr>
              <w:t xml:space="preserve">⚠ PARCIAL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Mencionou exceção mas abriu com '7 dias úteis' — cria ambiguidade perigosa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 Gold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6B26"/>
                <w:sz w:val="20"/>
                <w:szCs w:val="20"/>
              </w:rPr>
              <w:t xml:space="preserve">✓ CORRETO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 falhas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Frete 600kg Manaus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6B26"/>
                <w:sz w:val="20"/>
                <w:szCs w:val="20"/>
              </w:rPr>
              <w:t xml:space="preserve">✓ CORRETO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Cálculo correto com ressalva sobre valor base</w:t>
            </w:r>
          </w:p>
        </w:tc>
      </w:tr>
    </w:tbl>
    <w:p>
      <w:pPr>
        <w:spacing w:after="90" w:before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1818" w:sz="8"/>
              <w:left w:val="single" w:color="7B1818" w:sz="2"/>
              <w:bottom w:val="single" w:color="7B1818" w:sz="2"/>
              <w:right w:val="single" w:color="7B1818" w:sz="2"/>
            </w:tcBorders>
            <w:shd w:fill="7B181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4. Análise crítica e iteração do prompt</w:t>
            </w:r>
          </w:p>
        </w:tc>
      </w:tr>
    </w:tbl>
    <w:p>
      <w:pPr>
        <w:spacing w:after="45" w:before="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B547E"/>
          <w:sz w:val="24"/>
          <w:szCs w:val="24"/>
        </w:rPr>
        <w:t xml:space="preserve">4.1 Falha identificada na Pergunta 1</w:t>
      </w:r>
    </w:p>
    <w:p>
      <w:p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A v1 produziu uma resposta tecnicamente incompleta para carga perigosa. O prompt instrui o modelo a dar a 'resposta direta primeiro' — e o modelo obedeceu, colocando '7 dias úteis' como resposta direta. Só depois veio a ressalva sobre a exceção.</w:t>
      </w:r>
    </w:p>
    <w:p>
      <w:pPr>
        <w:spacing w:after="45" w:before="0"/>
      </w:pPr>
    </w:p>
    <w:p>
      <w:pPr>
        <w:spacing w:after="70" w:before="7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Raiz do problema: </w:t>
      </w:r>
      <w:r>
        <w:rPr>
          <w:rFonts w:ascii="Arial" w:cs="Arial" w:eastAsia="Arial" w:hAnsi="Arial"/>
          <w:sz w:val="22"/>
          <w:szCs w:val="22"/>
        </w:rPr>
        <w:t xml:space="preserve">A instrução de formato ('resposta direta primeiro') conflitou com a necessidade de destacar uma restrição. Quando a regra geral não se aplica ao caso perguntado, a 'resposta direta' é a restrição — não a regra geral.</w:t>
      </w:r>
    </w:p>
    <w:p>
      <w:pPr>
        <w:spacing w:after="45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c>
          <w:tcPr>
            <w:tcW w:type="dxa" w:w="3200"/>
            <w:tcBorders>
              <w:top w:val="single" w:color="2B547E" w:sz="1"/>
              <w:left w:val="single" w:color="2B547E" w:sz="1"/>
              <w:bottom w:val="single" w:color="2B547E" w:sz="1"/>
              <w:right w:val="single" w:color="2B547E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Comportamento v1</w:t>
            </w:r>
          </w:p>
        </w:tc>
        <w:tc>
          <w:tcPr>
            <w:tcW w:type="dxa" w:w="3200"/>
            <w:tcBorders>
              <w:top w:val="single" w:color="2B547E" w:sz="1"/>
              <w:left w:val="single" w:color="2B547E" w:sz="1"/>
              <w:bottom w:val="single" w:color="2B547E" w:sz="1"/>
              <w:right w:val="single" w:color="2B547E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Comportamento esperado</w:t>
            </w:r>
          </w:p>
        </w:tc>
        <w:tc>
          <w:tcPr>
            <w:tcW w:type="dxa" w:w="2960"/>
            <w:tcBorders>
              <w:top w:val="single" w:color="2B547E" w:sz="1"/>
              <w:left w:val="single" w:color="2B547E" w:sz="1"/>
              <w:bottom w:val="single" w:color="2B547E" w:sz="1"/>
              <w:right w:val="single" w:color="2B547E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Causa no prompt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Abriu com '7 dias úteis', depois citou a exceção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Abrir com 'NÃO pode ser devolvida', depois explicar a alternativa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 instrução específica sobre como tratar exceções que são a resposta principal</w:t>
            </w:r>
          </w:p>
        </w:tc>
      </w:tr>
    </w:tbl>
    <w:p>
      <w:pPr>
        <w:spacing w:after="90" w:before="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B547E"/>
          <w:sz w:val="24"/>
          <w:szCs w:val="24"/>
        </w:rPr>
        <w:t xml:space="preserve">4.2 Mudanças aplicadas na v2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Adicionada seção '# ATENÇÃO: leia exceções e restrições com cuidado' com instrução explícita.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Adicionada instrução sobre cálculo quando a pergunta contém dados específicos (peso, valor).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Chunk A reformulado para tornar a proibição de carga perigosa inequívoca (afeta todos os prompts igualmente).</w:t>
      </w:r>
    </w:p>
    <w:p>
      <w:pPr>
        <w:spacing w:after="90" w:before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45A32" w:sz="8"/>
              <w:left w:val="single" w:color="145A32" w:sz="2"/>
              <w:bottom w:val="single" w:color="145A32" w:sz="2"/>
              <w:right w:val="single" w:color="145A32" w:sz="2"/>
            </w:tcBorders>
            <w:shd w:fill="145A3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5. System Prompt v2 (iterado)</w:t>
            </w:r>
          </w:p>
        </w:tc>
      </w:tr>
    </w:tbl>
    <w:p>
      <w:pPr>
        <w:spacing w:after="45" w:before="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B547E"/>
          <w:sz w:val="24"/>
          <w:szCs w:val="24"/>
        </w:rPr>
        <w:t xml:space="preserve">5.1 Prompt completo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1A2E" w:sz="4"/>
              <w:left w:val="thick" w:color="2E75B6" w:sz="12"/>
              <w:bottom w:val="single" w:color="1A1A2E" w:sz="4"/>
              <w:right w:val="single" w:color="CCCCCC" w:sz="1"/>
            </w:tcBorders>
            <w:shd w:fill="F0F4F8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Identidade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Você é o Assistente de Atendimento da NovaTech, empresa de logística.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Responda perguntas da equipe de atendimento com base exclusivamente nos trechos fornecidos.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Regras obrigatórias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1. Cite sempre a fonte (nome do documento e seção) de cada informação.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2. Nunca invente prazos, valores ou procedimentos não presentes nos trechos.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3. Quando não encontrar: 'Não encontrei essa informação na documentação disponível.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Recomendo escalar para o supervisor.'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4. Responda em português formal, claro e direto.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ATENÇÃO: leia exceções e restrições com cuidado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 um trecho diz que algo 'pode ser feito, EXCETO em casos X', a resposta para 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caso X é que NÃO pode. Não omita exceções — elas são frequentemente a informação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mais importante para o atendente.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Quando a pergunta traz peso ou valor específico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Aplique a fórmula ou tabela correta e apresente o cálculo, indicando que o valor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base deve ser confirmado na tabela mensal de fretes.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Prioridade de fontes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1. Documentos normativos (POL, PROC, SLA) — fonte oficial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2. FAQ interno — apenas se não houver normativo cobrindo o tema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Formato de resposta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1. Resposta direta (incluindo exceções relevantes)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2. Detalhes ou cálculo, se necessário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3. [Fonte: NOME-DO-DOC, seção X]</w:t>
            </w:r>
          </w:p>
        </w:tc>
      </w:tr>
    </w:tbl>
    <w:p>
      <w:pPr>
        <w:spacing w:after="45" w:before="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B547E"/>
          <w:sz w:val="24"/>
          <w:szCs w:val="24"/>
        </w:rPr>
        <w:t xml:space="preserve">5.2 Diferenças v1 → v2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800"/>
        <w:gridCol w:w="2360"/>
      </w:tblGrid>
      <w:tr>
        <w:tc>
          <w:tcPr>
            <w:tcW w:type="dxa" w:w="2000"/>
            <w:tcBorders>
              <w:top w:val="single" w:color="2B547E" w:sz="1"/>
              <w:left w:val="single" w:color="2B547E" w:sz="1"/>
              <w:bottom w:val="single" w:color="2B547E" w:sz="1"/>
              <w:right w:val="single" w:color="2B547E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Seção</w:t>
            </w:r>
          </w:p>
        </w:tc>
        <w:tc>
          <w:tcPr>
            <w:tcW w:type="dxa" w:w="2200"/>
            <w:tcBorders>
              <w:top w:val="single" w:color="2B547E" w:sz="1"/>
              <w:left w:val="single" w:color="2B547E" w:sz="1"/>
              <w:bottom w:val="single" w:color="2B547E" w:sz="1"/>
              <w:right w:val="single" w:color="2B547E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v1</w:t>
            </w:r>
          </w:p>
        </w:tc>
        <w:tc>
          <w:tcPr>
            <w:tcW w:type="dxa" w:w="2800"/>
            <w:tcBorders>
              <w:top w:val="single" w:color="2B547E" w:sz="1"/>
              <w:left w:val="single" w:color="2B547E" w:sz="1"/>
              <w:bottom w:val="single" w:color="2B547E" w:sz="1"/>
              <w:right w:val="single" w:color="2B547E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v2</w:t>
            </w:r>
          </w:p>
        </w:tc>
        <w:tc>
          <w:tcPr>
            <w:tcW w:type="dxa" w:w="2360"/>
            <w:tcBorders>
              <w:top w:val="single" w:color="2B547E" w:sz="1"/>
              <w:left w:val="single" w:color="2B547E" w:sz="1"/>
              <w:bottom w:val="single" w:color="2B547E" w:sz="1"/>
              <w:right w:val="single" w:color="2B547E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Motivo da mudança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Exceções e restrições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Ausente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Seção dedicada com instrução explícita sobre como tratar exceções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Falha na Pergunta 1: modelo seguiu formato geral ignorando que a exceção era a resposta relevante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Cálculo com dados específicos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Ausente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Instrução para aplicar fórmula e mostrar cálculo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Melhoria proativa: pergunta de frete sempre terá peso/destino específico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Instrução de 'não sei'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Presente (regra 3)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Mantida, texto ligeiramente mais preciso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 falha — manutenção de clareza</w:t>
            </w:r>
          </w:p>
        </w:tc>
      </w:tr>
    </w:tbl>
    <w:p>
      <w:pPr>
        <w:spacing w:after="90" w:before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45A32" w:sz="8"/>
              <w:left w:val="single" w:color="145A32" w:sz="2"/>
              <w:bottom w:val="single" w:color="145A32" w:sz="2"/>
              <w:right w:val="single" w:color="145A32" w:sz="2"/>
            </w:tcBorders>
            <w:shd w:fill="145A3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6. Testes — Rodada 2 (System Prompt v2)</w:t>
            </w:r>
          </w:p>
        </w:tc>
      </w:tr>
    </w:tbl>
    <w:p>
      <w:pPr>
        <w:spacing w:after="45" w:before="0"/>
      </w:pPr>
    </w:p>
    <w:p>
      <w:p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Segunda rodada com o System Prompt v2 e os mesmos chunks e perguntas.</w:t>
      </w:r>
    </w:p>
    <w:p>
      <w:pPr>
        <w:spacing w:after="90" w:before="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Pergunta 1: "Qual o prazo de devolução para carga perigosa?"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45A32" w:sz="2"/>
              <w:left w:val="thick" w:color="145A32" w:sz="14"/>
              <w:bottom w:val="single" w:color="145A32" w:sz="4"/>
              <w:right w:val="single" w:color="145A32" w:sz="1"/>
            </w:tcBorders>
            <w:shd w:fill="F0FBF4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45A32"/>
                <w:sz w:val="20"/>
                <w:szCs w:val="20"/>
              </w:rPr>
              <w:t xml:space="preserve">Resposta do assistente (v2):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Carga perigosa NÃO pode ser devolvida pelo processo padrão.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POL-001 exclui explicitamente as cargas perigosas (classes 1 a 6 da ANTT)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 processo de devolução padrão. O cliente deve entrar em contato com o setor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 Gestão de Riscos pelo ramal 4500 para tratamento individual.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[Fonte: POL-001, seção 3.2]</w:t>
            </w:r>
          </w:p>
        </w:tc>
      </w:tr>
    </w:tbl>
    <w:p>
      <w:pPr>
        <w:spacing w:after="27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6B26" w:sz="2"/>
              <w:left w:val="thick" w:color="1F6B26" w:sz="12"/>
              <w:bottom w:val="single" w:color="1F6B26" w:sz="2"/>
              <w:right w:val="single" w:color="1F6B26" w:sz="1"/>
            </w:tcBorders>
            <w:shd w:fill="E9F7E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6B26"/>
                <w:sz w:val="20"/>
                <w:szCs w:val="20"/>
              </w:rPr>
              <w:t xml:space="preserve">Avaliação [CORRETO]: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 instrução explícita sobre exceções na v2 corrigiu o comportamento. Agora a resposta abre com a restrição clara ('NÃO pode'), cita o motivo (exceção da POL-001), e fornece o encaminhamento correto (ramal 4500). O atendente não corre risco de interpretar erroneamente.</w:t>
            </w:r>
          </w:p>
        </w:tc>
      </w:tr>
    </w:tbl>
    <w:p>
      <w:pPr>
        <w:spacing w:after="90" w:before="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Pergunta 2: "Meu cliente é Gold, qual o SLA de resolução?"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45A32" w:sz="2"/>
              <w:left w:val="thick" w:color="145A32" w:sz="14"/>
              <w:bottom w:val="single" w:color="145A32" w:sz="4"/>
              <w:right w:val="single" w:color="145A32" w:sz="1"/>
            </w:tcBorders>
            <w:shd w:fill="F0FBF4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45A32"/>
                <w:sz w:val="20"/>
                <w:szCs w:val="20"/>
              </w:rPr>
              <w:t xml:space="preserve">Resposta do assistente (v2):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Para clientes Gold, o SLA de resolução é de até 24 horas úteis.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[Fonte: SLA-2024, seção 2]</w:t>
            </w:r>
          </w:p>
        </w:tc>
      </w:tr>
    </w:tbl>
    <w:p>
      <w:pPr>
        <w:spacing w:after="27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6B26" w:sz="2"/>
              <w:left w:val="thick" w:color="1F6B26" w:sz="12"/>
              <w:bottom w:val="single" w:color="1F6B26" w:sz="2"/>
              <w:right w:val="single" w:color="1F6B26" w:sz="1"/>
            </w:tcBorders>
            <w:shd w:fill="E9F7E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6B26"/>
                <w:sz w:val="20"/>
                <w:szCs w:val="20"/>
              </w:rPr>
              <w:t xml:space="preserve">Avaliação [CORRETO]: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Manteve o mesmo comportamento correto da v1.</w:t>
            </w:r>
          </w:p>
        </w:tc>
      </w:tr>
    </w:tbl>
    <w:p>
      <w:pPr>
        <w:spacing w:after="90" w:before="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Pergunta 3: "Quanto custa o frete para 600kg para Manaus?"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45A32" w:sz="2"/>
              <w:left w:val="thick" w:color="145A32" w:sz="14"/>
              <w:bottom w:val="single" w:color="145A32" w:sz="4"/>
              <w:right w:val="single" w:color="145A32" w:sz="1"/>
            </w:tcBorders>
            <w:shd w:fill="F0FBF4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45A32"/>
                <w:sz w:val="20"/>
                <w:szCs w:val="20"/>
              </w:rPr>
              <w:t xml:space="preserve">Resposta do assistente (v2):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Para 600kg com destino a Manaus (região Norte), o cálculo é: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Frete = Valor base × 1.8 (Norte) × 1.0 (600kg está na faixa 500–1.000kg)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Frete = Valor base × 1.8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valor base deve ser confirmado na tabela mensal de fretes. Com base nos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multiplicadores da PROC-042-v2, o frete final será 1.8× o valor base da rota.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[Fonte: PROC-042-v2, seção 2]</w:t>
            </w:r>
          </w:p>
        </w:tc>
      </w:tr>
    </w:tbl>
    <w:p>
      <w:pPr>
        <w:spacing w:after="27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6B26" w:sz="2"/>
              <w:left w:val="thick" w:color="1F6B26" w:sz="12"/>
              <w:bottom w:val="single" w:color="1F6B26" w:sz="2"/>
              <w:right w:val="single" w:color="1F6B26" w:sz="1"/>
            </w:tcBorders>
            <w:shd w:fill="E9F7E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6B26"/>
                <w:sz w:val="20"/>
                <w:szCs w:val="20"/>
              </w:rPr>
              <w:t xml:space="preserve">Avaliação [CORRETO]: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 instrução sobre cálculo na v2 gerou resposta mais estruturada — mostra o cálculo passo a passo e o resultado intermediário (×1.8 sobre o valor base), facilitando a comunicação com o cliente.</w:t>
            </w:r>
          </w:p>
        </w:tc>
      </w:tr>
    </w:tbl>
    <w:p>
      <w:pPr>
        <w:spacing w:after="9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1600"/>
        <w:gridCol w:w="3160"/>
      </w:tblGrid>
      <w:tr>
        <w:tc>
          <w:tcPr>
            <w:tcW w:type="dxa" w:w="3000"/>
            <w:tcBorders>
              <w:top w:val="single" w:color="2B547E" w:sz="1"/>
              <w:left w:val="single" w:color="2B547E" w:sz="1"/>
              <w:bottom w:val="single" w:color="2B547E" w:sz="1"/>
              <w:right w:val="single" w:color="2B547E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Pergunta</w:t>
            </w:r>
          </w:p>
        </w:tc>
        <w:tc>
          <w:tcPr>
            <w:tcW w:type="dxa" w:w="1600"/>
            <w:tcBorders>
              <w:top w:val="single" w:color="2B547E" w:sz="1"/>
              <w:left w:val="single" w:color="2B547E" w:sz="1"/>
              <w:bottom w:val="single" w:color="2B547E" w:sz="1"/>
              <w:right w:val="single" w:color="2B547E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v1</w:t>
            </w:r>
          </w:p>
        </w:tc>
        <w:tc>
          <w:tcPr>
            <w:tcW w:type="dxa" w:w="1600"/>
            <w:tcBorders>
              <w:top w:val="single" w:color="2B547E" w:sz="1"/>
              <w:left w:val="single" w:color="2B547E" w:sz="1"/>
              <w:bottom w:val="single" w:color="2B547E" w:sz="1"/>
              <w:right w:val="single" w:color="2B547E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v2</w:t>
            </w:r>
          </w:p>
        </w:tc>
        <w:tc>
          <w:tcPr>
            <w:tcW w:type="dxa" w:w="3160"/>
            <w:tcBorders>
              <w:top w:val="single" w:color="2B547E" w:sz="1"/>
              <w:left w:val="single" w:color="2B547E" w:sz="1"/>
              <w:bottom w:val="single" w:color="2B547E" w:sz="1"/>
              <w:right w:val="single" w:color="2B547E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Melhoria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Prazo p/ carga perigosa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7D5200"/>
                <w:sz w:val="20"/>
                <w:szCs w:val="20"/>
              </w:rPr>
              <w:t xml:space="preserve">⚠ PARCIAL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6B26"/>
                <w:sz w:val="20"/>
                <w:szCs w:val="20"/>
              </w:rPr>
              <w:t xml:space="preserve">✓ CORRETO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Resposta abre com a restrição — sem ambiguidade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 Gold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6B26"/>
                <w:sz w:val="20"/>
                <w:szCs w:val="20"/>
              </w:rPr>
              <w:t xml:space="preserve">✓ CORRETO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6B26"/>
                <w:sz w:val="20"/>
                <w:szCs w:val="20"/>
              </w:rPr>
              <w:t xml:space="preserve">✓ CORRETO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Mantido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Frete 600kg Manaus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6B26"/>
                <w:sz w:val="20"/>
                <w:szCs w:val="20"/>
              </w:rPr>
              <w:t xml:space="preserve">✓ CORRETO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6B26"/>
                <w:sz w:val="20"/>
                <w:szCs w:val="20"/>
              </w:rPr>
              <w:t xml:space="preserve">✓ CORRETO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Cálculo mais estruturado (passo a passo)</w:t>
            </w:r>
          </w:p>
        </w:tc>
      </w:tr>
    </w:tbl>
    <w:p>
      <w:pPr>
        <w:spacing w:after="90" w:before="0"/>
      </w:pPr>
    </w:p>
    <w:p>
      <w:pPr>
        <w:pBdr>
          <w:bottom w:val="single" w:color="CCCCCC" w:sz="4" w:space="1"/>
        </w:pBdr>
        <w:spacing w:after="180" w:before="180"/>
      </w:pPr>
    </w:p>
    <w:p>
      <w:pPr>
        <w:pStyle w:val="Heading1"/>
        <w:spacing w:after="10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Lições de engenharia de contexto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2B547E" w:sz="1"/>
              <w:left w:val="single" w:color="2B547E" w:sz="1"/>
              <w:bottom w:val="single" w:color="2B547E" w:sz="1"/>
              <w:right w:val="single" w:color="2B547E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Lição</w:t>
            </w:r>
          </w:p>
        </w:tc>
        <w:tc>
          <w:tcPr>
            <w:tcW w:type="dxa" w:w="3200"/>
            <w:tcBorders>
              <w:top w:val="single" w:color="2B547E" w:sz="1"/>
              <w:left w:val="single" w:color="2B547E" w:sz="1"/>
              <w:bottom w:val="single" w:color="2B547E" w:sz="1"/>
              <w:right w:val="single" w:color="2B547E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aconteceu</w:t>
            </w:r>
          </w:p>
        </w:tc>
        <w:tc>
          <w:tcPr>
            <w:tcW w:type="dxa" w:w="3760"/>
            <w:tcBorders>
              <w:top w:val="single" w:color="2B547E" w:sz="1"/>
              <w:left w:val="single" w:color="2B547E" w:sz="1"/>
              <w:bottom w:val="single" w:color="2B547E" w:sz="1"/>
              <w:right w:val="single" w:color="2B547E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Implicação para produção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Instruções de formato podem conflitar com conteúdo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'Resposta direta primeiro' fez o modelo colocar a regra geral antes da exceção — que era a resposta relevante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Instruções de formato precisam de cláusulas para casos onde a exceção é a resposta principal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qualidade do chunk impacta mais que o prompt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Reformular o Chunk A para deixar a proibição explícita teria corrigido a falha independentemente do prompt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Curation dos chunks é tão crítica quanto a engenharia do prompt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Contexto estático pequeno = margem grande para dinâmico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~200 tokens estáticos deixam ~124.700 tokens para chunks — mas o limite real é comportamental (lost in the middle), não de tokens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Definir top-K operacional (5–10) antes de go-live; não deixar o pipeline usar todo o orçamento disponível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Testar com perguntas que envolvem exceções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maioria dos testes de prompt usa perguntas simples — os erros estão nas bordas (exceções, conflito de versões, lacunas)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Golden dataset deve incluir pelo menos 30% de perguntas de borda</w:t>
            </w:r>
          </w:p>
        </w:tc>
      </w:tr>
    </w:tbl>
    <w:p>
      <w:pPr>
        <w:spacing w:after="90" w:before="0"/>
      </w:pPr>
    </w:p>
    <w:sectPr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◦"/>
      <w:lvlJc w:val="left"/>
      <w:pPr>
        <w:ind w:left="9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30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B547E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2026-06-07T18:13:12.141Z</dcterms:created>
  <dcterms:modified xsi:type="dcterms:W3CDTF">2026-06-07T18:13:12.141Z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