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Os conselhos imperiais do século IV foram decisivos, ou pela primeira vez oficialmente, devido à obsessão de não ser identificado com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sol12), o cristianismo facilitou muito sua tarefa. Praticamente falando, não seria melhor descartar o sábado para evangelizar mais livremente os pagãos? Aos olhos dos líderes da igreja, a Igreja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Top_of_part0009_xhtml"/>
      <w:bookmarkStart w:id="13" w:name="Chapter_4"/>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Epilogue"/>
      <w:bookmarkStart w:id="29" w:name="Top_of_part0017_xhtml"/>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