
<file path=[Content_Types].xml><?xml version="1.0" encoding="utf-8"?>
<Types xmlns="http://schemas.openxmlformats.org/package/2006/content-types">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wordprocessingml.styles+xml" PartName="/word/styles.xml"/>
  <Override ContentType="application/vnd.openxmlformats-officedocument.theme+xml" PartName="/word/theme/theme1.xml"/>
  <Override ContentType="application/vnd.openxmlformats-package.core-properties+xml" PartName="/docProps/cor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endnotes+xml" PartName="/word/endnotes.xml"/>
  <Override ContentType="application/vnd.openxmlformats-officedocument.extended-properties+xml" PartName="/docProps/app.xml"/>
  <Default ContentType="image/png" Extension="png"/>
  <Default ContentType="image/gif" Extension="gif"/>
  <Default ContentType="application/xml" Extension="xml"/>
  <Default ContentType="image/jpeg" Extension="jpeg"/>
  <Default ContentType="image/jpeg" Extension="jpg"/>
  <Default ContentType="image/svg+xml" Extension="sv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apas" id="2" name="cover.jpg"/>
            <wp:cNvGraphicFramePr>
              <a:graphicFrameLocks noChangeAspect="1"/>
            </wp:cNvGraphicFramePr>
            <a:graphic>
              <a:graphicData uri="http://schemas.openxmlformats.org/drawingml/2006/picture">
                <pic:pic>
                  <pic:nvPicPr>
                    <pic:cNvPr descr="Capas"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Para 10"/>
        <w:pageBreakBefore w:val="on"/>
      </w:pPr>
      <w:r>
        <w:t xml:space="preserve">Índice</w:t>
      </w:r>
    </w:p>
    <w:p>
      <w:pPr>
        <w:pStyle w:val="Normal"/>
        <w:ind w:firstLine="0" w:firstLineChars="0" w:left="0" w:leftChars="0"/>
        <w:pageBreakBefore w:val="off"/>
      </w:pPr>
      <w:r>
        <w:fldChar w:fldCharType="begin"/>
      </w:r>
      <w:r>
        <w:instrText xml:space="preserve"> TOC \h </w:instrText>
      </w:r>
      <w:r>
        <w:fldChar w:fldCharType="separate"/>
      </w:r>
      <w:hyperlink w:anchor="Top_of_part0003_xhtml">
        <w:r>
          <w:rPr>
            <w:color w:themeColor="hyperlink" w:val="0000FF"/>
            <w:u w:val="single"/>
          </w:rPr>
          <w:t xml:space="preserve">Prefácio</w:t>
        </w:r>
      </w:hyperlink>
    </w:p>
    <w:p>
      <w:pPr>
        <w:pStyle w:val="Normal"/>
        <w:ind w:firstLine="0" w:firstLineChars="0" w:left="0" w:leftChars="0"/>
      </w:pPr>
      <w:hyperlink w:anchor="Top_of_part0004_xhtml">
        <w:r>
          <w:rPr>
            <w:color w:themeColor="hyperlink" w:val="0000FF"/>
            <w:u w:val="single"/>
          </w:rPr>
          <w:t xml:space="preserve">Prefácio</w:t>
        </w:r>
      </w:hyperlink>
    </w:p>
    <w:p>
      <w:pPr>
        <w:pStyle w:val="Normal"/>
        <w:ind w:firstLine="0" w:firstLineChars="0" w:left="0" w:leftChars="0"/>
      </w:pPr>
      <w:hyperlink w:anchor="Top_of_part0005_xhtml">
        <w:r>
          <w:rPr>
            <w:color w:themeColor="hyperlink" w:val="0000FF"/>
            <w:u w:val="single"/>
          </w:rPr>
          <w:t xml:space="preserve">Introdução</w:t>
        </w:r>
      </w:hyperlink>
    </w:p>
    <w:p>
      <w:pPr>
        <w:pStyle w:val="Normal"/>
        <w:ind w:firstLine="0" w:firstLineChars="0" w:left="0" w:leftChars="0"/>
      </w:pPr>
      <w:hyperlink w:anchor="Top_of_part0006_xhtml">
        <w:r>
          <w:rPr>
            <w:color w:themeColor="hyperlink" w:val="0000FF"/>
            <w:u w:val="single"/>
          </w:rPr>
          <w:t xml:space="preserve">Capítulo 1</w:t>
        </w:r>
      </w:hyperlink>
    </w:p>
    <w:p>
      <w:pPr>
        <w:pStyle w:val="Normal"/>
        <w:ind w:firstLine="0" w:firstLineChars="0" w:left="0" w:leftChars="0"/>
      </w:pPr>
      <w:hyperlink w:anchor="Top_of_part0007_xhtml">
        <w:r>
          <w:rPr>
            <w:color w:themeColor="hyperlink" w:val="0000FF"/>
            <w:u w:val="single"/>
          </w:rPr>
          <w:t xml:space="preserve">Capítulo 2</w:t>
        </w:r>
      </w:hyperlink>
    </w:p>
    <w:p>
      <w:pPr>
        <w:pStyle w:val="Normal"/>
        <w:ind w:firstLine="0" w:firstLineChars="0" w:left="0" w:leftChars="0"/>
      </w:pPr>
      <w:hyperlink w:anchor="Top_of_part0008_xhtml">
        <w:r>
          <w:rPr>
            <w:color w:themeColor="hyperlink" w:val="0000FF"/>
            <w:u w:val="single"/>
          </w:rPr>
          <w:t xml:space="preserve">Capítulo 3</w:t>
        </w:r>
      </w:hyperlink>
    </w:p>
    <w:p>
      <w:pPr>
        <w:pStyle w:val="Normal"/>
        <w:ind w:firstLine="0" w:firstLineChars="0" w:left="0" w:leftChars="0"/>
      </w:pPr>
      <w:hyperlink w:anchor="Top_of_part0009_xhtml">
        <w:r>
          <w:rPr>
            <w:color w:themeColor="hyperlink" w:val="0000FF"/>
            <w:u w:val="single"/>
          </w:rPr>
          <w:t xml:space="preserve">Capítulo 4</w:t>
        </w:r>
      </w:hyperlink>
    </w:p>
    <w:p>
      <w:pPr>
        <w:pStyle w:val="Normal"/>
        <w:ind w:firstLine="0" w:firstLineChars="0" w:left="0" w:leftChars="0"/>
      </w:pPr>
      <w:hyperlink w:anchor="Top_of_part0010_xhtml">
        <w:r>
          <w:rPr>
            <w:color w:themeColor="hyperlink" w:val="0000FF"/>
            <w:u w:val="single"/>
          </w:rPr>
          <w:t xml:space="preserve">Capítulo 5</w:t>
        </w:r>
      </w:hyperlink>
    </w:p>
    <w:p>
      <w:pPr>
        <w:pStyle w:val="Normal"/>
        <w:ind w:firstLine="0" w:firstLineChars="0" w:left="0" w:leftChars="0"/>
      </w:pPr>
      <w:hyperlink w:anchor="Top_of_part0011_xhtml">
        <w:r>
          <w:rPr>
            <w:color w:themeColor="hyperlink" w:val="0000FF"/>
            <w:u w:val="single"/>
          </w:rPr>
          <w:t xml:space="preserve">Capítulo 6</w:t>
        </w:r>
      </w:hyperlink>
    </w:p>
    <w:p>
      <w:pPr>
        <w:pStyle w:val="Normal"/>
        <w:ind w:firstLine="0" w:firstLineChars="0" w:left="0" w:leftChars="0"/>
      </w:pPr>
      <w:hyperlink w:anchor="Top_of_part0012_xhtml">
        <w:r>
          <w:rPr>
            <w:color w:themeColor="hyperlink" w:val="0000FF"/>
            <w:u w:val="single"/>
          </w:rPr>
          <w:t xml:space="preserve">Capítulo 7</w:t>
        </w:r>
      </w:hyperlink>
    </w:p>
    <w:p>
      <w:pPr>
        <w:pStyle w:val="Normal"/>
        <w:ind w:firstLine="0" w:firstLineChars="0" w:left="0" w:leftChars="0"/>
      </w:pPr>
      <w:hyperlink w:anchor="Top_of_part0013_xhtml">
        <w:r>
          <w:rPr>
            <w:color w:themeColor="hyperlink" w:val="0000FF"/>
            <w:u w:val="single"/>
          </w:rPr>
          <w:t xml:space="preserve">Epilogo 8</w:t>
        </w:r>
      </w:hyperlink>
    </w:p>
    <w:p>
      <w:pPr>
        <w:pStyle w:val="Normal"/>
        <w:ind w:firstLine="0" w:firstLineChars="0" w:left="0" w:leftChars="0"/>
      </w:pPr>
      <w:hyperlink w:anchor="Top_of_part0014_xhtml">
        <w:r>
          <w:rPr>
            <w:color w:themeColor="hyperlink" w:val="0000FF"/>
            <w:u w:val="single"/>
          </w:rPr>
          <w:t xml:space="preserve">Capítulo 9</w:t>
        </w:r>
      </w:hyperlink>
    </w:p>
    <w:p>
      <w:pPr>
        <w:pStyle w:val="Normal"/>
        <w:ind w:firstLine="0" w:firstLineChars="0" w:left="0" w:leftChars="0"/>
      </w:pPr>
      <w:hyperlink w:anchor="Top_of_part0015_xhtml">
        <w:r>
          <w:rPr>
            <w:color w:themeColor="hyperlink" w:val="0000FF"/>
            <w:u w:val="single"/>
          </w:rPr>
          <w:t xml:space="preserve">Capítulo 10</w:t>
        </w:r>
      </w:hyperlink>
    </w:p>
    <w:p>
      <w:pPr>
        <w:pStyle w:val="Normal"/>
        <w:ind w:firstLine="0" w:firstLineChars="0" w:left="0" w:leftChars="0"/>
      </w:pPr>
      <w:hyperlink w:anchor="Top_of_part0016_xhtml">
        <w:r>
          <w:rPr>
            <w:color w:themeColor="hyperlink" w:val="0000FF"/>
            <w:u w:val="single"/>
          </w:rPr>
          <w:t xml:space="preserve">Capítulo 11</w:t>
        </w:r>
      </w:hyperlink>
    </w:p>
    <w:p>
      <w:pPr>
        <w:pStyle w:val="Normal"/>
        <w:ind w:firstLine="0" w:firstLineChars="0" w:left="0" w:leftChars="0"/>
      </w:pPr>
      <w:hyperlink w:anchor="Top_of_part0017_xhtml">
        <w:r>
          <w:rPr>
            <w:color w:themeColor="hyperlink" w:val="0000FF"/>
            <w:u w:val="single"/>
          </w:rPr>
          <w:t xml:space="preserve">Epílogo</w:t>
        </w:r>
      </w:hyperlink>
      <w:r>
        <w:fldChar w:fldCharType="end"/>
      </w:r>
    </w:p>
    <w:p>
      <w:pPr>
        <w:pStyle w:val="Para 13"/>
        <w:pageBreakBefore w:val="on"/>
      </w:pPr>
      <w:r>
        <w:t xml:space="preserve">Bebendo nas Fontes</w:t>
      </w:r>
    </w:p>
    <w:p>
      <w:pPr>
        <w:pStyle w:val="Para 06"/>
      </w:pPr>
      <w:r>
        <w:t xml:space="preserve">Um apelo ao Judeu e ao Cristão</w:t>
      </w:r>
    </w:p>
    <w:p>
      <w:pPr>
        <w:pStyle w:val="Para 05"/>
      </w:pPr>
      <w:r>
        <w:t xml:space="preserve">para que notem seus princípios comuns</w:t>
      </w:r>
    </w:p>
    <w:p>
      <w:pPr>
        <w:pStyle w:val="Para 12"/>
      </w:pPr>
      <w:r>
        <w:t xml:space="preserve">Jacques B. Doukhan</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495300" cy="495300"/>
            <wp:effectExtent b="0" l="0" r="0" t="0"/>
            <wp:wrapTopAndBottom/>
            <wp:docPr descr="image-1.jpg" id="1" name="image-1.jpg"/>
            <wp:cNvGraphicFramePr>
              <a:graphicFrameLocks noChangeAspect="1"/>
            </wp:cNvGraphicFramePr>
            <a:graphic>
              <a:graphicData uri="http://schemas.openxmlformats.org/drawingml/2006/picture">
                <pic:pic>
                  <pic:nvPicPr>
                    <pic:cNvPr descr="image-1.jpg" id="0" name="image-1.jpg"/>
                    <pic:cNvPicPr/>
                  </pic:nvPicPr>
                  <pic:blipFill>
                    <a:blip r:embed="rId5"/>
                    <a:stretch>
                      <a:fillRect/>
                    </a:stretch>
                  </pic:blipFill>
                  <pic:spPr>
                    <a:xfrm>
                      <a:off x="0" y="0"/>
                      <a:ext cx="495300" cy="495300"/>
                    </a:xfrm>
                    <a:prstGeom prst="rect">
                      <a:avLst/>
                    </a:prstGeom>
                  </pic:spPr>
                </pic:pic>
              </a:graphicData>
            </a:graphic>
          </wp:anchor>
        </w:drawing>
      </w:r>
    </w:p>
    <w:p>
      <w:pPr>
        <w:pStyle w:val="Para 05"/>
      </w:pPr>
      <w:r>
        <w:t xml:space="preserve">Pacific Press® Publishing Association</w:t>
      </w:r>
    </w:p>
    <w:p>
      <w:pPr>
        <w:pStyle w:val="Para 05"/>
      </w:pPr>
      <w:r>
        <w:t xml:space="preserve">Nampa, Idaho</w:t>
      </w:r>
    </w:p>
    <w:p>
      <w:pPr>
        <w:pStyle w:val="Para 05"/>
      </w:pPr>
      <w:r>
        <w:t xml:space="preserve">Oshawa, Ontario, Canada</w:t>
      </w:r>
    </w:p>
    <w:p>
      <w:pPr>
        <w:pStyle w:val="Para 05"/>
      </w:pPr>
      <w:r>
        <w:t xml:space="preserve">www.pacificpress.com</w:t>
      </w:r>
    </w:p>
    <w:p>
      <w:bookmarkStart w:id="1" w:name="Top_of_part0002_xhtml"/>
      <w:pPr>
        <w:pStyle w:val="Para 11"/>
        <w:pageBreakBefore w:val="on"/>
      </w:pPr>
      <w:r>
        <w:t xml:space="preserve">Cover design by Gerald Monks</w:t>
      </w:r>
      <w:bookmarkEnd w:id="1"/>
    </w:p>
    <w:p>
      <w:pPr>
        <w:pStyle w:val="Normal"/>
      </w:pPr>
      <w:r>
        <w:t xml:space="preserve">Originally published in 1981.</w:t>
      </w:r>
    </w:p>
    <w:p>
      <w:pPr>
        <w:pStyle w:val="Normal"/>
      </w:pPr>
      <w:r>
        <w:t xml:space="preserve">Translated from the French Boire aux Sources. Permission to publish in English granted by Editions S. D. T., 77190 Dammarie les Lys, France.</w:t>
      </w:r>
    </w:p>
    <w:p>
      <w:pPr>
        <w:pStyle w:val="Normal"/>
      </w:pPr>
      <w:r>
        <w:t xml:space="preserve">The author assumes full responsibility for the accuracy of all facts and quotations as cited in this book.</w:t>
      </w:r>
    </w:p>
    <w:p>
      <w:pPr>
        <w:pStyle w:val="Normal"/>
      </w:pPr>
      <w:r>
        <w:t xml:space="preserve">Heritage Project</w:t>
      </w:r>
    </w:p>
    <w:p>
      <w:pPr>
        <w:pStyle w:val="Normal"/>
      </w:pPr>
      <w:r>
        <w:t xml:space="preserve">This book is part of the Pacific Press® Heritage Project, a plan to re-publish classic books from our historical archives and to make valuable books available once more. The content of this book is presented as it was originally published and should be read with its original publication date in mind. </w:t>
      </w:r>
    </w:p>
    <w:p>
      <w:pPr>
        <w:pStyle w:val="Normal"/>
      </w:pPr>
      <w:r>
        <w:t xml:space="preserve">You can obtain additional copies of this book by calling toll-free 1-800-765-6955 or by visiting www.adventistbookcenter.com. You can purchase this as an e-book by visiting www.adventist-ebooks.com.</w:t>
      </w:r>
    </w:p>
    <w:p>
      <w:pPr>
        <w:pStyle w:val="Normal"/>
      </w:pPr>
      <w:r>
        <w:t xml:space="preserve">Copyright © 2012 Edition by Pacific Press® Publishing Association</w:t>
      </w:r>
    </w:p>
    <w:p>
      <w:pPr>
        <w:pStyle w:val="Normal"/>
      </w:pPr>
      <w:r>
        <w:t xml:space="preserve">Printed in the United States of America</w:t>
      </w:r>
    </w:p>
    <w:p>
      <w:pPr>
        <w:pStyle w:val="Normal"/>
      </w:pPr>
      <w:r>
        <w:t xml:space="preserve">All rights reserved</w:t>
      </w:r>
    </w:p>
    <w:p>
      <w:pPr>
        <w:pStyle w:val="Normal"/>
      </w:pPr>
      <w:r>
        <w:t xml:space="preserve">ISBN: 978-0-8163-3934-1 0-8163-3934-1</w:t>
      </w:r>
    </w:p>
    <w:p>
      <w:bookmarkStart w:id="2" w:name="Top_of_part0003_xhtml"/>
      <w:bookmarkStart w:id="3" w:name="Foreword"/>
      <w:pPr>
        <w:pStyle w:val="Para 01"/>
        <w:pageBreakBefore w:val="on"/>
      </w:pPr>
      <w:r>
        <w:t xml:space="preserve">Prefácio</w:t>
      </w:r>
      <w:bookmarkEnd w:id="2"/>
      <w:bookmarkEnd w:id="3"/>
    </w:p>
    <w:p>
      <w:pPr>
        <w:pStyle w:val="Para 07"/>
      </w:pPr>
      <w: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pPr>
        <w:pStyle w:val="Normal"/>
      </w:pPr>
      <w: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pPr>
        <w:pStyle w:val="Normal"/>
      </w:pPr>
      <w: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pPr>
        <w:pStyle w:val="Normal"/>
      </w:pPr>
      <w: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pPr>
        <w:pStyle w:val="Normal"/>
      </w:pPr>
      <w: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pPr>
        <w:pStyle w:val="Normal"/>
      </w:pPr>
      <w: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pPr>
        <w:pStyle w:val="Normal"/>
      </w:pPr>
      <w: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pPr>
        <w:pStyle w:val="Normal"/>
      </w:pPr>
      <w: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pPr>
        <w:pStyle w:val="Normal"/>
      </w:pPr>
      <w: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pPr>
        <w:pStyle w:val="Normal"/>
      </w:pPr>
      <w: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pPr>
        <w:pStyle w:val="Normal"/>
      </w:pPr>
      <w:r>
        <w:t xml:space="preserve">Este livro que Jacques Doukhan oferece para nossa meditação produz um sentimento estranho. Eu terminei de ler aqui em Jerusalém, a capital do estado de Israel e de uma cultura hebraica ressuscitada.</w:t>
      </w:r>
    </w:p>
    <w:p>
      <w:pPr>
        <w:pStyle w:val="Normal"/>
      </w:pPr>
      <w:r>
        <w:t xml:space="preserve">O anti-semitismo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pPr>
        <w:pStyle w:val="Normal"/>
      </w:pPr>
      <w: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pPr>
        <w:pStyle w:val="Normal"/>
      </w:pPr>
      <w: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ressuscitada em sua própria terra, encontrou novamente um pluralismo que rejeita o dogmatismo e a inflexibilidade doutrinal que eram necessários durante a diáspora - uma época em que os perigos internos e externos ameaçavam a própria existência do povo judeu. No plano político, Israel abriga possivelmente mais partidos, opiniões e pontos de vista do que qualquer outra nação. Na área da religião, na ausência de um magistério supremo, todo judeu cria sua própria religião pessoal dentro das ricas tradições dos seus pais.</w:t>
      </w:r>
    </w:p>
    <w:p>
      <w:pPr>
        <w:pStyle w:val="Normal"/>
      </w:pPr>
      <w:r>
        <w:t xml:space="preserve">Portanto, uma parte substancial da análise de Jacques Doukhan se aplica às condições da diáspora. Isso é muito evidente em relação aos judeus, mas também é verdade para os cristãos. Já indiquei que os cristãos são uma minoria em Israel. Mas essa minoria não é monolítica. Em Jerusalém, trinta e três confissões cristãs coexistem sem muito em comum, a menos o fato de se chamarem cristãs. Seus dogmas, suas teologias, seus ritos religiosos, suas culturas, sua história e até seus calendários variam. Para passar de uma igreja cristã para outra, o observador deve dar um salto muito mais considerável do que, por exemplo, passar de uma igreja católica ou protestante para uma sinagoga em Paris ou Nova York. De muitas maneiras, um bispo copta e um pastor norte-americano, um ortodoxo russo e um católico romano sul-americano, são considerados menos parecidos do que se tivessem vindo de mundos religiosos distintos. Por causa dessa situação moderna, as perspectivas históricas lançadas nos moldes dos tempos do exílio (pré-1948) são trazidas de volta para nos assombrar.</w:t>
      </w:r>
    </w:p>
    <w:p>
      <w:pPr>
        <w:pStyle w:val="Normal"/>
      </w:pPr>
      <w:r>
        <w:t xml:space="preserve">Jacques Doukhan está certo quando, no final de sua apresentação, ele de repente parece estar envolvido por uma dúvida. É quando ele lida com um aspecto dos problemas que ele coloca diante de nós, problemas, além disso, que são mais profundos e mais impressionantes do que ele diz. Esses problemas realmente condicionam o futuro total da humanidade, não apenas o nosso futuro religioso ou espiritual.</w:t>
      </w:r>
    </w:p>
    <w:p>
      <w:pPr>
        <w:pStyle w:val="Normal"/>
      </w:pPr>
      <w:r>
        <w:t xml:space="preserve">Em vez de perseverar nos caminhos antiquados da apologética clássica, as religiões atuais, como enfatiza o Dr. Doukhan, deveriam aplicar-se para medir a extensão das falhas do passado. Nenhum grupo religioso entregou de forma convincente o que prometeu ao mundo: justiça, paz, salvação, amor.</w:t>
      </w:r>
    </w:p>
    <w:p>
      <w:pPr>
        <w:pStyle w:val="Normal"/>
      </w:pPr>
      <w:r>
        <w:t xml:space="preserve">O cristianismo, como o judaísmo, não é mais praticado, exceto por uma minoria dos fiéis; e o número desses fiéis está em constante declínio. As sociedades judaico-cristãs continuam a ser invadidas por um neopaganismo, cujos ídolos são mais mortais do que os profanados pelos profetas nos tempos de outrora.</w:t>
      </w:r>
    </w:p>
    <w:p>
      <w:pPr>
        <w:pStyle w:val="Normal"/>
      </w:pPr>
      <w:r>
        <w:t xml:space="preserve">O mundo judaico-cristão constitui uma minoria em uma comunidade mundial que parece satisfeita em se dirigir à indescritível possibilidade de aniquilação atômica. Tanto judeus como cristãos fingem ser os eleitos de Deus, os representantes na terra do Mestre do universo. No entanto, eles não foram capazes de transmitir sua mensagem salvadora para a Ásia, para a África, não importando as massas cada vez mais paganizadas da Europa e da América. Na verdade, o cristianismo desde Constantino e Judaísmo desde a sua helenização não foram capazes de se libertar do gueto Greco-latino de religião Hebraica, onde os eventos essenciais de sua história teve lugar.</w:t>
      </w:r>
    </w:p>
    <w:p>
      <w:pPr>
        <w:pStyle w:val="Normal"/>
      </w:pPr>
      <w:r>
        <w:t xml:space="preserve">A aflição que Jacques Doukhan expressa em seu Epílogo é justificado, não apenas por causa do drama judaico-cristão (trágico mas cômico), mas também por causa do fracasso comum de Roma e Jerusalém, que aparecem atualmente em todos tribubais da história. A grande conquistadora é Babilônia, cujas legiões que lidam com a morte parecem mais fortes e mais terríveis hoje do que nunca na história. E os Moloques dos tempos modernos, a quem todos servimos com muita freqüência, não estão mais satisfeitos com a carne carbonizada de algumas crianças sacrificadas em seus altares elevados; eles exigem e se preparam para o sacrifício apocalíptico de milhões e milhões de pessoas que, na explosão titânica de ogivas nucleares, podem perecer em um cataclisma cuja escuridão já obscurece o planeta Terra.</w:t>
      </w:r>
    </w:p>
    <w:p>
      <w:pPr>
        <w:pStyle w:val="Normal"/>
      </w:pPr>
      <w:r>
        <w:t xml:space="preserve">Se ainda existe uma chance infinitesimal de sobrevivência para a humanidade, ela pode ser encontrada em uma reconciliação entre Roma e Jerusalém. Jacques Doukhan parece entender isso.Babilônia Sua busca leva-o para além da mera teologia e mito para um futuro radiante de esperança e paz.</w:t>
      </w:r>
    </w:p>
    <w:p>
      <w:pPr>
        <w:pStyle w:val="Normal"/>
      </w:pPr>
      <w:r>
        <w:t xml:space="preserve">Andre Chouraqui</w:t>
      </w:r>
    </w:p>
    <w:p>
      <w:bookmarkStart w:id="4" w:name="Foreword_1"/>
      <w:bookmarkStart w:id="5" w:name="Top_of_part0004_xhtml"/>
      <w:pPr>
        <w:pStyle w:val="Para 01"/>
        <w:pageBreakBefore w:val="on"/>
      </w:pPr>
      <w:r>
        <w:t xml:space="preserve">Prefácio</w:t>
      </w:r>
      <w:bookmarkEnd w:id="4"/>
      <w:bookmarkEnd w:id="5"/>
    </w:p>
    <w:p>
      <w:pPr>
        <w:pStyle w:val="Para 07"/>
      </w:pPr>
      <w:r>
        <w:t xml:space="preserve">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pPr>
      <w:r>
        <w:t xml:space="preserve">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pPr>
      <w:r>
        <w:t xml:space="preserve">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pPr>
      <w:r>
        <w:t xml:space="preserve">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pPr>
      <w:r>
        <w:t xml:space="preserve">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pPr>
      <w:r>
        <w:t xml:space="preserve">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pPr>
      <w:r>
        <w:t xml:space="preserve">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pPr>
      <w:r>
        <w:t xml:space="preserve">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pPr>
      <w:r>
        <w:t xml:space="preserve">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pPr>
      <w:r>
        <w:t xml:space="preserve">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pPr>
      <w:r>
        <w:t xml:space="preserve">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pPr>
      <w:r>
        <w:t xml:space="preserve">F. Lovsky</w:t>
      </w:r>
    </w:p>
    <w:p>
      <w:bookmarkStart w:id="6" w:name="Introduction"/>
      <w:bookmarkStart w:id="7" w:name="Top_of_part0005_xhtml"/>
      <w:pPr>
        <w:pStyle w:val="Para 01"/>
        <w:pageBreakBefore w:val="on"/>
      </w:pPr>
      <w:r>
        <w:t xml:space="preserve">Introdução</w:t>
      </w:r>
      <w:bookmarkEnd w:id="6"/>
      <w:bookmarkEnd w:id="7"/>
    </w:p>
    <w:p>
      <w:pPr>
        <w:pStyle w:val="Para 08"/>
      </w:pPr>
      <w:r>
        <w:t xml:space="preserve">A Cry</w:t>
      </w:r>
    </w:p>
    <w:p>
      <w:pPr>
        <w:pStyle w:val="Para 03"/>
      </w:pPr>
      <w:r>
        <w:t xml:space="preserve">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pPr>
      <w:r>
        <w:t xml:space="preserve">Bewildered and seemingly beaten in advance, one attempts to muster fresh words and ideas only with the greatest difficulty.</w:t>
      </w:r>
    </w:p>
    <w:p>
      <w:pPr>
        <w:pStyle w:val="Normal"/>
      </w:pPr>
      <w:r>
        <w:t xml:space="preserve">The temptation is to cry out in anguish and frustration!</w:t>
      </w:r>
    </w:p>
    <w:p>
      <w:pPr>
        <w:pStyle w:val="Normal"/>
      </w:pPr>
      <w:r>
        <w:t xml:space="preserve">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pPr>
      <w:r>
        <w:t xml:space="preserve">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pPr>
      <w:r>
        <w:t xml:space="preserve">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pPr>
      <w:r>
        <w:t xml:space="preserve">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pPr>
      <w:r>
        <w:t xml:space="preserve">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pPr>
      <w:r>
        <w:t xml:space="preserve">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pPr>
      <w:r>
        <w:t xml:space="preserve">It is very important that we know the truth that was entrusted to both the Jew and the Christian, in order that we can measure the distance covered, possibly the drift experienced, and the gravity of the misunderstanding that separates them.</w:t>
      </w:r>
    </w:p>
    <w:p>
      <w:pPr>
        <w:pStyle w:val="Normal"/>
      </w:pPr>
      <w:r>
        <w:t xml:space="preserve">It is very important for us to drink at the sources, so that at last, delivered from the intoxications of error, we might in some measure think freely, which is to think rightly.</w:t>
      </w:r>
    </w:p>
    <w:p>
      <w:pPr>
        <w:pStyle w:val="Normal"/>
      </w:pPr>
      <w:r>
        <w:t xml:space="preserve">The Problem</w:t>
      </w:r>
    </w:p>
    <w:p>
      <w:pPr>
        <w:pStyle w:val="Normal"/>
      </w:pPr>
      <w:r>
        <w:t xml:space="preserve">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pPr>
      <w:r>
        <w:t xml:space="preserve">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p>
    <w:p>
      <w:bookmarkStart w:id="8" w:name="Top_of_part0006_xhtml"/>
      <w:bookmarkStart w:id="9" w:name="Chapter_1"/>
      <w:pPr>
        <w:pStyle w:val="Para 01"/>
        <w:pageBreakBefore w:val="on"/>
      </w:pPr>
      <w:r>
        <w:t xml:space="preserve">Capítulo 1</w:t>
      </w:r>
      <w:bookmarkEnd w:id="8"/>
      <w:bookmarkEnd w:id="9"/>
    </w:p>
    <w:p>
      <w:pPr>
        <w:pStyle w:val="Para 04"/>
      </w:pPr>
      <w:r>
        <w:t xml:space="preserve">The Theological Argument</w:t>
      </w:r>
    </w:p>
    <w:p>
      <w:pPr>
        <w:pStyle w:val="Para 03"/>
      </w:pPr>
      <w:r>
        <w:t xml:space="preserve">“The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Normal"/>
      </w:pPr>
      <w:r>
        <w:t xml:space="preserve">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Normal"/>
      </w:pPr>
      <w:r>
        <w:t xml:space="preserve">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Normal"/>
      </w:pPr>
      <w:r>
        <w:t xml:space="preserve">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Normal"/>
      </w:pPr>
      <w:r>
        <w:t xml:space="preserve">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Normal"/>
      </w:pPr>
      <w:r>
        <w:t xml:space="preserve">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Normal"/>
      </w:pPr>
      <w:r>
        <w:t xml:space="preserve">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Normal"/>
      </w:pPr>
      <w:r>
        <w:t xml:space="preserve">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Normal"/>
      </w:pPr>
      <w:r>
        <w:t xml:space="preserve">The Christian reaction was reflected in the attitude of Bishop Victorinus de Pettau, in the third century, who did not want it to appear that he “observed the Sabbath of the Jews.“8</w:t>
      </w:r>
    </w:p>
    <w:p>
      <w:pPr>
        <w:pStyle w:val="Normal"/>
      </w:pPr>
      <w:r>
        <w:t xml:space="preserve">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Normal"/>
      </w:pPr>
      <w:r>
        <w:t xml:space="preserve">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Normal"/>
      </w:pPr>
      <w:r>
        <w:t xml:space="preserve">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Normal"/>
      </w:pPr>
      <w:r>
        <w:t xml:space="preserve">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Normal"/>
      </w:pPr>
      <w:r>
        <w:t xml:space="preserve">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Normal"/>
      </w:pPr>
      <w:r>
        <w:t xml:space="preserve">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Normal"/>
      </w:pPr>
      <w:r>
        <w:t xml:space="preserve">“If Israel does not accept the Torah, says God to His angels, you and I can no longer subsist.“13</w:t>
      </w:r>
    </w:p>
    <w:p>
      <w:pPr>
        <w:pStyle w:val="Normal"/>
      </w:pPr>
      <w:r>
        <w:t xml:space="preserve">“The Holy One, blessed be He, covered the Israelites with Mount Sinai as with a cistern, and said to them: ‘If you accept the Law, all is well; if not, there shall be your tomb.’ “14</w:t>
      </w:r>
    </w:p>
    <w:p>
      <w:pPr>
        <w:pStyle w:val="Normal"/>
      </w:pPr>
      <w:r>
        <w:t xml:space="preserve">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Normal"/>
      </w:pPr>
      <w:r>
        <w:t xml:space="preserve">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Normal"/>
      </w:pPr>
      <w:r>
        <w:t xml:space="preserve">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Normal"/>
      </w:pPr>
      <w:r>
        <w:t xml:space="preserve">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Normal"/>
      </w:pPr>
      <w:r>
        <w:t xml:space="preserve">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Normal"/>
      </w:pPr>
      <w:r>
        <w:t xml:space="preserve">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Normal"/>
      </w:pPr>
      <w:r>
        <w:t xml:space="preserve">The historical record notes that Christian evangelism, which enjoyed enormous success up to the fourth century among the Jewish masses, suddenly stopped.23 Israel, in terms of the Law, had been rejected by the Church; and her doors closed to the Jews.</w:t>
      </w:r>
    </w:p>
    <w:p>
      <w:pPr>
        <w:pStyle w:val="Normal"/>
      </w:pPr>
      <w:r>
        <w:t xml:space="preserve">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Normal"/>
      </w:pPr>
      <w:r>
        <w:t xml:space="preserve">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p>
    <w:p>
      <w:bookmarkStart w:id="10" w:name="Chapter_2"/>
      <w:bookmarkStart w:id="11" w:name="Top_of_part0007_xhtml"/>
      <w:pPr>
        <w:pStyle w:val="Para 01"/>
        <w:pageBreakBefore w:val="on"/>
      </w:pPr>
      <w:r>
        <w:t xml:space="preserve">Capítulo 2</w:t>
      </w:r>
      <w:bookmarkEnd w:id="10"/>
      <w:bookmarkEnd w:id="11"/>
    </w:p>
    <w:p>
      <w:pPr>
        <w:pStyle w:val="Para 04"/>
      </w:pPr>
      <w:r>
        <w:t xml:space="preserve">The Human Argument</w:t>
      </w:r>
    </w:p>
    <w:p>
      <w:pPr>
        <w:pStyle w:val="Para 03"/>
      </w:pPr>
      <w:r>
        <w:t xml:space="preserve">“It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pPr>
      <w:r>
        <w:t xml:space="preserve">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pPr>
      <w:r>
        <w:t xml:space="preserve">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pPr>
      <w:r>
        <w:t xml:space="preserve">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pPr>
      <w:r>
        <w:t xml:space="preserve">AntiSemitism - Its Identity</w:t>
      </w:r>
    </w:p>
    <w:p>
      <w:pPr>
        <w:pStyle w:val="Normal"/>
      </w:pPr>
      <w:r>
        <w:t xml:space="preserve">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pPr>
      <w:r>
        <w:t xml:space="preserve">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pPr>
      <w: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Text0"/>
        </w:rPr>
        <w:t xml:space="preserve">etc.</w:t>
      </w:r>
      <w: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Text0"/>
        </w:rPr>
        <w:t xml:space="preserve">etc.</w:t>
      </w:r>
      <w:r>
        <w:t xml:space="preserve"> In point of fact, modern anthropology has exploded even the notion of a Jewish race.27</w:t>
      </w:r>
    </w:p>
    <w:p>
      <w:pPr>
        <w:pStyle w:val="Normal"/>
      </w:pPr>
      <w:r>
        <w:t xml:space="preserve">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pPr>
      <w:r>
        <w:t xml:space="preserve">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pPr>
      <w:r>
        <w:t xml:space="preserve">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pPr>
      <w:r>
        <w:t xml:space="preserve">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pPr>
      <w:r>
        <w:t xml:space="preserve">If one falls victim at the hands of a dishonest businessman who happens to be Jewish, the normal comment is the following: “He’s Jewish - what can you expect!”</w:t>
      </w:r>
    </w:p>
    <w:p>
      <w:pPr>
        <w:pStyle w:val="Normal"/>
      </w:pPr>
      <w:r>
        <w:t xml:space="preserve">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pPr>
      <w:r>
        <w:t xml:space="preserve">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pPr>
      <w:r>
        <w:t xml:space="preserve">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pPr>
      <w:r>
        <w:t xml:space="preserve">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pPr>
      <w:r>
        <w:t xml:space="preserve">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pPr>
      <w:r>
        <w:t xml:space="preserve">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pPr>
      <w:r>
        <w:t xml:space="preserve">In short, the Jew in all ages, and even today, is considered to be responsible for the death of God - this simply because 2000 years ago some of his probable ancestors could have sentenced Jesus of Nazareth to be crucified.</w:t>
      </w:r>
    </w:p>
    <w:p>
      <w:pPr>
        <w:pStyle w:val="Normal"/>
      </w:pPr>
      <w:r>
        <w:t xml:space="preserve">On one hand, accusations; on the other, pretended love. On one hand, antiSemitism, is condemned; on the other, antiSemitism is fed generously by theological reproach.</w:t>
      </w:r>
    </w:p>
    <w:p>
      <w:pPr>
        <w:pStyle w:val="Normal"/>
      </w:pPr>
      <w:r>
        <w:t xml:space="preserve">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pPr>
      <w:r>
        <w:t xml:space="preserve">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pPr>
      <w:r>
        <w:t xml:space="preserve">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pPr>
      <w:r>
        <w:t xml:space="preserve">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pPr>
      <w:r>
        <w:t xml:space="preserve">The worst is the trick this can play on conscience. Persecution of the Jews actually becomes the will of God; thus, one can be at peace in hatred as well as in indifference.</w:t>
      </w:r>
    </w:p>
    <w:p>
      <w:pPr>
        <w:pStyle w:val="Normal"/>
      </w:pPr>
      <w:r>
        <w:t xml:space="preserve">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pPr>
      <w:r>
        <w:t xml:space="preserve">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pPr>
      <w:r>
        <w:t xml:space="preserve">To accuse the Jew of having crucified Christ is to force him to have defamed God. The deicide argument adds depth to the Judeo-Christian chasm.</w:t>
      </w:r>
    </w:p>
    <w:p>
      <w:pPr>
        <w:pStyle w:val="Normal"/>
      </w:pPr>
      <w:r>
        <w:t xml:space="preserve">Theology and psychology join hands to fashion the face of antiSemitism. It is rarely possible to make a clear-cut distinction between them in their common enterprise, for they seem to merge confusedly one with the other.</w:t>
      </w:r>
    </w:p>
    <w:p>
      <w:pPr>
        <w:pStyle w:val="Normal"/>
      </w:pPr>
      <w:r>
        <w:t xml:space="preserve">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pPr>
      <w:r>
        <w:t xml:space="preserve">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pPr>
      <w:r>
        <w:t xml:space="preserve">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pPr>
      <w:r>
        <w:t xml:space="preserve">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p>
    <w:p>
      <w:bookmarkStart w:id="12" w:name="Chapter_3"/>
      <w:bookmarkStart w:id="13" w:name="Top_of_part0008_xhtml"/>
      <w:pPr>
        <w:pStyle w:val="Para 01"/>
        <w:pageBreakBefore w:val="on"/>
      </w:pPr>
      <w:r>
        <w:t xml:space="preserve">Capítulo 3</w:t>
      </w:r>
      <w:bookmarkEnd w:id="12"/>
      <w:bookmarkEnd w:id="13"/>
    </w:p>
    <w:p>
      <w:pPr>
        <w:pStyle w:val="Para 04"/>
      </w:pPr>
      <w:r>
        <w:t xml:space="preserve">The History of AntiSemitism</w:t>
      </w:r>
    </w:p>
    <w:p>
      <w:pPr>
        <w:pStyle w:val="Para 03"/>
      </w:pPr>
      <w:r>
        <w:t xml:space="preserve">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pPr>
      <w:r>
        <w:t xml:space="preserve">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pPr>
      <w:r>
        <w:t xml:space="preserve">“One must be well aware,” writes a Roman Catholic historian, “that antiSemitism is a state of mind that preexisted Christianity, and for which Christianity is in no way responsible.“44</w:t>
      </w:r>
    </w:p>
    <w:p>
      <w:pPr>
        <w:pStyle w:val="Normal"/>
      </w:pPr>
      <w:r>
        <w:t xml:space="preserve">“It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pPr>
      <w:r>
        <w:t xml:space="preserve">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pPr>
      <w:r>
        <w:t xml:space="preserve">Lovsky, a Christian theologian, likewise interpreted antiSemitism as “The shadow carried by the mystery of Israel among the nations… just as enduring as the role of Israel in the world.“47</w:t>
      </w:r>
    </w:p>
    <w:p>
      <w:pPr>
        <w:pStyle w:val="Normal"/>
      </w:pPr>
      <w:r>
        <w:t xml:space="preserve">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pPr>
      <w:r>
        <w:t xml:space="preserve">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pPr>
      <w:r>
        <w:t xml:space="preserve">When we add that antiSemitism seems to be anchored in our very being and culture, we are tempted to believe that it has always been thus.</w:t>
      </w:r>
    </w:p>
    <w:p>
      <w:pPr>
        <w:pStyle w:val="Normal"/>
      </w:pPr>
      <w:r>
        <w:t xml:space="preserve">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pPr>
      <w:r>
        <w:t xml:space="preserve">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pPr>
      <w:r>
        <w:t xml:space="preserve">“Most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pPr>
      <w:r>
        <w:t xml:space="preserve">Laborious and remarkable research done by Marcel Simon, a Christian historian, brought him to the conclusion that “the expansion of ecclesiastical antiSemitism dates from the fourth century.“51</w:t>
      </w:r>
    </w:p>
    <w:p>
      <w:pPr>
        <w:pStyle w:val="Normal"/>
      </w:pPr>
      <w:r>
        <w:t xml:space="preserve">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pPr>
      <w:r>
        <w:t xml:space="preserve">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pPr>
      <w:r>
        <w:t xml:space="preserve">1. The fourth century, wherein we find antiSemitism’s birth as parallel to the rejection of the Law, the first accusations of deicide, and the installation of the established Church; thus, the great and formal separation.</w:t>
      </w:r>
    </w:p>
    <w:p>
      <w:pPr>
        <w:pStyle w:val="Normal"/>
      </w:pPr>
      <w:r>
        <w:t xml:space="preserve">2. The eleventh century, a time parallel to the Crusades, wherein antiSemitism became cloaked in violence, and a focus of acute economic problems.</w:t>
      </w:r>
    </w:p>
    <w:p>
      <w:pPr>
        <w:pStyle w:val="Normal"/>
      </w:pPr>
      <w:r>
        <w:t xml:space="preserve">3. The nineteenth and twentieth centuries, in which a new ingredient, racism (parallel to nationalist and pseudoscientific movements), was added to the traditional spectrum of antiSemitism.</w:t>
      </w:r>
    </w:p>
    <w:p>
      <w:pPr>
        <w:pStyle w:val="Normal"/>
      </w:pPr>
      <w:r>
        <w:t xml:space="preserve">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pPr>
      <w:r>
        <w:t xml:space="preserve">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pPr>
      <w:r>
        <w:t xml:space="preserve">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pPr>
      <w:r>
        <w:t xml:space="preserve">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pPr>
      <w:r>
        <w:t xml:space="preserve">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pPr>
      <w:r>
        <w:t xml:space="preserve">These circumstances created a Christian reaction of horror and repulsion. 62 The Jewish reaction to such persecution further stirred up Christian hatred and contempt, creating a truly atrocious vicious circle.</w:t>
      </w:r>
    </w:p>
    <w:p>
      <w:pPr>
        <w:pStyle w:val="Normal"/>
      </w:pPr>
      <w:r>
        <w:t xml:space="preserve">But in the thirteenth century a yet more profound movement crystalized; the Jew was to become within the Christian society a foreign element, and the ghetto was born.63</w:t>
      </w:r>
    </w:p>
    <w:p>
      <w:pPr>
        <w:pStyle w:val="Normal"/>
      </w:pPr>
      <w:r>
        <w:t xml:space="preserve">In the fourteenth century came the myth that the Jew was “the devil in person.“64</w:t>
      </w:r>
    </w:p>
    <w:p>
      <w:pPr>
        <w:pStyle w:val="Normal"/>
      </w:pPr>
      <w:r>
        <w:t xml:space="preserve">The fifteenth and sixteenth centuries made him a “pest”65 that had to be destroyed.</w:t>
      </w:r>
    </w:p>
    <w:p>
      <w:pPr>
        <w:pStyle w:val="Normal"/>
      </w:pPr>
      <w:r>
        <w:t xml:space="preserve">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pPr>
      <w:r>
        <w:t xml:space="preserve">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pPr>
      <w:r>
        <w:t xml:space="preserve">Thus the nineteenth century witnessed the appearance of racism - a new form of antiSemitism resulting from a combination of circumstances favorable to its development.69</w:t>
      </w:r>
    </w:p>
    <w:p>
      <w:pPr>
        <w:pStyle w:val="Normal"/>
      </w:pPr>
      <w:r>
        <w:t xml:space="preserve">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pPr>
      <w:r>
        <w:t xml:space="preserve">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pPr>
      <w:r>
        <w:t xml:space="preserve">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pPr>
      <w:r>
        <w:t xml:space="preserve">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pPr>
      <w:r>
        <w:t xml:space="preserve">Aryan mythology fitted nicely into a Christian mold, including even the deicide idea.</w:t>
      </w:r>
    </w:p>
    <w:p>
      <w:pPr>
        <w:pStyle w:val="Normal"/>
      </w:pPr>
      <w:r>
        <w:t xml:space="preserve">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pPr>
      <w:r>
        <w:t xml:space="preserve">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pPr>
      <w:r>
        <w:t xml:space="preserve">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pPr>
      <w:r>
        <w:t xml:space="preserve">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p>
    <w:p>
      <w:bookmarkStart w:id="14" w:name="Top_of_part0009_xhtml"/>
      <w:bookmarkStart w:id="15" w:name="Chapter_4"/>
      <w:pPr>
        <w:pStyle w:val="Para 01"/>
        <w:pageBreakBefore w:val="on"/>
      </w:pPr>
      <w:r>
        <w:t xml:space="preserve">Capítulo 4</w:t>
      </w:r>
      <w:bookmarkEnd w:id="14"/>
      <w:bookmarkEnd w:id="15"/>
    </w:p>
    <w:p>
      <w:pPr>
        <w:pStyle w:val="Para 04"/>
      </w:pPr>
      <w:r>
        <w:t xml:space="preserve">Conversion and Betrayal</w:t>
      </w:r>
    </w:p>
    <w:p>
      <w:pPr>
        <w:pStyle w:val="Para 03"/>
      </w:pPr>
      <w:r>
        <w:t xml:space="preserve">“The converted one is a destroyer and a traitor who deserves any and all punishments. ” - Albert Memmi</w:t>
      </w:r>
    </w:p>
    <w:p>
      <w:pPr>
        <w:pStyle w:val="Normal"/>
      </w:pPr>
      <w:r>
        <w:t xml:space="preserve">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pPr>
      <w:r>
        <w:t xml:space="preserve">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pPr>
      <w:r>
        <w:t xml:space="preserve">One must try to understand.</w:t>
      </w:r>
    </w:p>
    <w:p>
      <w:pPr>
        <w:pStyle w:val="Normal"/>
      </w:pPr>
      <w:r>
        <w:t xml:space="preserve">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pPr>
      <w:r>
        <w:t xml:space="preserve">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pPr>
      <w:r>
        <w:t xml:space="preserve">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pPr>
      <w:r>
        <w:t xml:space="preserve">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pPr>
      <w:r>
        <w:t xml:space="preserve">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pPr>
      <w:r>
        <w:t xml:space="preserve">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pPr>
      <w:r>
        <w:t xml:space="preserve">“Once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pPr>
      <w:r>
        <w:t xml:space="preserve">Rather than a matter of truth, we are face-to-face with honor!</w:t>
      </w:r>
    </w:p>
    <w:p>
      <w:pPr>
        <w:pStyle w:val="Normal"/>
      </w:pPr>
      <w:r>
        <w:t xml:space="preserve">“One who is oppressed cannot adopt completely the values and the customs of the oppressor, even were they stronger and more beautiful than his, even though better than his, without forfeiting honor and the essential pride of a human being.“85</w:t>
      </w:r>
    </w:p>
    <w:p>
      <w:pPr>
        <w:pStyle w:val="Normal"/>
      </w:pPr>
      <w:r>
        <w:t xml:space="preserve">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pPr>
      <w:r>
        <w:t xml:space="preserve">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pPr>
      <w:r>
        <w:t xml:space="preserve">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pPr>
      <w:r>
        <w:t xml:space="preserve">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pPr>
      <w:r>
        <w:t xml:space="preserve">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pPr>
      <w:r>
        <w:t xml:space="preserve">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pPr>
      <w:r>
        <w:t xml:space="preserve">That was the time when the teachings of Jeshua (Jesus) and His disciples were still remembered - and accepted.</w:t>
      </w:r>
    </w:p>
    <w:p>
      <w:bookmarkStart w:id="16" w:name="Top_of_part0010_xhtml"/>
      <w:bookmarkStart w:id="17" w:name="Chapter_5"/>
      <w:pPr>
        <w:pStyle w:val="Para 01"/>
        <w:pageBreakBefore w:val="on"/>
      </w:pPr>
      <w:r>
        <w:t xml:space="preserve">Capítulo 5</w:t>
      </w:r>
      <w:bookmarkEnd w:id="16"/>
      <w:bookmarkEnd w:id="17"/>
    </w:p>
    <w:p>
      <w:pPr>
        <w:pStyle w:val="Para 04"/>
      </w:pPr>
      <w:r>
        <w:t xml:space="preserve">In the Beginning: A Jewish Messiah</w:t>
      </w:r>
    </w:p>
    <w:p>
      <w:pPr>
        <w:pStyle w:val="Para 03"/>
      </w:pPr>
      <w:r>
        <w:t xml:space="preserve">Two elements of Christian doctrine seem to have triggered the Judeo-Christian separation: (1) the acceptance as Messiah of a person named Jeshua; and (2) the categorical rejection of the Law of Moses.</w:t>
      </w:r>
    </w:p>
    <w:p>
      <w:pPr>
        <w:pStyle w:val="Normal"/>
      </w:pPr>
      <w:r>
        <w:t xml:space="preserve">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pPr>
      <w:r>
        <w:t xml:space="preserve">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pPr>
      <w:r>
        <w:t xml:space="preserve">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pPr>
      <w:r>
        <w:t xml:space="preserve">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pPr>
      <w:r>
        <w:t xml:space="preserve">“For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pPr>
      <w:r>
        <w:t xml:space="preserve">A respect such as this for spiritual roots is very significant. It is true that Jewish tradition, both written and oral, confirmed the Christian doctrine on the coming of the Messiah.</w:t>
      </w:r>
    </w:p>
    <w:p>
      <w:pPr>
        <w:pStyle w:val="Normal"/>
      </w:pPr>
      <w:r>
        <w:t xml:space="preserve">It is likewise true that in the original expression of Christian theology, nothing was taught that could suppose an eventual rupture with Jewish sources in the form of an abrogation of ancient Jewish Law.</w:t>
      </w:r>
    </w:p>
    <w:p>
      <w:pPr>
        <w:pStyle w:val="Normal"/>
      </w:pPr>
      <w:r>
        <w:t xml:space="preserve">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pPr>
      <w:r>
        <w:t xml:space="preserve">A Jewish Messiah</w:t>
      </w:r>
    </w:p>
    <w:p>
      <w:pPr>
        <w:pStyle w:val="Normal"/>
      </w:pPr>
      <w:r>
        <w:t xml:space="preserve">“He has come; he has said what he had to say; he has gone away. But his footsteps still resound in my ears.” - Rabbi Menahem-Mendel de Kotzk.</w:t>
      </w:r>
    </w:p>
    <w:p>
      <w:pPr>
        <w:pStyle w:val="Normal"/>
      </w:pPr>
      <w:r>
        <w:t xml:space="preserve">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pPr>
      <w:r>
        <w:t xml:space="preserve">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pPr>
      <w:r>
        <w:t xml:space="preserve">“Paul…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pPr>
      <w:r>
        <w:t xml:space="preserve">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pPr>
      <w:r>
        <w:t xml:space="preserve">A Mission With Risks</w:t>
      </w:r>
    </w:p>
    <w:p>
      <w:pPr>
        <w:pStyle w:val="Normal"/>
      </w:pPr>
      <w:r>
        <w:t xml:space="preserve">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pPr>
      <w:r>
        <w:t xml:space="preserve">Yet man disobeyed and separated himself from his Creator. Death was inevitable, as well as sorrow, until death came.</w:t>
      </w:r>
    </w:p>
    <w:p>
      <w:pPr>
        <w:pStyle w:val="Normal"/>
      </w:pPr>
      <w:r>
        <w:t xml:space="preserve">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pPr>
      <w:r>
        <w:t xml:space="preserve">The death that was to afflict him was to touch his total, unfragmented being; therefore, no part of his being would survive the penalty. Adam’s despair was complete, as suggested in his behavior: Adam hid himself!</w:t>
      </w:r>
    </w:p>
    <w:p>
      <w:pPr>
        <w:pStyle w:val="Normal"/>
      </w:pPr>
      <w:r>
        <w:t xml:space="preserve">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pPr>
      <w:r>
        <w:t xml:space="preserve">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pPr>
      <w:r>
        <w:t xml:space="preserve">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pPr>
      <w:r>
        <w:t xml:space="preserve">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pPr>
      <w:r>
        <w:t xml:space="preserve">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pPr>
      <w:r>
        <w:t xml:space="preserve">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pPr>
      <w:r>
        <w:t xml:space="preserve">In killing the serpent the posterity of the woman would run the risk of death. The act would be a sacrifice.</w:t>
      </w:r>
    </w:p>
    <w:p>
      <w:pPr>
        <w:pStyle w:val="Normal"/>
      </w:pPr>
      <w:r>
        <w:t xml:space="preserve">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pPr>
      <w:r>
        <w:t xml:space="preserve">Opinions are divided on this point. Some see here an allusion to mankind, others to the people of Israel; still others, as shown by the Septuagint translation,92 think this is an allusion to a specific man.93</w:t>
      </w:r>
    </w:p>
    <w:p>
      <w:pPr>
        <w:pStyle w:val="Normal"/>
      </w:pPr>
      <w:r>
        <w:t xml:space="preserve">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pPr>
      <w:r>
        <w:t xml:space="preserve">The Victim</w:t>
      </w:r>
    </w:p>
    <w:p>
      <w:pPr>
        <w:pStyle w:val="Normal"/>
      </w:pPr>
      <w:r>
        <w:t xml:space="preserve">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pPr>
      <w:r>
        <w:t xml:space="preserve">The mission entrusted to this suffering servant was to save his people at the peril of his own life. Often in Jewish tradition the suffering servant was identified as being the Messiah of Israel and not Israel itself.</w:t>
      </w:r>
    </w:p>
    <w:p>
      <w:pPr>
        <w:pStyle w:val="Normal"/>
      </w:pPr>
      <w:r>
        <w:t xml:space="preserve">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pPr>
      <w:r>
        <w:t xml:space="preserve">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pPr>
      <w:r>
        <w:t xml:space="preserve">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pPr>
      <w:r>
        <w:t xml:space="preserve">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pPr>
      <w:r>
        <w:t xml:space="preserve">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pPr>
      <w:r>
        <w:t xml:space="preserve">The Cohen</w:t>
      </w:r>
    </w:p>
    <w:p>
      <w:pPr>
        <w:pStyle w:val="Normal"/>
      </w:pPr>
      <w:r>
        <w:t xml:space="preserve">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pPr>
      <w:r>
        <w:t xml:space="preserve">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pPr>
      <w:r>
        <w:t xml:space="preserve">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pPr>
      <w:r>
        <w:t xml:space="preserve">This ministry, which included simultaneously the roles of intercessor and mediator, predestined the cohen to be considered one of the antitypes of the Messiah.</w:t>
      </w:r>
    </w:p>
    <w:p>
      <w:pPr>
        <w:pStyle w:val="Normal"/>
      </w:pPr>
      <w:r>
        <w:t xml:space="preserve">In Psalm 110, David, the illustrious king, foresaw “a cohen forever” (verse 4), whom he calls “his lord” (verse 1). Authority and power are given him (verse 2), and he is charged in the day of God’s wrath to “execute judgment among the nations” (verses 5, 6).</w:t>
      </w:r>
    </w:p>
    <w:p>
      <w:pPr>
        <w:pStyle w:val="Normal"/>
      </w:pPr>
      <w:r>
        <w:t xml:space="preserve">The thoughts expressed are familiar to messianic language: justice, domination, the day of God’s wrath. Messianism and priesthood were thus bound up together, as Jewish tradition made clear by recognizing the Messiah in the cohen of Psalm 110.</w:t>
      </w:r>
    </w:p>
    <w:p>
      <w:pPr>
        <w:pStyle w:val="Normal"/>
      </w:pPr>
      <w:r>
        <w:t xml:space="preserve">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pPr>
      <w:r>
        <w:t xml:space="preserve">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pPr>
      <w:r>
        <w:t xml:space="preserve">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pPr>
      <w:r>
        <w:t xml:space="preserve">An Identity With Two Faces: Messiah son of Joseph and Messiah son of David</w:t>
      </w:r>
    </w:p>
    <w:p>
      <w:pPr>
        <w:pStyle w:val="Normal"/>
      </w:pPr>
      <w:r>
        <w:t xml:space="preserve">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pPr>
      <w:r>
        <w:t xml:space="preserve">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pPr>
      <w:r>
        <w:t xml:space="preserve">Messiah Son of David and Messiah Son of God</w:t>
      </w:r>
    </w:p>
    <w:p>
      <w:pPr>
        <w:pStyle w:val="Normal"/>
      </w:pPr>
      <w:r>
        <w:t xml:space="preserve">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pPr>
      <w:r>
        <w:t xml:space="preserve">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pPr>
      <w:r>
        <w:t xml:space="preserve">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pPr>
      <w:r>
        <w:t xml:space="preserve">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pPr>
      <w:r>
        <w:t xml:space="preserve">“The Messiah,” says the Talmud, “will have the name of the Holy Blessed one.128… For it is said in Jeremiah 23:6: And this is the name by which he will be called. The Lord is our righteousness.“129</w:t>
      </w:r>
    </w:p>
    <w:p>
      <w:pPr>
        <w:pStyle w:val="Normal"/>
      </w:pPr>
      <w:r>
        <w:t xml:space="preserve">“What is the name of the Messiah King?” asks the Midrash. R. Abba ben Kahana says. “Yahweh is his name as written in Jeremiah 23:6, This is the name by which he will be called: “The Lord [Yahweh] is our righteousness.130</w:t>
      </w:r>
    </w:p>
    <w:p>
      <w:pPr>
        <w:pStyle w:val="Normal"/>
      </w:pPr>
      <w:r>
        <w:t xml:space="preserve">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pPr>
      <w:r>
        <w:t xml:space="preserve">The Messiah of Israel thus is likened to God and bears the name (Yahweh) of God. But the identity is not limited to the name: the identity includes common attributes, such as their eternity and their royalty.</w:t>
      </w:r>
    </w:p>
    <w:p>
      <w:pPr>
        <w:pStyle w:val="Normal"/>
      </w:pPr>
      <w:r>
        <w:t xml:space="preserve">I. The Eternal Messiah. We already have found in Psalm 110, which is demonstrably messianic, these words: “You are a priest forever.”</w:t>
      </w:r>
    </w:p>
    <w:p>
      <w:pPr>
        <w:pStyle w:val="Normal"/>
      </w:pPr>
      <w:r>
        <w:t xml:space="preserve">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pPr>
      <w:r>
        <w:t xml:space="preserve">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pPr>
      <w:r>
        <w:t xml:space="preserve">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pPr>
      <w:r>
        <w:t xml:space="preserve">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pPr>
      <w:r>
        <w:t xml:space="preserve">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pPr>
      <w:r>
        <w:t xml:space="preserve">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pPr>
      <w:r>
        <w:t xml:space="preserve">God and the Messiah, therefore, are one and the same person. This, at least, is what one can deduct from the several best-known and least controversial passages we have chosen from the Bible, along with the traditional Jewish comments on them.</w:t>
      </w:r>
    </w:p>
    <w:p>
      <w:pPr>
        <w:pStyle w:val="Normal"/>
      </w:pPr>
      <w:r>
        <w:t xml:space="preserve">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pPr>
      <w:r>
        <w:t xml:space="preserve">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pPr>
      <w:r>
        <w:t xml:space="preserve">Hebrew thought customarily uses paradoxes and takes delight in arriving at truth by bringing together seemingly irreconcilable elements. Typical is the truth regarding the double identity of the Messiah: glorious and humble, divine and human.</w:t>
      </w:r>
    </w:p>
    <w:p>
      <w:pPr>
        <w:pStyle w:val="Normal"/>
      </w:pPr>
      <w:r>
        <w:t xml:space="preserve">We find this truth in the writings of Jewish tradition as well as in the Hebrew Scriptures. And it is often found in the well-balanced verses of Hebrew poetry, of which Micah’s song and its name combinations are deserving of attention.</w:t>
      </w:r>
    </w:p>
    <w:p>
      <w:pPr>
        <w:pStyle w:val="Normal"/>
      </w:pPr>
      <w:r>
        <w:t xml:space="preserve">Micah’s Literary Play on Words</w:t>
      </w:r>
    </w:p>
    <w:p>
      <w:pPr>
        <w:pStyle w:val="Normal"/>
      </w:pPr>
      <w:r>
        <w:t xml:space="preserve">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pPr>
      <w:r>
        <w:t xml:space="preserve">Micah 4:8-14 &amp; Micah 5:1-4</w:t>
      </w:r>
    </w:p>
    <w:p>
      <w:pPr>
        <w:pStyle w:val="Normal"/>
      </w:pPr>
      <w:r>
        <w:t xml:space="preserve">The Theme of a City</w:t>
      </w:r>
    </w:p>
    <w:p>
      <w:pPr>
        <w:pStyle w:val="Normal"/>
      </w:pPr>
      <w:r>
        <w:t xml:space="preserve">Jerusalem, kingdom, glory, power:</w:t>
      </w:r>
    </w:p>
    <w:p>
      <w:pPr>
        <w:pStyle w:val="Normal"/>
      </w:pPr>
      <w:r>
        <w:t xml:space="preserve">“And you, O tower of the flock, hill of the daughter of Zion,… the kingdom of the daughter of Jerusalem.” (verse 8)</w:t>
      </w:r>
    </w:p>
    <w:p>
      <w:pPr>
        <w:pStyle w:val="Normal"/>
      </w:pPr>
      <w:r>
        <w:t xml:space="preserve">Bethlehem, humility, smallness:</w:t>
      </w:r>
    </w:p>
    <w:p>
      <w:pPr>
        <w:pStyle w:val="Normal"/>
      </w:pPr>
      <w:r>
        <w:t xml:space="preserve">“But you, O Bethlehem Ephrathah, who are little to be among the clans of Judah.” (verse 2)</w:t>
      </w:r>
    </w:p>
    <w:p>
      <w:pPr>
        <w:pStyle w:val="Normal"/>
      </w:pPr>
      <w:r>
        <w:t xml:space="preserve">The Theme of Ancient Days and Dominion</w:t>
      </w:r>
    </w:p>
    <w:p>
      <w:pPr>
        <w:pStyle w:val="Normal"/>
      </w:pPr>
      <w:r>
        <w:t xml:space="preserve">In the end:</w:t>
      </w:r>
    </w:p>
    <w:p>
      <w:pPr>
        <w:pStyle w:val="Normal"/>
      </w:pPr>
      <w:r>
        <w:t xml:space="preserve">“To you shall it come, the former dominion shall come.” (verse 8)</w:t>
      </w:r>
    </w:p>
    <w:p>
      <w:pPr>
        <w:pStyle w:val="Normal"/>
      </w:pPr>
      <w:r>
        <w:t xml:space="preserve">In the beginning:</w:t>
      </w:r>
    </w:p>
    <w:p>
      <w:pPr>
        <w:pStyle w:val="Normal"/>
      </w:pPr>
      <w:r>
        <w:t xml:space="preserve">“From you shall come forth for me one who is to be ruler in Israel, whose origin is from of old, from ancient days.” (verse 2)</w:t>
      </w:r>
    </w:p>
    <w:p>
      <w:pPr>
        <w:pStyle w:val="Normal"/>
      </w:pPr>
      <w:r>
        <w:t xml:space="preserve">The Theme of Childbirth</w:t>
      </w:r>
    </w:p>
    <w:p>
      <w:pPr>
        <w:pStyle w:val="Normal"/>
      </w:pPr>
      <w:r>
        <w:t xml:space="preserve">Birth pains, anguish, and captivity:</w:t>
      </w:r>
    </w:p>
    <w:p>
      <w:pPr>
        <w:pStyle w:val="Normal"/>
      </w:pPr>
      <w:r>
        <w:t xml:space="preserve">“Now why do you cry aloud?… Has your counselor perished, that pangs have seized you like a woman in travail? Writhe and groan, O daughter of Zion, like a woman in travail; for now you shall go forth from the city…; you shall go to Babylon.” (verses 9, 10)</w:t>
      </w:r>
    </w:p>
    <w:p>
      <w:pPr>
        <w:pStyle w:val="Normal"/>
      </w:pPr>
      <w:r>
        <w:t xml:space="preserve">Birth, deliverance, and return:</w:t>
      </w:r>
    </w:p>
    <w:p>
      <w:pPr>
        <w:pStyle w:val="Normal"/>
      </w:pPr>
      <w:r>
        <w:t xml:space="preserve">“Therefore he shall give them up until the time when she who is in travail has brought forth; then the rest of his brethren shall return to the people of Israel.” (verse 3)</w:t>
      </w:r>
    </w:p>
    <w:p>
      <w:pPr>
        <w:pStyle w:val="Normal"/>
      </w:pPr>
      <w:r>
        <w:t xml:space="preserve">The Theme of Divine Salvation</w:t>
      </w:r>
    </w:p>
    <w:p>
      <w:pPr>
        <w:pStyle w:val="Normal"/>
      </w:pPr>
      <w:r>
        <w:t xml:space="preserve">At war:</w:t>
      </w:r>
    </w:p>
    <w:p>
      <w:pPr>
        <w:pStyle w:val="Normal"/>
      </w:pPr>
      <w:r>
        <w:t xml:space="preserve">“There you shall be rescued, there the Lord will redeem you from the hand of your enemies. Now many nations are assembled against you…. I will make your horn iron and your hoofs bronze; you shall beat in pieces many peoples.” (verses 10-13)</w:t>
      </w:r>
    </w:p>
    <w:p>
      <w:pPr>
        <w:pStyle w:val="Normal"/>
      </w:pPr>
      <w:r>
        <w:t xml:space="preserve">At peace:</w:t>
      </w:r>
    </w:p>
    <w:p>
      <w:pPr>
        <w:pStyle w:val="Normal"/>
      </w:pPr>
      <w:r>
        <w:t xml:space="preserve">“He shall stand and feed his flock in the strength of the Lord, in the majesty of the name of the Lord his God. And they shall dwell secure…. And this shall be peace.” (verses 4, 5)</w:t>
      </w:r>
    </w:p>
    <w:p>
      <w:pPr>
        <w:pStyle w:val="Normal"/>
      </w:pPr>
      <w:r>
        <w:t xml:space="preserve">The Theme on Israel’s Leader (The Messiah)</w:t>
      </w:r>
    </w:p>
    <w:p>
      <w:pPr>
        <w:pStyle w:val="Normal"/>
      </w:pPr>
      <w:r>
        <w:t xml:space="preserve">In humiliation:</w:t>
      </w:r>
    </w:p>
    <w:p>
      <w:pPr>
        <w:pStyle w:val="Normal"/>
      </w:pPr>
      <w:r>
        <w:t xml:space="preserve">“With a rod they strike upon the cheek the ruler of Israel.” (chapter 5:1)</w:t>
      </w:r>
    </w:p>
    <w:p>
      <w:pPr>
        <w:pStyle w:val="Normal"/>
      </w:pPr>
      <w:r>
        <w:t xml:space="preserve">In glory:</w:t>
      </w:r>
    </w:p>
    <w:p>
      <w:pPr>
        <w:pStyle w:val="Normal"/>
      </w:pPr>
      <w:r>
        <w:t xml:space="preserve">“Now he shall he great to the ends of the earth, (verse 4)</w:t>
      </w:r>
    </w:p>
    <w:p>
      <w:pPr>
        <w:pStyle w:val="Normal"/>
      </w:pPr>
      <w:r>
        <w:t xml:space="preserve">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pPr>
      <w:r>
        <w:t xml:space="preserve">Jerusalem, glory, might (4:8)</w:t>
      </w:r>
    </w:p>
    <w:p>
      <w:pPr>
        <w:pStyle w:val="Normal"/>
      </w:pPr>
      <w:r>
        <w:t xml:space="preserve">Bethlehem, humility (5:2)</w:t>
      </w:r>
    </w:p>
    <w:p>
      <w:pPr>
        <w:pStyle w:val="Normal"/>
      </w:pPr>
      <w:r>
        <w:t xml:space="preserve">Humiliation of Messiah (5:1)</w:t>
      </w:r>
    </w:p>
    <w:p>
      <w:pPr>
        <w:pStyle w:val="Normal"/>
      </w:pPr>
      <w:r>
        <w:t xml:space="preserve">Glorification of Messiah (5:4)</w:t>
      </w:r>
    </w:p>
    <w:p>
      <w:pPr>
        <w:pStyle w:val="Normal"/>
      </w:pPr>
      <w:r>
        <w:t xml:space="preserve">Such parallelism is of the chiastic type, so called because of its relationship (as pictured) to the Greek letter X (chi).</w:t>
      </w:r>
    </w:p>
    <w:p>
      <w:pPr>
        <w:pStyle w:val="Normal"/>
      </w:pPr>
      <w:r>
        <w:t xml:space="preserve">We chose these two chapters from Micah chiefly because of their Messianic character; Jewish tradition did not fail to see in them a clear allusion to the Messiah.</w:t>
      </w:r>
    </w:p>
    <w:p>
      <w:pPr>
        <w:pStyle w:val="Normal"/>
      </w:pPr>
      <w:r>
        <w:t xml:space="preserve">Thus, in Micah 5:2 the rabbis of the Talmud concluded that the Messiah would come from Bethlehem.147</w:t>
      </w:r>
    </w:p>
    <w:p>
      <w:pPr>
        <w:pStyle w:val="Normal"/>
      </w:pPr>
      <w:r>
        <w:t xml:space="preserve">Similarly, the judge (or ruler) mentioned by Micah (chapter 4:3 and chapter 5:1) is seen by the Midrash to be the Messiah.148</w:t>
      </w:r>
    </w:p>
    <w:p>
      <w:pPr>
        <w:pStyle w:val="Normal"/>
      </w:pPr>
      <w:r>
        <w:t xml:space="preserve">As for the Targums, the translation makes it clear that the Messiah is meant in both cases.149</w:t>
      </w:r>
    </w:p>
    <w:p>
      <w:pPr>
        <w:pStyle w:val="Normal"/>
      </w:pPr>
      <w:r>
        <w:t xml:space="preserve">If then, as recognized by the Jewish tradition,150 these passages are messianic, it is more than interesting that the figures used are portraying glory and might as well as humiliation and suffering - the double identity of the Messiah.</w:t>
      </w:r>
    </w:p>
    <w:p>
      <w:bookmarkStart w:id="18" w:name="Top_of_part0011_xhtml"/>
      <w:bookmarkStart w:id="19" w:name="Chapter_6"/>
      <w:pPr>
        <w:pStyle w:val="Para 01"/>
        <w:pageBreakBefore w:val="on"/>
      </w:pPr>
      <w:r>
        <w:t xml:space="preserve">Capítulo 6</w:t>
      </w:r>
      <w:bookmarkEnd w:id="18"/>
      <w:bookmarkEnd w:id="19"/>
    </w:p>
    <w:p>
      <w:pPr>
        <w:pStyle w:val="Para 04"/>
      </w:pPr>
      <w:r>
        <w:t xml:space="preserve">Jerusalem - The Message of the Name</w:t>
      </w:r>
    </w:p>
    <w:p>
      <w:pPr>
        <w:pStyle w:val="Para 03"/>
      </w:pPr>
      <w:r>
        <w:t xml:space="preserve">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pPr>
      <w:r>
        <w:t xml:space="preserve">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pPr>
      <w:r>
        <w:t xml:space="preserve">W hat these two men wrote is correct, but there is much more. An analysis of the name of Jerusalem reveals a number of remarkable theological ideas.</w:t>
      </w:r>
    </w:p>
    <w:p>
      <w:pPr>
        <w:pStyle w:val="Normal"/>
      </w:pPr>
      <w:r>
        <w:t xml:space="preserve">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pPr>
      <w:r>
        <w:t xml:space="preserve">Significantly, Moriah appears in the Bible in only these two instances. It would seem that the Bible wanted to attach firmly to this site the idea of the saving intervention of God.</w:t>
      </w:r>
    </w:p>
    <w:p>
      <w:pPr>
        <w:pStyle w:val="Normal"/>
      </w:pPr>
      <w:r>
        <w:t xml:space="preserve">By choosing Moriah as the place where the Levitical rites would be performed, David indicated that a close correlation existed between the saving act of God and the ritual service in the sanctuary.</w:t>
      </w:r>
    </w:p>
    <w:p>
      <w:pPr>
        <w:pStyle w:val="Normal"/>
      </w:pPr>
      <w:r>
        <w:t xml:space="preserve">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pPr>
      <w:r>
        <w:t xml:space="preserve">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pPr>
      <w:r>
        <w:t xml:space="preserve">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pPr>
      <w:r>
        <w:t xml:space="preserve">Under the influence of these verses from Jeremiah, John, in the book of Revelation, associated the New Jerusalem and “my [God’s] own new name.” Revelation 3:12. Jerusalem and the Messiah, in their names, share a common message.</w:t>
      </w:r>
    </w:p>
    <w:p>
      <w:pPr>
        <w:pStyle w:val="Normal"/>
      </w:pPr>
      <w:r>
        <w:t xml:space="preserve">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pPr>
      <w:r>
        <w:t xml:space="preserve">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pPr>
      <w:r>
        <w:t xml:space="preserve">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pPr>
      <w:r>
        <w:t xml:space="preserve">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pPr>
      <w:r>
        <w:t xml:space="preserve">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pPr>
      <w:r>
        <w:t xml:space="preserve">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pPr>
      <w:r>
        <w:t xml:space="preserve">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pPr>
      <w:r>
        <w:t xml:space="preserve">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pPr>
      <w:r>
        <w:t xml:space="preserve">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pPr>
      <w:r>
        <w:t xml:space="preserve">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pPr>
      <w:r>
        <w:t xml:space="preserve">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pPr>
      <w:r>
        <w:t xml:space="preserve">The second coming is beyond our intelligence. It is bigger than man’s puny thinking. It belongs to God’s time. It therefore can never be determined or realized through any human calculation.</w:t>
      </w:r>
    </w:p>
    <w:p>
      <w:pPr>
        <w:pStyle w:val="Normal"/>
      </w:pPr>
      <w:r>
        <w:t xml:space="preserve">The first coming, on the contrary, belongs to our history, fits our times and our measurements. One can readily understand that, belonging to the human order of things, this first coming can be situated in history.</w:t>
      </w:r>
    </w:p>
    <w:p>
      <w:pPr>
        <w:pStyle w:val="Normal"/>
      </w:pPr>
      <w:r>
        <w:t xml:space="preserve">A Coming On Time</w:t>
      </w:r>
    </w:p>
    <w:p>
      <w:pPr>
        <w:pStyle w:val="Normal"/>
      </w:pPr>
      <w:r>
        <w:t xml:space="preserve">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pPr>
      <w:r>
        <w:t xml:space="preserve">The coming of a Messiah whose tragic destiny involved suffering and death implies necessarily a period of waiting in history.</w:t>
      </w:r>
    </w:p>
    <w:p>
      <w:pPr>
        <w:pStyle w:val="Normal"/>
      </w:pPr>
      <w:r>
        <w:t xml:space="preserve">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pPr>
      <w:r>
        <w:t xml:space="preserve">“Seventy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pPr>
      <w:r>
        <w:t xml:space="preserve">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pPr>
      <w:r>
        <w:t xml:space="preserve">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pPr>
      <w:r>
        <w:t xml:space="preserve">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pPr>
      <w:r>
        <w:t xml:space="preserve">Daniel therefore cries to God, asking Him in mercy to intervene and forgive. He pleads that Jerusalem - and thus the sanctuary - be restored to its former glory and significance. (Compare verses 17-19.)</w:t>
      </w:r>
    </w:p>
    <w:p>
      <w:pPr>
        <w:pStyle w:val="Normal"/>
      </w:pPr>
      <w:r>
        <w:t xml:space="preserve">In answer to this prayer of “confessing my sin and the sin of my people Israel, and presenting my supplication” (verse 20), God sent an answer by the angel Gabriel.</w:t>
      </w:r>
    </w:p>
    <w:p>
      <w:pPr>
        <w:pStyle w:val="Normal"/>
      </w:pPr>
      <w:r>
        <w:t xml:space="preserve">“At the beginning of your supplications a word went forth, and I have come to tell it to you, for you are greatly beloved.” Verse 23.</w:t>
      </w:r>
    </w:p>
    <w:p>
      <w:pPr>
        <w:pStyle w:val="Normal"/>
      </w:pPr>
      <w:r>
        <w:t xml:space="preserve">So Daniel’s concerns and preoccupations became the points on which God answered him.</w:t>
      </w:r>
    </w:p>
    <w:p>
      <w:pPr>
        <w:pStyle w:val="Normal"/>
      </w:pPr>
      <w:r>
        <w:t xml:space="preserve">Was Daniel preoccupied by the sin of the people? God’s answer was that in time sin would be expiated once and for all and eternal justice made secure. Verse 24.</w:t>
      </w:r>
    </w:p>
    <w:p>
      <w:pPr>
        <w:pStyle w:val="Normal"/>
      </w:pPr>
      <w:r>
        <w:t xml:space="preserve">Was Daniel concerned for the destiny of Jerusalem? God answers that in time a decree will be promulgated favoring the reconstruction of the city; yet, in later times, Jerusalem would be again devastated and destroyed. Verses 5, 26.</w:t>
      </w:r>
    </w:p>
    <w:p>
      <w:pPr>
        <w:pStyle w:val="Normal"/>
      </w:pPr>
      <w:r>
        <w:t xml:space="preserve">If in this same vision one sees the announcement of the coming Messiah, it lies in God’s two answers.</w:t>
      </w:r>
    </w:p>
    <w:p>
      <w:pPr>
        <w:pStyle w:val="Normal"/>
      </w:pPr>
      <w:r>
        <w:t xml:space="preserve">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pPr>
      <w:r>
        <w:t xml:space="preserve">Then we must establish a point in history from which to calculate the time period leading to the coming and the death of the Messiah. Details relating to the destiny of Jerusalem will reveal that point. Verses 4, 25, 26.</w:t>
      </w:r>
    </w:p>
    <w:p>
      <w:pPr>
        <w:pStyle w:val="Normal"/>
      </w:pPr>
      <w:r>
        <w:t xml:space="preserve">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pPr>
      <w:r>
        <w:t xml:space="preserve">Daniel’s prayer was in behalf of his people and of Jerusalem. It was to be expected that Gabriel’s message, speaking for God, would deal with these two items.</w:t>
      </w:r>
    </w:p>
    <w:p>
      <w:pPr>
        <w:pStyle w:val="Normal"/>
      </w:pPr>
      <w:r>
        <w:t xml:space="preserve">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pPr>
      <w:r>
        <w:t xml:space="preserve">A Full Seventy Weeks Decreed</w:t>
      </w:r>
    </w:p>
    <w:p>
      <w:pPr>
        <w:pStyle w:val="Normal"/>
      </w:pPr>
      <w:r>
        <w:t xml:space="preserve">Concerning Your People</w:t>
      </w:r>
    </w:p>
    <w:p>
      <w:pPr>
        <w:pStyle w:val="Normal"/>
      </w:pPr>
      <w:r>
        <w:t xml:space="preserve">To finish the transgression</w:t>
      </w:r>
    </w:p>
    <w:p>
      <w:pPr>
        <w:pStyle w:val="Normal"/>
      </w:pPr>
      <w:r>
        <w:t xml:space="preserve">To put an end to sin</w:t>
      </w:r>
    </w:p>
    <w:p>
      <w:pPr>
        <w:pStyle w:val="Normal"/>
      </w:pPr>
      <w:r>
        <w:t xml:space="preserve">To atone for iniquity</w:t>
      </w:r>
    </w:p>
    <w:p>
      <w:pPr>
        <w:pStyle w:val="Normal"/>
      </w:pPr>
      <w:r>
        <w:t xml:space="preserve">And Your Holy City</w:t>
      </w:r>
    </w:p>
    <w:p>
      <w:pPr>
        <w:pStyle w:val="Normal"/>
      </w:pPr>
      <w:r>
        <w:t xml:space="preserve">To bring in everlasting righteousness</w:t>
      </w:r>
    </w:p>
    <w:p>
      <w:pPr>
        <w:pStyle w:val="Normal"/>
      </w:pPr>
      <w:r>
        <w:t xml:space="preserve">To seal both vision and prophet</w:t>
      </w:r>
    </w:p>
    <w:p>
      <w:pPr>
        <w:pStyle w:val="Normal"/>
      </w:pPr>
      <w:r>
        <w:t xml:space="preserve">To anoint a most holy place (verse 24)</w:t>
      </w:r>
    </w:p>
    <w:p>
      <w:pPr>
        <w:pStyle w:val="Normal"/>
      </w:pPr>
      <w:r>
        <w:t xml:space="preserve">The two subjects of Gabriel’s response to Daniel are announced in advance: “your people and your holy city.”</w:t>
      </w:r>
    </w:p>
    <w:p>
      <w:pPr>
        <w:pStyle w:val="Normal"/>
      </w:pPr>
      <w:r>
        <w:t xml:space="preserve">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pPr>
      <w: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Text0"/>
        </w:rPr>
        <w:t xml:space="preserve">etc.</w:t>
      </w:r>
    </w:p>
    <w:p>
      <w:pPr>
        <w:pStyle w:val="Normal"/>
      </w:pPr>
      <w:r>
        <w:t xml:space="preserve">Then, a further parallelism exists between the verses themselves: the second element extends and completes the first:</w:t>
      </w:r>
    </w:p>
    <w:p>
      <w:pPr>
        <w:pStyle w:val="Normal"/>
      </w:pPr>
      <w:r>
        <w:t xml:space="preserve">“To finish transgression” is parallel to “to bring in everlasting righteousness.” The end of transgression results in the reign of righteousness, or justice.</w:t>
      </w:r>
    </w:p>
    <w:p>
      <w:pPr>
        <w:pStyle w:val="Normal"/>
      </w:pPr>
      <w:r>
        <w:t xml:space="preserve">“To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pPr>
      <w:r>
        <w:t xml:space="preserve">“To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pPr>
      <w:r>
        <w:t xml:space="preserve">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pPr>
      <w:r>
        <w:t xml:space="preserve">A1 (verse 25a) From the going forth of the word to restore and build Jerusalem to the Anointed One, a prince seven weeks and sixty-two weeks</w:t>
      </w:r>
    </w:p>
    <w:p>
      <w:pPr>
        <w:pStyle w:val="Normal"/>
      </w:pPr>
      <w:r>
        <w:t xml:space="preserve">A2 (verse 26a) After the sixty-two weeks the Anointed One will be cut off and and have nothing: no one at His side168</w:t>
      </w:r>
    </w:p>
    <w:p>
      <w:pPr>
        <w:pStyle w:val="Normal"/>
      </w:pPr>
      <w:r>
        <w:t xml:space="preserve">A3 (verse 27a) And he shall make a strong covenant with many for one week; and for half (in the midst) of the week he shall cause sacrifice and offering to cease.</w:t>
      </w:r>
    </w:p>
    <w:p>
      <w:pPr>
        <w:pStyle w:val="Normal"/>
      </w:pPr>
      <w:r>
        <w:t xml:space="preserve">B1 (verse 25b) Restoration and construction with squares and moat in a troubled time</w:t>
      </w:r>
    </w:p>
    <w:p>
      <w:pPr>
        <w:pStyle w:val="Normal"/>
      </w:pPr>
      <w:r>
        <w:t xml:space="preserve">B2 (verse 26b) People of the prince will destroy city and sanctuary in flood, war and desolation, according to what was cut off</w:t>
      </w:r>
    </w:p>
    <w:p>
      <w:pPr>
        <w:pStyle w:val="Normal"/>
      </w:pPr>
      <w:r>
        <w:t xml:space="preserve">B3 (verse 27b) Upon the wing of abominations shall come one who makes desolate until the One cut off is poured out on the desolater.</w:t>
      </w:r>
    </w:p>
    <w:p>
      <w:pPr>
        <w:pStyle w:val="Normal"/>
      </w:pPr>
      <w:r>
        <w:t xml:space="preserve">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pPr>
      <w:r>
        <w:t xml:space="preserve">This paralleling of two themes is not an artificial device. It grows out of the double current that runs through the chapter: people - sin; Jerusalem - sanctuary.</w:t>
      </w:r>
    </w:p>
    <w:p>
      <w:pPr>
        <w:pStyle w:val="Normal"/>
      </w:pPr>
      <w:r>
        <w:t xml:space="preserve">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pPr>
      <w:r>
        <w:t xml:space="preserve">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pPr>
      <w:r>
        <w:t xml:space="preserve">The two themes of Messiah and Jerusalem are used alternately, which gives the verses their intertwining configuration:</w:t>
      </w:r>
    </w:p>
    <w:p>
      <w:pPr>
        <w:pStyle w:val="Normal"/>
      </w:pPr>
      <w:r>
        <w:t xml:space="preserve">A1 Messiah-B1 Jerusalem</w:t>
      </w:r>
    </w:p>
    <w:p>
      <w:pPr>
        <w:pStyle w:val="Normal"/>
      </w:pPr>
      <w:r>
        <w:t xml:space="preserve">A2 Messiah-B2 Jerusalem</w:t>
      </w:r>
    </w:p>
    <w:p>
      <w:pPr>
        <w:pStyle w:val="Normal"/>
      </w:pPr>
      <w:r>
        <w:t xml:space="preserve">A3 Messiah (implied and understood)171-B3 Jerusalem</w:t>
      </w:r>
    </w:p>
    <w:p>
      <w:pPr>
        <w:pStyle w:val="Normal"/>
      </w:pPr>
      <w:r>
        <w:t xml:space="preserve">Lateral parallelism also can be seen between A1 and B1, A2 and B2, A3 and B3:</w:t>
      </w:r>
    </w:p>
    <w:p>
      <w:pPr>
        <w:pStyle w:val="Normal"/>
      </w:pPr>
      <w:r>
        <w:t xml:space="preserve">A1 goes with B1 by the repeated use of the two words “restore” and “construct.”</w:t>
      </w:r>
    </w:p>
    <w:p>
      <w:pPr>
        <w:pStyle w:val="Normal"/>
      </w:pPr>
      <w:r>
        <w:t xml:space="preserve">A2 goes with B2 in their common theme on destruction and death.</w:t>
      </w:r>
    </w:p>
    <w:p>
      <w:pPr>
        <w:pStyle w:val="Normal"/>
      </w:pPr>
      <w:r>
        <w:t xml:space="preserve">A3 and B3 are together in their references to temple affairs.</w:t>
      </w:r>
    </w:p>
    <w:p>
      <w:pPr>
        <w:pStyle w:val="Normal"/>
      </w:pPr>
      <w:r>
        <w:t xml:space="preserve">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pPr>
      <w:r>
        <w:t xml:space="preserve">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pPr>
      <w:r>
        <w:t xml:space="preserve">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pPr>
      <w:r>
        <w:t xml:space="preserve">The intent of Daniel 9 is for the reader to understand that the Messiah is destined to be a sacrificial victim. The phenomenon of expiation requires the Messiah to be stricken so that the sins of the people might be atoned for.</w:t>
      </w:r>
    </w:p>
    <w:p>
      <w:pPr>
        <w:pStyle w:val="Normal"/>
      </w:pPr>
      <w:r>
        <w:t xml:space="preserve">Yet, beyond theological abstraction, this mystical truth will break into the tortured flesh of humanity (1’Histoire). In order to recognize how and when the Messiah became a reality one must focus on the history of Jerusalem.</w:t>
      </w:r>
    </w:p>
    <w:p>
      <w:pPr>
        <w:pStyle w:val="Normal"/>
      </w:pPr>
      <w:r>
        <w:t xml:space="preserve">The Interpretation in Reality</w:t>
      </w:r>
    </w:p>
    <w:p>
      <w:pPr>
        <w:pStyle w:val="Normal"/>
      </w:pPr>
      <w:r>
        <w:t xml:space="preserve">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pPr>
      <w:r>
        <w:t xml:space="preserve">I. The seventy weeks. What is to be understood by this expression? Are these literal weeks, or “weeks” to be interpreted by a special key?</w:t>
      </w:r>
    </w:p>
    <w:p>
      <w:pPr>
        <w:pStyle w:val="Normal"/>
      </w:pPr>
      <w:r>
        <w:t xml:space="preserve">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pPr>
      <w:r>
        <w:t xml:space="preserve">In Ezekiel’s as in Daniel’s time, the divine oracle included the fixing of a definite time period. In Ezekiel’s case the time was evaluated in days; and the prophet immediately gave the conversion factor: one day equals one year. See Ezekiel 4:4-7.</w:t>
      </w:r>
    </w:p>
    <w:p>
      <w:pPr>
        <w:pStyle w:val="Normal"/>
      </w:pPr>
      <w:r>
        <w:t xml:space="preserve">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pPr>
      <w:r>
        <w:t xml:space="preserve">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pPr>
      <w:r>
        <w:t xml:space="preserve">Elsewhere the Talmud is most precise: “A week in Daniel 9 means a week of years.“174</w:t>
      </w:r>
    </w:p>
    <w:p>
      <w:pPr>
        <w:pStyle w:val="Normal"/>
      </w:pPr>
      <w:r>
        <w:t xml:space="preserve">The Midrash Rabbah follows this same line of interpretation. In explaining the verse “He shall make a strong covenant with many for one week” (Daniel 9:27), he says: “A week represents a period of seven years. 173</w:t>
      </w:r>
    </w:p>
    <w:p>
      <w:pPr>
        <w:pStyle w:val="Normal"/>
      </w:pPr>
      <w:r>
        <w:t xml:space="preserve">Since then the Jews have remained faithful to this reading; and the most famous of the exegetes, such as Saadia, Raschi, and Ibn Ezra, adopted it unanimously.</w:t>
      </w:r>
    </w:p>
    <w:p>
      <w:pPr>
        <w:pStyle w:val="Normal"/>
      </w:pPr>
      <w:r>
        <w:t xml:space="preserve">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pPr>
      <w:r>
        <w:t xml:space="preserve">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pPr>
      <w:r>
        <w:t xml:space="preserve">Knowing the nature of this prophetic period, we still must determine the starting point.</w:t>
      </w:r>
    </w:p>
    <w:p>
      <w:pPr>
        <w:pStyle w:val="Normal"/>
      </w:pPr>
      <w:r>
        <w:t xml:space="preserve">II. The Decree. “From the going forth of the word to restore and build Jerusalem” Daniel 9:25.</w:t>
      </w:r>
    </w:p>
    <w:p>
      <w:pPr>
        <w:pStyle w:val="Normal"/>
      </w:pPr>
      <w:r>
        <w:t xml:space="preserve">In this connection, the book of Ezra tells us that Jerusalem and its temple were reestablished following a succession of decrees issued by Cyrus, Darius, and Artaxerxes (see Ezra 6:14).</w:t>
      </w:r>
    </w:p>
    <w:p>
      <w:pPr>
        <w:pStyle w:val="Normal"/>
      </w:pPr>
      <w:r>
        <w:t xml:space="preserve">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pPr>
      <w:r>
        <w:t xml:space="preserve">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pPr>
      <w:r>
        <w:t xml:space="preserve">Artaxerxes issued this decree in the seventh year of his reign, which was in the autumn of 457 B.C.178</w:t>
      </w:r>
    </w:p>
    <w:p>
      <w:pPr>
        <w:pStyle w:val="Normal"/>
      </w:pPr>
      <w:r>
        <w:t xml:space="preserve">Sixty-nine weeks - that is, 483 years later - according to the prophecy, a Messiah (an Anointed One) prince was to appear. That year would be A. D. 27.</w:t>
      </w:r>
    </w:p>
    <w:p>
      <w:pPr>
        <w:pStyle w:val="Normal"/>
      </w:pPr>
      <w:r>
        <w:t xml:space="preserve">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pPr>
      <w:r>
        <w:t xml:space="preserve">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pPr>
      <w:r>
        <w:t xml:space="preserve">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pPr>
      <w:r>
        <w:t xml:space="preserve">On the same occasion, the historian attests the value of such a book for the Jews of his time181 (the first century of our era): “Our nation still reads his writings today, and this reading proves how much God revealed Himself to Daniel.“182</w:t>
      </w:r>
    </w:p>
    <w:p>
      <w:pPr>
        <w:pStyle w:val="Normal"/>
      </w:pPr>
      <w:r>
        <w:t xml:space="preserve">Proofs Abundant</w:t>
      </w:r>
    </w:p>
    <w:p>
      <w:pPr>
        <w:pStyle w:val="Normal"/>
      </w:pPr>
      <w:r>
        <w:t xml:space="preserve">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pPr>
      <w:r>
        <w:t xml:space="preserve">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pPr>
      <w:r>
        <w:t xml:space="preserve">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pPr>
      <w:r>
        <w:t xml:space="preserve">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pPr>
      <w:r>
        <w:t xml:space="preserve">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pPr>
      <w:r>
        <w:t xml:space="preserve">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pPr>
      <w:r>
        <w:t xml:space="preserve">Lastly, no one could overlook that the Messiah known as Jeshua had been executed approximately three and a half years after the beginning of His public ministry,188 in the year A.D. 31, even as Daniel had predicted.</w:t>
      </w:r>
    </w:p>
    <w:p>
      <w:pPr>
        <w:pStyle w:val="Normal"/>
      </w:pPr>
      <w:r>
        <w:t xml:space="preserve">That Jeshua of Nazareth seemed to correspond in all points to the messianic portrait outlined in the Scriptures became inescapable to a growing number in the Jewish community.</w:t>
      </w:r>
    </w:p>
    <w:p>
      <w:pPr>
        <w:pStyle w:val="Normal"/>
      </w:pPr>
      <w:r>
        <w:t xml:space="preserve">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pPr>
      <w:r>
        <w:t xml:space="preserve">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pPr>
      <w:r>
        <w:t xml:space="preserve">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pPr>
      <w:r>
        <w:t xml:space="preserve">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pPr>
      <w:r>
        <w:t xml:space="preserve">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pPr>
      <w:r>
        <w:t xml:space="preserve">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pPr>
      <w:r>
        <w:t xml:space="preserve">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pPr>
      <w:r>
        <w:t xml:space="preserve">“Faith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pPr>
      <w:r>
        <w:t xml:space="preserve">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pPr>
      <w:r>
        <w:t xml:space="preserve">Such Christians run the risk of someday falling into intolerance. Desirous of demonstrating at any price their truth, they end up forgetting that their life alone is the argument par excellence in favor of it.</w:t>
      </w:r>
    </w:p>
    <w:p>
      <w:pPr>
        <w:pStyle w:val="Normal"/>
      </w:pPr>
      <w:r>
        <w:t xml:space="preserve">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pPr>
      <w:r>
        <w:t xml:space="preserve">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pPr>
      <w:r>
        <w:t xml:space="preserve">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pPr>
      <w:r>
        <w:t xml:space="preserve">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pPr>
      <w:r>
        <w:t xml:space="preserve">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p>
    <w:p>
      <w:bookmarkStart w:id="20" w:name="Chapter_7"/>
      <w:bookmarkStart w:id="21" w:name="Top_of_part0012_xhtml"/>
      <w:pPr>
        <w:pStyle w:val="Para 01"/>
        <w:pageBreakBefore w:val="on"/>
      </w:pPr>
      <w:r>
        <w:t xml:space="preserve">Capítulo 7</w:t>
      </w:r>
      <w:bookmarkEnd w:id="20"/>
      <w:bookmarkEnd w:id="21"/>
    </w:p>
    <w:p>
      <w:pPr>
        <w:pStyle w:val="Para 04"/>
      </w:pPr>
      <w:r>
        <w:t xml:space="preserve">Rebirth of a Covenant</w:t>
      </w:r>
    </w:p>
    <w:p>
      <w:pPr>
        <w:pStyle w:val="Para 03"/>
      </w:pPr>
      <w:r>
        <w:t xml:space="preserve">“The great sin of the Christian world, whatever the grandeur of their faith, would be their rejection of the law of God.” - Ellen Gould White.</w:t>
      </w:r>
    </w:p>
    <w:p>
      <w:pPr>
        <w:pStyle w:val="Normal"/>
      </w:pPr>
      <w:r>
        <w:t xml:space="preserve">Only Jeremiah in the Old Testament uses the words “a covenant.” Jeremiah 31:31.</w:t>
      </w:r>
    </w:p>
    <w:p>
      <w:pPr>
        <w:pStyle w:val="Normal"/>
      </w:pPr>
      <w:r>
        <w:t xml:space="preserve">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pPr>
      <w:r>
        <w:t xml:space="preserve">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pPr>
      <w:r>
        <w:t xml:space="preserve">Same Law</w:t>
      </w:r>
    </w:p>
    <w:p>
      <w:pPr>
        <w:pStyle w:val="Normal"/>
      </w:pPr>
      <w:r>
        <w:t xml:space="preserve">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pPr>
      <w:r>
        <w:t xml:space="preserve">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pPr>
      <w:r>
        <w:t xml:space="preserve">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pPr>
      <w:r>
        <w:t xml:space="preserve">The New Covenant is a deepening internalizing of the Old.</w:t>
      </w:r>
    </w:p>
    <w:p>
      <w:pPr>
        <w:pStyle w:val="Normal"/>
      </w:pPr>
      <w:r>
        <w:t xml:space="preserve">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pPr>
      <w:r>
        <w:t xml:space="preserve">Do not stop at the halfway point in your obedience of God, said Jesus. Do not be satisfied with a legalistic observance. Go much further! And in the verses that follow, Jesus takes up the practical application of this attitude:</w:t>
      </w:r>
    </w:p>
    <w:p>
      <w:pPr>
        <w:pStyle w:val="Normal"/>
      </w:pPr>
      <w:r>
        <w:t xml:space="preserve">“You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pPr>
      <w:r>
        <w:t xml:space="preserve">“You have learned that they were told, ‘Do not commit adultery.’ But what I tell you is this: If a man looks on a woman with a lustful eye, he has already committed adultery with her in his heart.” Matthew 5:27, 28, N.E.B.</w:t>
      </w:r>
    </w:p>
    <w:p>
      <w:pPr>
        <w:pStyle w:val="Normal"/>
      </w:pPr>
      <w:r>
        <w:t xml:space="preserve">The Law written in people’s hearts becomes much more demanding than the Law written in stone. When the Law is internalized, the whole person is involved, including the most intimate motivations - even the subconscious.</w:t>
      </w:r>
    </w:p>
    <w:p>
      <w:pPr>
        <w:pStyle w:val="Normal"/>
      </w:pPr>
      <w:r>
        <w:t xml:space="preserve">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pPr>
      <w:r>
        <w:t xml:space="preserve">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pPr>
      <w:r>
        <w:t xml:space="preserve">He really did not. In his relationship to the Sabbath, as with the other precepts of the Decalogue, Jeshua really asked for a more complete obedience, a more serious compliance.</w:t>
      </w:r>
    </w:p>
    <w:p>
      <w:pPr>
        <w:pStyle w:val="Normal"/>
      </w:pPr>
      <w:r>
        <w:t xml:space="preserve">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pPr>
      <w:r>
        <w:t xml:space="preserve">For this reason Jeshua strongly exhorted His disciples in His apocalyptic discourse: “Pray that your flight may not be in winter or on a sabbath.” Matthew 24:20.</w:t>
      </w:r>
    </w:p>
    <w:p>
      <w:pPr>
        <w:pStyle w:val="Normal"/>
      </w:pPr>
      <w:r>
        <w:t xml:space="preserve">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pPr>
      <w:r>
        <w:t xml:space="preserve">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pPr>
      <w:r>
        <w:t xml:space="preserve">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pPr>
      <w:r>
        <w:t xml:space="preserve">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pPr>
      <w:r>
        <w:t xml:space="preserve">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pPr>
      <w:r>
        <w:t xml:space="preserve">“The sacrifice of the wicked is an abomination to the Lord. ” Proverbs 15:8; cf. Proverbs 21:3; Isaiah 1:10, 11.</w:t>
      </w:r>
    </w:p>
    <w:p>
      <w:pPr>
        <w:pStyle w:val="Normal"/>
      </w:pPr>
      <w:r>
        <w:t xml:space="preserve">Sacrifices, circumcision, and all other rites instituted by God are useless unless they proceed from heart worship.</w:t>
      </w:r>
    </w:p>
    <w:p>
      <w:pPr>
        <w:pStyle w:val="Normal"/>
      </w:pPr>
      <w:r>
        <w:t xml:space="preserve">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pPr>
      <w:r>
        <w:t xml:space="preserve">The revelation at Sinai taught that the Sabbath was a day of holiness, not just a day to stop work. The Sabbath was to be a day when people could renew their relationship with God that may have weakened or broken down during days of labor.</w:t>
      </w:r>
    </w:p>
    <w:p>
      <w:pPr>
        <w:pStyle w:val="Normal"/>
      </w:pPr>
      <w:r>
        <w:t xml:space="preserve">“To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pPr>
      <w:r>
        <w:t xml:space="preserve">The warning Jesus gave against the dangers of compromise and legalism which lie in wait for all believers can only emphasize His requirements for a service in depth: heart worship - a service of love.</w:t>
      </w:r>
    </w:p>
    <w:p>
      <w:pPr>
        <w:pStyle w:val="Normal"/>
      </w:pPr>
      <w:r>
        <w:t xml:space="preserve">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pPr>
      <w:r>
        <w:t xml:space="preserve">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pPr>
      <w:r>
        <w:t xml:space="preserve">If the Law is written in the heart, in harmony with the terms of the New Covenant, one will not observe it unwillingly, as if by outward, painful constraint.</w:t>
      </w:r>
    </w:p>
    <w:p>
      <w:pPr>
        <w:pStyle w:val="Normal"/>
      </w:pPr>
      <w:r>
        <w:t xml:space="preserve">Christianity traditionally has seen in Jesus a reformer bent on abolishing the Jewish Law. But Jesus actually had no thought of casting aside the commandments of God.200</w:t>
      </w:r>
    </w:p>
    <w:p>
      <w:pPr>
        <w:pStyle w:val="Normal"/>
      </w:pPr>
      <w:r>
        <w:t xml:space="preserve">Not only was the Law unchanged under the New Covenant, it called for a new spirit - for a profound, authentic obedience - for even greater willingness and happy submission.</w:t>
      </w:r>
    </w:p>
    <w:p>
      <w:pPr>
        <w:pStyle w:val="Normal"/>
      </w:pPr>
      <w:r>
        <w:t xml:space="preserve">Paul understood it this way: “But now we are discharged from the law, dead to that which held us captive, so that we serve not under the old written code but in the new life of the Spirit.” Romans 7:6.</w:t>
      </w:r>
    </w:p>
    <w:p>
      <w:pPr>
        <w:pStyle w:val="Normal"/>
      </w:pPr>
      <w:r>
        <w:t xml:space="preserve">The examples of covetousness and adultery chosen by the apostle in Romans 7 (verses 22, 25) show that he was thinking of the Decalogue. He then goes on to explain the importance of that Law and the role it plays in the redemptive process.</w:t>
      </w:r>
    </w:p>
    <w:p>
      <w:pPr>
        <w:pStyle w:val="Normal"/>
      </w:pPr>
      <w:r>
        <w:t xml:space="preserve">Thanks to this Law, man is provided with special discernment regarding good and evil. By contact with the Law , he can know what is good and what is evil and thus can become conscious of his guilt and of the death sentence that hangs over him.</w:t>
      </w:r>
    </w:p>
    <w:p>
      <w:pPr>
        <w:pStyle w:val="Normal"/>
      </w:pPr>
      <w:r>
        <w:t xml:space="preserve">Like a mirror (James 1:23-25) that reflects one’s physical characteristics, the Law is able to reflect one’s moral characteristics and thus the destiny that awaits lawbreakers.</w:t>
      </w:r>
    </w:p>
    <w:p>
      <w:pPr>
        <w:pStyle w:val="Normal"/>
      </w:pPr>
      <w:r>
        <w:t xml:space="preserve">With this awareness, and beset therefore by legitimate despair, a human being can only then turn to God and ask for mercy. God’s answer can be interpreted only as an act of unmerited salvation, a free gift of life.</w:t>
      </w:r>
    </w:p>
    <w:p>
      <w:pPr>
        <w:pStyle w:val="Normal"/>
      </w:pPr>
      <w:r>
        <w:t xml:space="preserve">The Law of itself produces death; but, in another sense, the Law brings life because it forces one to recognize his insufficiency. The Law drives the lost one to cry to God for mercy and grace.</w:t>
      </w:r>
    </w:p>
    <w:p>
      <w:pPr>
        <w:pStyle w:val="Normal"/>
      </w:pPr>
      <w:r>
        <w:t xml:space="preserve">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pPr>
      <w:r>
        <w:t xml:space="preserve">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pPr>
      <w:r>
        <w:t xml:space="preserve">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pPr>
      <w:r>
        <w:t xml:space="preserve">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pPr>
      <w:r>
        <w:t xml:space="preserve">But could not this view of salvation possibly be dangerous? If salvation is a free gift, if it comes from God (Romans 3:24), it must be sure. If my effort is futile and useless, I am free to do as I please!</w:t>
      </w:r>
    </w:p>
    <w:p>
      <w:pPr>
        <w:pStyle w:val="Normal"/>
      </w:pPr>
      <w:r>
        <w:t xml:space="preserve">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pPr>
      <w:r>
        <w:t xml:space="preserve">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pPr>
      <w:r>
        <w:t xml:space="preserve">To summarize, Paul’s experience was in three phases:</w:t>
      </w:r>
    </w:p>
    <w:p>
      <w:pPr>
        <w:pStyle w:val="Normal"/>
      </w:pPr>
      <w:r>
        <w:t xml:space="preserve">1. The Law given at Sinai in the form of the Ten Commandments can evoke in the heart a feeling of personal failure and weakness, of sin and its condemnation. Eternal death becomes a stark reality.</w:t>
      </w:r>
    </w:p>
    <w:p>
      <w:pPr>
        <w:pStyle w:val="Normal"/>
      </w:pPr>
      <w:r>
        <w:t xml:space="preserve">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pPr>
      <w:r>
        <w:t xml:space="preserve">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pPr>
      <w:r>
        <w:t xml:space="preserve">In other words, obedience to the Law is the expression of our salvation and not the means by which it is attained.</w:t>
      </w:r>
    </w:p>
    <w:p>
      <w:pPr>
        <w:pStyle w:val="Normal"/>
      </w:pPr>
      <w:r>
        <w:t xml:space="preserve">Evidently the apostle Paul applied these three principles in his own life.</w:t>
      </w:r>
    </w:p>
    <w:p>
      <w:pPr>
        <w:pStyle w:val="Normal"/>
      </w:pPr>
      <w:r>
        <w:t xml:space="preserve">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pPr>
      <w:r>
        <w:t xml:space="preserve">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pPr>
      <w:r>
        <w:t xml:space="preserve">In any case, reasons the same apostle, we are not to “judge the law,” for “there is one lawgiver and judge, he who is able to save and to destroy.” James 4:11, 12.</w:t>
      </w:r>
    </w:p>
    <w:p>
      <w:pPr>
        <w:pStyle w:val="Normal"/>
      </w:pPr>
      <w:r>
        <w:t xml:space="preserve">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pPr>
      <w:r>
        <w:t xml:space="preserve">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pPr>
      <w:r>
        <w:t xml:space="preserve">Thus the New Covenant brings a deeper, truer obedience. Such obedience, rather than abolishing the Law, establishes it. Exclaimed the apostle Paul: “Do we then overthrow the law by this faith? By no means! On the contrary, we uphold the law.” Romans 3:31.</w:t>
      </w:r>
    </w:p>
    <w:p>
      <w:pPr>
        <w:pStyle w:val="Normal"/>
      </w:pPr>
      <w:r>
        <w:t xml:space="preserve">The Two Laws</w:t>
      </w:r>
    </w:p>
    <w:p>
      <w:pPr>
        <w:pStyle w:val="Normal"/>
      </w:pPr>
      <w:r>
        <w:t xml:space="preserve">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pPr>
      <w:r>
        <w:t xml:space="preserve">The New Testament story makes only one allusion to a time when “shadow” met “substance,” and that was in connection with the crucifixion: “And behold, the curtain of the temple was torn in two, from top to bottom.” Matthew 27:51.</w:t>
      </w:r>
    </w:p>
    <w:p>
      <w:pPr>
        <w:pStyle w:val="Normal"/>
      </w:pPr>
      <w:r>
        <w:t xml:space="preserve">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pPr>
      <w:r>
        <w:t xml:space="preserve">Had not the prophet Daniel predicted this development? The death of the Messiah was to cause sacrifices and offerings to cease. See Daniel 9:27.</w:t>
      </w:r>
    </w:p>
    <w:p>
      <w:pPr>
        <w:pStyle w:val="Normal"/>
      </w:pPr>
      <w:r>
        <w:t xml:space="preserve">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pPr>
      <w:r>
        <w:t xml:space="preserve">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pPr>
      <w:r>
        <w:t xml:space="preserve">The Law that was abolished, then, was the law that related to the sacrifices. Paul says this again in different terms: “by abolishing in his [Christ’s] flesh the law of commandments and ordinances.” Ephesians 2:15.</w:t>
      </w:r>
    </w:p>
    <w:p>
      <w:pPr>
        <w:pStyle w:val="Normal"/>
      </w:pPr>
      <w:r>
        <w:t xml:space="preserve">Therefore, two very different sets of laws existed in Israel: the ceremonial law, with a transitory, relative character; and the moral law, with an abiding validity, serving as an absolute standard.</w:t>
      </w:r>
    </w:p>
    <w:p>
      <w:pPr>
        <w:pStyle w:val="Normal"/>
      </w:pPr>
      <w:r>
        <w:t xml:space="preserve">Thus, if in the writings of Paul one gathers the impression that at times the law is abolished and, at other times, the Law is maintained, one is not to see a contradiction, but rather the existence of two very distinct laws.202</w:t>
      </w:r>
    </w:p>
    <w:p>
      <w:pPr>
        <w:pStyle w:val="Normal"/>
      </w:pPr>
      <w:r>
        <w:t xml:space="preserve">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pPr>
      <w:r>
        <w:t xml:space="preserve">1. The Decalogue had been written by God (Deuteronomy 10:4), while the ceremonial law was outlined by Moses (Deuteronomy 31:9, 24).</w:t>
      </w:r>
    </w:p>
    <w:p>
      <w:pPr>
        <w:pStyle w:val="Normal"/>
      </w:pPr>
      <w:r>
        <w:t xml:space="preserve">2. The Decalogue was graven on tables of stone - an imperishable material (Deuteronomy 10:3), while the ceremonial law had been written in a book - a perishable material (Deuteronomy 31:24).</w:t>
      </w:r>
    </w:p>
    <w:p>
      <w:pPr>
        <w:pStyle w:val="Normal"/>
      </w:pPr>
      <w:r>
        <w:t xml:space="preserve">3. The Decalogue was entrusted by God to Moses, who himself placed it in the ark (Deuteronomy 10:5), while the ceremonial law was entrusted by Moses to the priests, who, in turn, placed it alongside the ark (Deuteronomy 31:26).</w:t>
      </w:r>
    </w:p>
    <w:p>
      <w:pPr>
        <w:pStyle w:val="Normal"/>
      </w:pPr>
      <w:r>
        <w:t xml:space="preserve">The ceremonial law, temporary and relative, was in contrast with the Law of the Ten Commandments, which was eternal and absolute.</w:t>
      </w:r>
    </w:p>
    <w:p>
      <w:pPr>
        <w:pStyle w:val="Normal"/>
      </w:pPr>
      <w:r>
        <w:t xml:space="preserve">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pPr>
      <w:r>
        <w:t xml:space="preserve">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pPr>
      <w:r>
        <w:t xml:space="preserve">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pPr>
      <w:r>
        <w:t xml:space="preserve">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pPr>
      <w:r>
        <w:t xml:space="preserve">In any case, the future seemed to justify the majority, since, with the destruction of the temple, Judaism was obliged to adapt its worship forms to changed circumstances. For instance, a prayer could correspond to the sacrifice of an animal.205</w:t>
      </w:r>
    </w:p>
    <w:p>
      <w:pPr>
        <w:pStyle w:val="Normal"/>
      </w:pPr>
      <w:r>
        <w:t xml:space="preserve">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pPr>
      <w:r>
        <w:t xml:space="preserve">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pPr>
      <w:r>
        <w:t xml:space="preserve">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pPr>
      <w:r>
        <w:t xml:space="preserve">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p>
    <w:p>
      <w:bookmarkStart w:id="22" w:name="Chapter_8"/>
      <w:bookmarkStart w:id="23" w:name="Top_of_part0013_xhtml"/>
      <w:pPr>
        <w:pStyle w:val="Para 01"/>
        <w:pageBreakBefore w:val="on"/>
      </w:pPr>
      <w:r>
        <w:t xml:space="preserve">Epilogo 8</w:t>
      </w:r>
      <w:bookmarkEnd w:id="22"/>
      <w:bookmarkEnd w:id="23"/>
    </w:p>
    <w:p>
      <w:pPr>
        <w:pStyle w:val="Para 04"/>
      </w:pPr>
      <w:r>
        <w:t xml:space="preserve">The Misunderstanding of the Crucifixion</w:t>
      </w:r>
    </w:p>
    <w:p>
      <w:pPr>
        <w:pStyle w:val="Para 03"/>
      </w:pPr>
      <w:r>
        <w:t xml:space="preserve">“We need constantly to exorcize our history.” - Andre Chamson.</w:t>
      </w:r>
    </w:p>
    <w:p>
      <w:pPr>
        <w:pStyle w:val="Normal"/>
      </w:pPr>
      <w:r>
        <w:t xml:space="preserve">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pPr>
      <w:r>
        <w:t xml:space="preserve">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pPr>
      <w:r>
        <w:t xml:space="preserve">“He [Jesus] left there and went to the region of Judea and beyond the Jordan, and crowds gathered to him again; and again, as his custom was, he taught them.” Mark 10:1.</w:t>
      </w:r>
    </w:p>
    <w:p>
      <w:pPr>
        <w:pStyle w:val="Normal"/>
      </w:pPr>
      <w:r>
        <w:t xml:space="preserve">“All the people [in Judea] hung upon his words.” Luke 19:48.</w:t>
      </w:r>
    </w:p>
    <w:p>
      <w:pPr>
        <w:pStyle w:val="Normal"/>
      </w:pPr>
      <w:r>
        <w:t xml:space="preserve">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pPr>
      <w:r>
        <w:t xml:space="preserve">Father Lagrange recognizes this: “Right up to the Passion week, the esteem of the crowd for Jesus never failed. ‘208</w:t>
      </w:r>
    </w:p>
    <w:p>
      <w:pPr>
        <w:pStyle w:val="Normal"/>
      </w:pPr>
      <w:r>
        <w:t xml:space="preserve">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pPr>
      <w:r>
        <w:t xml:space="preserve">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pPr>
      <w:r>
        <w:t xml:space="preserve">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pPr>
      <w:r>
        <w:t xml:space="preserve">Now, if the priests felt compelled to resort to such subterfuge, it was due to their fear of the people, whose fondness for Jesus was evident and had to be taken into account.</w:t>
      </w:r>
    </w:p>
    <w:p>
      <w:pPr>
        <w:pStyle w:val="Normal"/>
      </w:pPr>
      <w:r>
        <w:t xml:space="preserve">Consequently, those who shouted “Crucify Him!” could not have been, barring a few exceptions, the same people as those feared by the priests.</w:t>
      </w:r>
    </w:p>
    <w:p>
      <w:pPr>
        <w:pStyle w:val="Normal"/>
      </w:pPr>
      <w:r>
        <w:t xml:space="preserve">But who, then, could have made up the throng that crowded into the praetorium?</w:t>
      </w:r>
    </w:p>
    <w:p>
      <w:pPr>
        <w:pStyle w:val="Normal"/>
      </w:pPr>
      <w:r>
        <w:t xml:space="preserve">Who Did the Shouting?</w:t>
      </w:r>
    </w:p>
    <w:p>
      <w:pPr>
        <w:pStyle w:val="Normal"/>
      </w:pPr>
      <w:r>
        <w:t xml:space="preserve">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pPr>
      <w:r>
        <w:t xml:space="preserve">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pPr>
      <w:r>
        <w:t xml:space="preserve">Unconsciously or with cowardice, indifferent or without an opinion, the people who assembled followed the suggestions spoken by the priests; these leaders knew what they were doing and what they wanted.</w:t>
      </w:r>
    </w:p>
    <w:p>
      <w:pPr>
        <w:pStyle w:val="Normal"/>
      </w:pPr>
      <w:r>
        <w:t xml:space="preserve">The Priests. Indeed, the priests led out in this whole matter. They arrested Jesus and incited the people to shout “Crucify him!” Mark 15:11.</w:t>
      </w:r>
    </w:p>
    <w:p>
      <w:pPr>
        <w:pStyle w:val="Normal"/>
      </w:pPr>
      <w:r>
        <w:t xml:space="preserve">According to the apostle John, who was present at the event, the call to “crucify him” came only from the priests. Wrote John: “When the chief priests and the officers saw him, they cried out, ‘Crucify him, crucify him!’ “211</w:t>
      </w:r>
    </w:p>
    <w:p>
      <w:pPr>
        <w:pStyle w:val="Normal"/>
      </w:pPr>
      <w:r>
        <w:t xml:space="preserve">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pPr>
      <w:r>
        <w:t xml:space="preserve">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pPr>
      <w:r>
        <w:t xml:space="preserve">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pPr>
      <w:r>
        <w:t xml:space="preserve">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pPr>
      <w:r>
        <w:t xml:space="preserve">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pPr>
      <w:r>
        <w:t xml:space="preserve">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pPr>
      <w:r>
        <w:t xml:space="preserve">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pPr>
      <w:r>
        <w:t xml:space="preserve">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pPr>
      <w:r>
        <w:t xml:space="preserve">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pPr>
      <w:r>
        <w:t xml:space="preserve">Who Is Responsible?</w:t>
      </w:r>
    </w:p>
    <w:p>
      <w:pPr>
        <w:pStyle w:val="Normal"/>
      </w:pPr>
      <w:r>
        <w:t xml:space="preserve">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pPr>
      <w:r>
        <w:t xml:space="preserve">All this was easier to do because the only favorable testimony given to the accused was offered by the blood-thirsty Pontius Pilate, whose word had absolutely no credence.217</w:t>
      </w:r>
    </w:p>
    <w:p>
      <w:pPr>
        <w:pStyle w:val="Normal"/>
      </w:pPr>
      <w:r>
        <w:t xml:space="preserve">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pPr>
      <w:r>
        <w:t xml:space="preserve">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pPr>
      <w:r>
        <w:t xml:space="preserve">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pPr>
      <w:r>
        <w:t xml:space="preserve">The Christians knew the stark facts of the situation, but they remained silent. Were they not, in a sense, more guilty than all the others?</w:t>
      </w:r>
    </w:p>
    <w:p>
      <w:pPr>
        <w:pStyle w:val="Normal"/>
      </w:pPr>
      <w:r>
        <w:t xml:space="preserve">Yet, can one really hold this against them? What would we have done in their place? They, too, were overrun by fast-moving events. Confused, they decided to be prudent at all costs.</w:t>
      </w:r>
    </w:p>
    <w:p>
      <w:pPr>
        <w:pStyle w:val="Normal"/>
      </w:pPr>
      <w:r>
        <w:t xml:space="preserve">Be that as it may, their silence, however rationalized, certainly cost the life of Jesus.</w:t>
      </w:r>
    </w:p>
    <w:p>
      <w:pPr>
        <w:pStyle w:val="Normal"/>
      </w:pPr>
      <w:r>
        <w:t xml:space="preserve">The Passersby. Still others must be assigned a part in this fatal guilt: the many Romans and Jews, civilians and soldiers, who passed by that day.</w:t>
      </w:r>
    </w:p>
    <w:p>
      <w:pPr>
        <w:pStyle w:val="Normal"/>
      </w:pPr>
      <w:r>
        <w:t xml:space="preserve">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pPr>
      <w:r>
        <w:t xml:space="preserve">A Misunderstanding. Even they who clamored for the death penalty cannot be seriously incriminated. Here we encounter yet another misunderstanding, appearing when a choice is offered between the release of Barabbas and that of Jesus.</w:t>
      </w:r>
    </w:p>
    <w:p>
      <w:pPr>
        <w:pStyle w:val="Normal"/>
      </w:pPr>
      <w:r>
        <w:t xml:space="preserve">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pPr>
      <w:r>
        <w:t xml:space="preserve">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pPr>
      <w:r>
        <w:t xml:space="preserve">Mark records this: “The chief priests and the scribes heard it and sought a way to destroy him; for they feared him, because all the multitude was astonished at his teaching.” Mark 11:18.</w:t>
      </w:r>
    </w:p>
    <w:p>
      <w:pPr>
        <w:pStyle w:val="Normal"/>
      </w:pPr>
      <w:r>
        <w:t xml:space="preserve">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pPr>
      <w:r>
        <w:t xml:space="preserve">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pPr>
      <w:r>
        <w:t xml:space="preserve">But all this cunning in argument must not fool anyone. It remained a cover-up for vile baseness, of which the record says, “He [Pilate] perceived that it was out of envy that the chief priests had delivered him up. ” Mark 15:10, R.S.V. cf. Matthew 27:18.</w:t>
      </w:r>
    </w:p>
    <w:p>
      <w:pPr>
        <w:pStyle w:val="Normal"/>
      </w:pPr>
      <w:r>
        <w:t xml:space="preserve">The priests alone worked actively to insure the crucifixion of Jesus. The multitude was either passive or ignorant.</w:t>
      </w:r>
    </w:p>
    <w:p>
      <w:pPr>
        <w:pStyle w:val="Normal"/>
      </w:pPr>
      <w:r>
        <w:t xml:space="preserve">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pPr>
      <w:r>
        <w:t xml:space="preserve">Even the lowest-ranked soldier of Rome at the scene could hardly claim innocence. The duty to obey does not justify a crime. And war crimes are still crimes - even the worst kind - for they are committed with a clear conscience.</w:t>
      </w:r>
    </w:p>
    <w:p>
      <w:pPr>
        <w:pStyle w:val="Normal"/>
      </w:pPr>
      <w:r>
        <w:t xml:space="preserve">In fact, some historians see in the crucifixion of Jesus capital punishment in the name of Roman obedience. The manner in which Jesus was mishandled, put to death, and buried shows that the case was chiefly of Rome’s jurisdiction.220</w:t>
      </w:r>
    </w:p>
    <w:p>
      <w:pPr>
        <w:pStyle w:val="Normal"/>
      </w:pPr>
      <w:r>
        <w:t xml:space="preserve">The Gospel of History</w:t>
      </w:r>
    </w:p>
    <w:p>
      <w:pPr>
        <w:pStyle w:val="Normal"/>
      </w:pPr>
      <w:r>
        <w:t xml:space="preserve">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pPr>
      <w:r>
        <w:t xml:space="preserve">Would it not be well, then, to conclude our ridiculous inquest regarding the possible guilt or innocence of all these participants? The crucifixion tragedy involves too many misunderstandings for anyone to be totally absolved.</w:t>
      </w:r>
    </w:p>
    <w:p>
      <w:pPr>
        <w:pStyle w:val="Normal"/>
      </w:pPr>
      <w:r>
        <w:t xml:space="preserve">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pPr>
      <w:r>
        <w:t xml:space="preserve">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pPr>
      <w:r>
        <w:t xml:space="preserve">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pPr>
      <w:r>
        <w:t xml:space="preserve">We - all of us - are responsible for the death of Christ.</w:t>
      </w:r>
    </w:p>
    <w:p>
      <w:bookmarkStart w:id="24" w:name="Top_of_part0014_xhtml"/>
      <w:bookmarkStart w:id="25" w:name="Chapter_9"/>
      <w:pPr>
        <w:pStyle w:val="Para 01"/>
        <w:pageBreakBefore w:val="on"/>
      </w:pPr>
      <w:r>
        <w:t xml:space="preserve">Capítulo 9</w:t>
      </w:r>
      <w:bookmarkEnd w:id="24"/>
      <w:bookmarkEnd w:id="25"/>
    </w:p>
    <w:p>
      <w:pPr>
        <w:pStyle w:val="Para 04"/>
      </w:pPr>
      <w:r>
        <w:t xml:space="preserve">Betrayal and Conversion</w:t>
      </w:r>
    </w:p>
    <w:p>
      <w:pPr>
        <w:pStyle w:val="Para 03"/>
      </w:pPr>
      <w:r>
        <w:t xml:space="preserve">“Christians set themselves between the Messiah and the Jews, hiding from the latter the authentic image of the Savior.” - Nicolai Berdyaev.</w:t>
      </w:r>
    </w:p>
    <w:p>
      <w:pPr>
        <w:pStyle w:val="Normal"/>
      </w:pPr>
      <w:r>
        <w:t xml:space="preserve">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pPr>
      <w:r>
        <w:t xml:space="preserve">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pPr>
      <w:r>
        <w:t xml:space="preserve">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pPr>
      <w:r>
        <w:t xml:space="preserve">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pPr>
      <w:r>
        <w:t xml:space="preserve">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pPr>
      <w:r>
        <w:t xml:space="preserve">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pPr>
      <w:r>
        <w:t xml:space="preserve">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pPr>
      <w:r>
        <w:t xml:space="preserve">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pPr>
      <w:r>
        <w:t xml:space="preserve">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pPr>
      <w:r>
        <w:t xml:space="preserve">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pPr>
      <w:r>
        <w:t xml:space="preserve">Did the Jews rest on the Sabbath? Sunday was chosen to replace it. An attempt was even made to change the date of Passover (Easter) so that the Christian celebration would not coincide with the Jewish.</w:t>
      </w:r>
    </w:p>
    <w:p>
      <w:pPr>
        <w:pStyle w:val="Normal"/>
      </w:pPr>
      <w:r>
        <w:t xml:space="preserve">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pPr>
      <w:r>
        <w:t xml:space="preserve">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pPr>
      <w:r>
        <w:t xml:space="preserve">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pPr>
      <w:r>
        <w:t xml:space="preserve">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pPr>
      <w:r>
        <w:t xml:space="preserve">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pPr>
      <w:r>
        <w:t xml:space="preserve">After all that, to ask a Jew today to be converted to Christianity really means to ask him to deny his identity, to betray his own people and his God.</w:t>
      </w:r>
    </w:p>
    <w:p>
      <w:pPr>
        <w:pStyle w:val="Normal"/>
      </w:pPr>
      <w:r>
        <w:t xml:space="preserve">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pPr>
      <w:r>
        <w:t xml:space="preserve">But times changed. Christianity rid itself of everything that might recall its Jewish origins; in so doing, it lost its true identity.</w:t>
      </w:r>
    </w:p>
    <w:p>
      <w:pPr>
        <w:pStyle w:val="Normal"/>
      </w:pPr>
      <w:r>
        <w:t xml:space="preserve">In fact, whenever Christianity undertakes to exorcize everything Jewish about its origins and its doctrine, the danger must be seen that the flower of Israel, Jesus Christ Himself, will also disappear. But what is Christianity without the Christ?</w:t>
      </w:r>
    </w:p>
    <w:p>
      <w:pPr>
        <w:pStyle w:val="Normal"/>
      </w:pPr>
      <w:r>
        <w:t xml:space="preserve">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pPr>
      <w:r>
        <w:t xml:space="preserve">Do Christians read the Bible? Then the Jew will emphasize the tradition - its Talmud.</w:t>
      </w:r>
    </w:p>
    <w:p>
      <w:pPr>
        <w:pStyle w:val="Normal"/>
      </w:pPr>
      <w:r>
        <w:t xml:space="preserve">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pPr>
      <w:r>
        <w:t xml:space="preserve">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pPr>
      <w:r>
        <w:t xml:space="preserve">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pPr>
      <w:r>
        <w:t xml:space="preserve">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pPr>
      <w:r>
        <w:t xml:space="preserve">Hemmed in by suffering and humiliation, the Jew has cast himself in the role of a reactor. This became his state of being, though little has he realized to what extent he thereby has risked the loss of liberty and his own real identity.</w:t>
      </w:r>
    </w:p>
    <w:p>
      <w:pPr>
        <w:pStyle w:val="Normal"/>
      </w:pPr>
      <w:r>
        <w:t xml:space="preserve">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pPr>
      <w:r>
        <w:t xml:space="preserve">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pPr>
      <w:r>
        <w:t xml:space="preserve">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pPr>
      <w:r>
        <w:t xml:space="preserve">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pPr>
      <w:r>
        <w:t xml:space="preserve">Such a dream seems almost a fantasy.</w:t>
      </w:r>
    </w:p>
    <w:p>
      <w:pPr>
        <w:pStyle w:val="Normal"/>
      </w:pPr>
      <w:r>
        <w:t xml:space="preserve">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pPr>
      <w:r>
        <w:t xml:space="preserve">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p>
    <w:p>
      <w:bookmarkStart w:id="26" w:name="Chapter_10"/>
      <w:bookmarkStart w:id="27" w:name="Top_of_part0015_xhtml"/>
      <w:pPr>
        <w:pStyle w:val="Para 01"/>
        <w:pageBreakBefore w:val="on"/>
      </w:pPr>
      <w:r>
        <w:t xml:space="preserve">Capítulo 10</w:t>
      </w:r>
      <w:bookmarkEnd w:id="26"/>
      <w:bookmarkEnd w:id="27"/>
    </w:p>
    <w:p>
      <w:pPr>
        <w:pStyle w:val="Para 04"/>
      </w:pPr>
      <w:r>
        <w:t xml:space="preserve">Bebendo nas Fontes</w:t>
      </w:r>
    </w:p>
    <w:p>
      <w:pPr>
        <w:pStyle w:val="Para 03"/>
      </w:pPr>
      <w:r>
        <w:t xml:space="preserve">Today more than ever we have need of a norm centered outside ourselves. Pressed from all sides, people are bewildered, hardly knowing to what saint to pray - if any!</w:t>
      </w:r>
    </w:p>
    <w:p>
      <w:pPr>
        <w:pStyle w:val="Normal"/>
      </w:pPr>
      <w:r>
        <w:t xml:space="preserve">Charlatans and quacks abound, while age-old superstitions, paradoxically, are gaining ground among so-called advanced and open-minded people. Psychics in growing numbers offer their services to a credulous, unsuspecting public.</w:t>
      </w:r>
    </w:p>
    <w:p>
      <w:pPr>
        <w:pStyle w:val="Normal"/>
      </w:pPr>
      <w:r>
        <w:t xml:space="preserve">New religions appear regularly in the religious marketplace, all claiming to possess the one and only “truth.”</w:t>
      </w:r>
    </w:p>
    <w:p>
      <w:pPr>
        <w:pStyle w:val="Normal"/>
      </w:pPr>
      <w:r>
        <w:t xml:space="preserve">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pPr>
      <w:r>
        <w:t xml:space="preserve">Some self-styled Christ occasionally appears, claiming to be a reincarnation of Jesus of Nazareth. All of them proclaim, of course, with endless arguments and fire in their voices, that they alone are God’s true messengers.</w:t>
      </w:r>
    </w:p>
    <w:p>
      <w:pPr>
        <w:pStyle w:val="Normal"/>
      </w:pPr>
      <w:r>
        <w:t xml:space="preserve">On the other hand, certain humanistic philosophies are set forth, such as socialism, Marxism, and existentialism. Here, they say, at long last, is found the key to happiness and the solution to our problems.</w:t>
      </w:r>
    </w:p>
    <w:p>
      <w:pPr>
        <w:pStyle w:val="Normal"/>
      </w:pPr>
      <w:r>
        <w:t xml:space="preserve">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pPr>
      <w:r>
        <w:t xml:space="preserve">It is not astonishing, then, that truth today can charm so many pretenders for her hand, and that so much confusion troubles people’s minds.</w:t>
      </w:r>
    </w:p>
    <w:p>
      <w:pPr>
        <w:pStyle w:val="Normal"/>
      </w:pPr>
      <w:r>
        <w:t xml:space="preserve">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pPr>
      <w:r>
        <w:t xml:space="preserve">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pPr>
      <w:r>
        <w:t xml:space="preserve">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pPr>
      <w:r>
        <w:t xml:space="preserve">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pPr>
      <w:r>
        <w:t xml:space="preserve">But what about that vast concourse of people who, without spiritual preoccupations, think only of material success, amusement, and food? Such have set up a life-style in their ignorance; they have lost the truly human outlook.</w:t>
      </w:r>
    </w:p>
    <w:p>
      <w:pPr>
        <w:pStyle w:val="Normal"/>
      </w:pPr>
      <w:r>
        <w:t xml:space="preserve">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pPr>
      <w:r>
        <w:t xml:space="preserve">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pPr>
      <w:r>
        <w:t xml:space="preserve">Bitter Water</w:t>
      </w:r>
    </w:p>
    <w:p>
      <w:pPr>
        <w:pStyle w:val="Normal"/>
      </w:pPr>
      <w:r>
        <w:t xml:space="preserve">“Many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pPr>
      <w:r>
        <w:t xml:space="preserve">One must not run, then, the risk of missing the point by the use of diplomatic, vague words. With a view to edifying and to getting results, one must be categorically clear.</w:t>
      </w:r>
    </w:p>
    <w:p>
      <w:pPr>
        <w:pStyle w:val="Normal"/>
      </w:pPr>
      <w:r>
        <w:t xml:space="preserve">Of course, a presentation such as this cannot hope to be exhaustive. Only a starting point can be indicated, from which the reader can go on to a personal judgment.</w:t>
      </w:r>
    </w:p>
    <w:p>
      <w:pPr>
        <w:pStyle w:val="Normal"/>
      </w:pPr>
      <w:r>
        <w:t xml:space="preserve">The Duty of the Christian. First of all, the honest Christian is duty-bound to recognize the existence and the horror of antiSemitism and to measure the weight of its dire consequences.</w:t>
      </w:r>
    </w:p>
    <w:p>
      <w:pPr>
        <w:pStyle w:val="Normal"/>
      </w:pPr>
      <w:r>
        <w:t xml:space="preserve">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pPr>
      <w:r>
        <w:t xml:space="preserve">The Christian must be sure, too, not to mask the nature of his feelings toward Israel after all, when they take on a political hue. It is not fashionable today, after Auschwitz, to be anti-Semitic.</w:t>
      </w:r>
    </w:p>
    <w:p>
      <w:pPr>
        <w:pStyle w:val="Normal"/>
      </w:pPr>
      <w:r>
        <w:t xml:space="preserve">Basically, the Christian must begin with a goodwill effort, Admission of a personal and historical problem is halfway to success.</w:t>
      </w:r>
    </w:p>
    <w:p>
      <w:pPr>
        <w:pStyle w:val="Normal"/>
      </w:pPr>
      <w:r>
        <w:t xml:space="preserve">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pPr>
      <w:r>
        <w:t xml:space="preserve">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pPr>
      <w:r>
        <w:t xml:space="preserve">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pPr>
      <w:r>
        <w:t xml:space="preserve">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pPr>
      <w:r>
        <w:t xml:space="preserve">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pPr>
      <w:r>
        <w:t xml:space="preserve">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pPr>
      <w:r>
        <w:t xml:space="preserve">Christians must recognize once and for all, as did Vatican II, that it is “a theological, historical, and juridical error to hold the Jewish people responsible for the suffering and death of Jesus Christ.“231</w:t>
      </w:r>
    </w:p>
    <w:p>
      <w:pPr>
        <w:pStyle w:val="Normal"/>
      </w:pPr>
      <w:r>
        <w:t xml:space="preserve">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pPr>
      <w:r>
        <w:t xml:space="preserve">The Duty of the Jew. Two dangers lie in wait for the Jew.</w:t>
      </w:r>
    </w:p>
    <w:p>
      <w:pPr>
        <w:pStyle w:val="Normal"/>
      </w:pPr>
      <w:r>
        <w:t xml:space="preserve">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pPr>
      <w:r>
        <w:t xml:space="preserve">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pPr>
      <w:r>
        <w:t xml:space="preserve">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pPr>
      <w:r>
        <w:t xml:space="preserve">On the other hand, deliberately to join his persecutors in perpetuating hatred and disdain is to opt for the easy exit, to hide a frustrating complex, and, in any case, to be lacking in objectivity.</w:t>
      </w:r>
    </w:p>
    <w:p>
      <w:pPr>
        <w:pStyle w:val="Normal"/>
      </w:pPr>
      <w:r>
        <w:t xml:space="preserve">When the Jew refuses to be ashamed of being a Jew and is no longer content to remain ignorant regarding his own culture, only then will he fully appreciate its value and particular genius; only then will he be proud of being a Jew.</w:t>
      </w:r>
    </w:p>
    <w:p>
      <w:pPr>
        <w:pStyle w:val="Normal"/>
      </w:pPr>
      <w:r>
        <w:t xml:space="preserve">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pPr>
      <w:r>
        <w:t xml:space="preserve">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pPr>
      <w:r>
        <w:t xml:space="preserve">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pPr>
      <w:r>
        <w:t xml:space="preserve">The Jew must not allow himself to be carried off by blind reaction; rather the wise do well to take advantage of values wherever found, despite any distaste that might be inspired by the truth-bearer.</w:t>
      </w:r>
    </w:p>
    <w:p>
      <w:pPr>
        <w:pStyle w:val="Normal"/>
      </w:pPr>
      <w:r>
        <w:t xml:space="preserve">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pPr>
      <w:r>
        <w:t xml:space="preserve">In Search of a Dialogue</w:t>
      </w:r>
    </w:p>
    <w:p>
      <w:pPr>
        <w:pStyle w:val="Normal"/>
      </w:pPr>
      <w:r>
        <w:t xml:space="preserve">When one becomes aware of all the obstacles, one is tempted to settle for pessimism or for a superficial, noncommittal encounter. And this is why we must now stake out a path toward authentic dialogue.234</w:t>
      </w:r>
    </w:p>
    <w:p>
      <w:pPr>
        <w:pStyle w:val="Normal"/>
      </w:pPr>
      <w:r>
        <w:t xml:space="preserve">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pPr>
      <w:r>
        <w:t xml:space="preserve">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pPr>
      <w:r>
        <w:t xml:space="preserve">He who pretends to be rich and in need of nothing is condemned in prophetic terms to be “wretched, pitiable, poor, blind, and naked. ” Revelation 3:17.</w:t>
      </w:r>
    </w:p>
    <w:p>
      <w:pPr>
        <w:pStyle w:val="Normal"/>
      </w:pPr>
      <w:r>
        <w:t xml:space="preserve">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pPr>
      <w:r>
        <w:t xml:space="preserve">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pPr>
      <w:r>
        <w:t xml:space="preserve">For our purposes, that norm would be spiritual in character, implying the element of divine revelation. Is not the purpose of the vertical relationship to make more effective this horizontal relationship?</w:t>
      </w:r>
    </w:p>
    <w:p>
      <w:pPr>
        <w:pStyle w:val="Normal"/>
      </w:pPr>
      <w:r>
        <w:t xml:space="preserve">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p>
    <w:p>
      <w:bookmarkStart w:id="28" w:name="Top_of_part0016_xhtml"/>
      <w:bookmarkStart w:id="29" w:name="Chapter_11"/>
      <w:pPr>
        <w:pStyle w:val="Para 01"/>
        <w:pageBreakBefore w:val="on"/>
      </w:pPr>
      <w:r>
        <w:t xml:space="preserve">Capítulo 11</w:t>
      </w:r>
      <w:bookmarkEnd w:id="28"/>
      <w:bookmarkEnd w:id="29"/>
    </w:p>
    <w:p>
      <w:pPr>
        <w:pStyle w:val="Para 04"/>
      </w:pPr>
      <w:r>
        <w:t xml:space="preserve">Mixed Waters</w:t>
      </w:r>
    </w:p>
    <w:p>
      <w:pPr>
        <w:pStyle w:val="Para 03"/>
      </w:pPr>
      <w:r>
        <w:t xml:space="preserve">“What do you gain by going to Egypt, to drink the waters of the Nile? Or what do you gain by going to Assyria, to drink the waters of the Euphrates?” Jeremiah 2:18.</w:t>
      </w:r>
    </w:p>
    <w:p>
      <w:pPr>
        <w:pStyle w:val="Normal"/>
      </w:pPr>
      <w:r>
        <w:t xml:space="preserve">It is very simple to take a forthright position regarding the empoisoned beverage known as racism (in all its forms). But to determine one’s attitude on that amazing and tortuous stream the centuries have come to call “tradition” is another matter.</w:t>
      </w:r>
    </w:p>
    <w:p>
      <w:pPr>
        <w:pStyle w:val="Normal"/>
      </w:pPr>
      <w:r>
        <w:t xml:space="preserve">Yet tradition gives character and grace to the countryside. To tradition we owe the genius of cultures. To ignore tradition is to sacrifice some very essential values.</w:t>
      </w:r>
    </w:p>
    <w:p>
      <w:pPr>
        <w:pStyle w:val="Normal"/>
      </w:pPr>
      <w:r>
        <w:t xml:space="preserve">Indeed, the study of tradition reveals profound wisdom and genuine piety. It must be consulted if we are to understand revealed truth with its historical and prophetic implications.</w:t>
      </w:r>
    </w:p>
    <w:p>
      <w:pPr>
        <w:pStyle w:val="Normal"/>
      </w:pPr>
      <w:r>
        <w:t xml:space="preserve">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pPr>
      <w:r>
        <w:t xml:space="preserve">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pPr>
      <w:r>
        <w:t xml:space="preserve">Tradition by Itself</w:t>
      </w:r>
    </w:p>
    <w:p>
      <w:pPr>
        <w:pStyle w:val="Normal"/>
      </w:pPr>
      <w:r>
        <w:t xml:space="preserve">The rabbis, like the Church fathers, have referred to a double tradition: written and oral, both complementing each other.</w:t>
      </w:r>
    </w:p>
    <w:p>
      <w:pPr>
        <w:pStyle w:val="Normal"/>
      </w:pPr>
      <w:r>
        <w:t xml:space="preserve">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pPr>
      <w:r>
        <w:t xml:space="preserve">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pPr>
      <w:r>
        <w:t xml:space="preserve">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pPr>
      <w:r>
        <w:t xml:space="preserve">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pPr>
      <w:r>
        <w:t xml:space="preserve">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pPr>
      <w:r>
        <w:t xml:space="preserve">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pPr>
      <w:r>
        <w:t xml:space="preserve">Tradition certainly deserves our respect and attention; but to what extent can it be considered a norm of reference, since it recognizes itself to be essentially of human inspiration?</w:t>
      </w:r>
    </w:p>
    <w:p>
      <w:pPr>
        <w:pStyle w:val="Normal"/>
      </w:pPr>
      <w:r>
        <w:t xml:space="preserve">A Normative Example</w:t>
      </w:r>
    </w:p>
    <w:p>
      <w:pPr>
        <w:pStyle w:val="Normal"/>
      </w:pPr>
      <w:r>
        <w:t xml:space="preserve">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pPr>
      <w:r>
        <w:t xml:space="preserve">“The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pPr>
      <w:r>
        <w:t xml:space="preserve">“The dead do not praise the Lord, nor do any that go down into silence.” Psalm 115:17. “The… Lord of lords… alone has immortality.” 1 Timothy 6:15, 16.</w:t>
      </w:r>
    </w:p>
    <w:p>
      <w:pPr>
        <w:pStyle w:val="Normal"/>
      </w:pPr>
      <w:r>
        <w:t xml:space="preserve">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pPr>
      <w:r>
        <w:t xml:space="preserve">The Christian theologian R. de Pury is just as categorical: “The Bible, on which must be based our preaching, has nowhere the smallest trace of a belief in the immortality of the soul.“243</w:t>
      </w:r>
    </w:p>
    <w:p>
      <w:pPr>
        <w:pStyle w:val="Normal"/>
      </w:pPr>
      <w:r>
        <w:t xml:space="preserve">How is it, then, that this idea came to exist in most Bible-based religions?</w:t>
      </w:r>
    </w:p>
    <w:p>
      <w:pPr>
        <w:pStyle w:val="Normal"/>
      </w:pPr>
      <w:r>
        <w:t xml:space="preserve">For the Jewish Encyclopedia there is no doubt: “Belief in the immortality of the soul came to the Jews after their contact with Greek thought, particularly through Plato’s philosophy, its principal representative.“244</w:t>
      </w:r>
    </w:p>
    <w:p>
      <w:pPr>
        <w:pStyle w:val="Normal"/>
      </w:pPr>
      <w:r>
        <w:t xml:space="preserve">The Christian theologian Andre Lamorte echoes this same opinion. Denying the biblical origin of this doctrine, he calls the concept of the immortality of the soul “a pagan idea and more exactly Platonian.“245</w:t>
      </w:r>
    </w:p>
    <w:p>
      <w:pPr>
        <w:pStyle w:val="Normal"/>
      </w:pPr>
      <w:r>
        <w:t xml:space="preserve">A new belief was thus added to the creed of many religions. Do we find</w:t>
      </w:r>
    </w:p>
    <w:p>
      <w:pPr>
        <w:pStyle w:val="Normal"/>
      </w:pPr>
      <w:r>
        <w:t xml:space="preserve">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pPr>
      <w:r>
        <w:t xml:space="preserve">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pPr>
      <w:r>
        <w:t xml:space="preserve">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pPr>
      <w:r>
        <w:t xml:space="preserve">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pPr>
      <w:r>
        <w:t xml:space="preserve">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pPr>
      <w:r>
        <w:t xml:space="preserve">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pPr>
      <w:r>
        <w:t xml:space="preserve">“A house divided against itself cannot survive.” Let each one decide, then, for himself.</w:t>
      </w:r>
    </w:p>
    <w:p>
      <w:pPr>
        <w:pStyle w:val="Normal"/>
      </w:pPr>
      <w:r>
        <w:t xml:space="preserve">The Lessons</w:t>
      </w:r>
    </w:p>
    <w:p>
      <w:pPr>
        <w:pStyle w:val="Normal"/>
      </w:pPr>
      <w:r>
        <w:t xml:space="preserve">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pPr>
      <w:r>
        <w:t xml:space="preserve">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pPr>
      <w:r>
        <w:t xml:space="preserve">Therefore, when one takes into account, as one must, the nature of tradition, one must place it in such a way that it may be critically examined under the strong lights of Holy Scripture.</w:t>
      </w:r>
    </w:p>
    <w:p>
      <w:pPr>
        <w:pStyle w:val="Normal"/>
      </w:pPr>
      <w:r>
        <w:t xml:space="preserve">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pPr>
      <w:r>
        <w:t xml:space="preserve">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pPr>
      <w:r>
        <w:t xml:space="preserve">Rain From Above</w:t>
      </w:r>
    </w:p>
    <w:p>
      <w:pPr>
        <w:pStyle w:val="Normal"/>
      </w:pPr>
      <w:r>
        <w:t xml:space="preserve">“The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pPr>
      <w:r>
        <w:t xml:space="preserve">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pPr>
      <w:r>
        <w:t xml:space="preserve">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pPr>
      <w:r>
        <w:t xml:space="preserve">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pPr>
      <w:r>
        <w:t xml:space="preserve">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pPr>
      <w:r>
        <w:t xml:space="preserve">Yet, for our time, for this very situation, an ancient message is waiting to be heard, clearing a stony path, announcing a new kingdom. Man has forgotten, perhaps, that God has spoken, that God has revealed the way, that He has promised to come!</w:t>
      </w:r>
    </w:p>
    <w:p>
      <w:pPr>
        <w:pStyle w:val="Normal"/>
      </w:pPr>
      <w:r>
        <w:t xml:space="preserve">So God Spoke</w:t>
      </w:r>
    </w:p>
    <w:p>
      <w:pPr>
        <w:pStyle w:val="Normal"/>
      </w:pPr>
      <w:r>
        <w:t xml:space="preserve">Once upon a time a people undertook a seemingly impossible adventure, marched into an unknown future with an unseen Guide, and struggled with One whom they could not see - that people was Israel.</w:t>
      </w:r>
    </w:p>
    <w:p>
      <w:pPr>
        <w:pStyle w:val="Normal"/>
      </w:pPr>
      <w:r>
        <w:t xml:space="preserve">This unusual encounter began an unusual history, from which was to emerge a very special Book. In those days God entered time and the words of men. Because God spoke, we believe in Him.</w:t>
      </w:r>
    </w:p>
    <w:p>
      <w:pPr>
        <w:pStyle w:val="Normal"/>
      </w:pPr>
      <w:r>
        <w:t xml:space="preserve">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pPr>
      <w:r>
        <w:t xml:space="preserve">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pPr>
      <w:r>
        <w:t xml:space="preserve">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pPr>
      <w:r>
        <w:t xml:space="preserve">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pPr>
      <w:r>
        <w:t xml:space="preserve">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pPr>
      <w:r>
        <w:t xml:space="preserve">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pPr>
      <w:r>
        <w:t xml:space="preserve">Paul remembers: “I heard a voice saying to me in the Hebrew language, ‘Saul, Saul,… It hurts you to kick against the goads.’ ” Acts 26:15.</w:t>
      </w:r>
    </w:p>
    <w:p>
      <w:pPr>
        <w:pStyle w:val="Normal"/>
      </w:pPr>
      <w:r>
        <w:t xml:space="preserve">The Hebrew prophet spoke because obligation was placed upon him to do so. The initiative was from the Spirit, which “pushed” him to deliver a message.254</w:t>
      </w:r>
    </w:p>
    <w:p>
      <w:pPr>
        <w:pStyle w:val="Normal"/>
      </w:pPr>
      <w:r>
        <w:t xml:space="preserve">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pPr>
      <w:r>
        <w:t xml:space="preserve">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pPr>
      <w:r>
        <w:t xml:space="preserve">Hananiah spoke first, and his words were appreciated. He purred soothingly about peace and happiness. Everybody was reassured.</w:t>
      </w:r>
    </w:p>
    <w:p>
      <w:pPr>
        <w:pStyle w:val="Normal"/>
      </w:pPr>
      <w:r>
        <w:t xml:space="preserve">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pPr>
      <w:r>
        <w:t xml:space="preserve">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pPr>
      <w:r>
        <w:t xml:space="preserve">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pPr>
      <w:r>
        <w:t xml:space="preserve">The Fear of God</w:t>
      </w:r>
    </w:p>
    <w:p>
      <w:pPr>
        <w:pStyle w:val="Normal"/>
      </w:pPr>
      <w:r>
        <w:t xml:space="preserve">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pPr>
      <w:r>
        <w:t xml:space="preserve">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pPr>
      <w:r>
        <w:t xml:space="preserve">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pPr>
      <w:r>
        <w:t xml:space="preserve">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pPr>
      <w:r>
        <w:t xml:space="preserve">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pPr>
      <w:r>
        <w:t xml:space="preserve">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pPr>
      <w:r>
        <w:t xml:space="preserve">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pPr>
      <w:r>
        <w:t xml:space="preserve">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pPr>
      <w:r>
        <w:t xml:space="preserve">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pPr>
      <w:r>
        <w:t xml:space="preserve">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pPr>
      <w:r>
        <w:t xml:space="preserve">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pPr>
      <w:r>
        <w:t xml:space="preserve">The “fear of God” - a feeling that one is being seen - marks life with a religious dimension and a sensitivity for the sacred. It constrains one to make an effort, to respect self and also to respect others.</w:t>
      </w:r>
    </w:p>
    <w:p>
      <w:pPr>
        <w:pStyle w:val="Normal"/>
      </w:pPr>
      <w:r>
        <w:t xml:space="preserve">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pPr>
      <w:r>
        <w:t xml:space="preserve">Honor will be recovered only when man stands up and follows, though walking against the current, the commandments from above. Then he will resume his stately destiny: that of a religious being - upright and capable of finding again his God.</w:t>
      </w:r>
    </w:p>
    <w:p>
      <w:pPr>
        <w:pStyle w:val="Normal"/>
      </w:pPr>
      <w:r>
        <w:t xml:space="preserve">Between the Alpha and the Omega</w:t>
      </w:r>
    </w:p>
    <w:p>
      <w:pPr>
        <w:pStyle w:val="Normal"/>
      </w:pPr>
      <w:r>
        <w:t xml:space="preserve">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pPr>
      <w:r>
        <w:t xml:space="preserve">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pPr>
      <w:r>
        <w:t xml:space="preserve">John probably was thinking of this fact when he began his Gospel by mentioning the creative Word at the beginning (John 1.1-3) and concluded the Revelation, the last book of the New Testament, by invoking the kingdom of the Messiah (Revelation 22:20).</w:t>
      </w:r>
    </w:p>
    <w:p>
      <w:pPr>
        <w:pStyle w:val="Normal"/>
      </w:pPr>
      <w:r>
        <w:t xml:space="preserve">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pPr>
      <w:r>
        <w:t xml:space="preserve">Note well that the angel’s injunction to fear the God who made heaven and earth calls forth immediately the observance of the commandment which expresses that faith; that is, the Sabbath commandment.</w:t>
      </w:r>
    </w:p>
    <w:p>
      <w:pPr>
        <w:pStyle w:val="Normal"/>
      </w:pPr>
      <w:r>
        <w:t xml:space="preserve">“Remember the sabbath day, to keep it holy [set apart}…; for in six days the Lord made heaven and earth, the sea, and all that is in them, and rested the seventh day; therefore the Lord blessed the sabbath day and hallowed it [set it apart].” Exodus 20:8-11.</w:t>
      </w:r>
    </w:p>
    <w:p>
      <w:pPr>
        <w:pStyle w:val="Normal"/>
      </w:pPr>
      <w:r>
        <w:t xml:space="preserve">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pPr>
      <w:r>
        <w:t xml:space="preserve">The passages in Malachi and the Revelation appear to echo each other. Both include the intervention of an angel (or messenger)264 just before the day of God’s judgment. Both passages are concerned with the great day of God’s appearance or coming.</w:t>
      </w:r>
    </w:p>
    <w:p>
      <w:pPr>
        <w:pStyle w:val="Normal"/>
      </w:pPr>
      <w:r>
        <w:t xml:space="preserve">Both convey precise exhortation. The Malachi text asks that the Law of Moses handed down at Sinai be remembered; the Revelation text encourages fear of the Creator God.</w:t>
      </w:r>
    </w:p>
    <w:p>
      <w:pPr>
        <w:pStyle w:val="Normal"/>
      </w:pPr>
      <w:r>
        <w:t xml:space="preserve">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pPr>
      <w:r>
        <w:t xml:space="preserve">In Malachi’s text (1) the word remember recalls the remember of the Sabbath commandment;265 (2) the “Law of Moses” that Moses proclaimed at Sinai recalls the Decalogue.</w:t>
      </w:r>
    </w:p>
    <w:p>
      <w:pPr>
        <w:pStyle w:val="Normal"/>
      </w:pPr>
      <w:r>
        <w:t xml:space="preserve">In the Revelation passage, (1) the “fear of God” recalls the observance of the commandments;266 (2) the mention of Creation recalls the Sabbath which was to memorialize it.</w:t>
      </w:r>
    </w:p>
    <w:p>
      <w:pPr>
        <w:pStyle w:val="Normal"/>
      </w:pPr>
      <w:r>
        <w:t xml:space="preserve">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pPr>
      <w:r>
        <w:t xml:space="preserve">That these two “truths” - the Sabbath and the coming of the Lord - should be together in both the Old and New Testaments is not in the least astonishing; they simply express the same faith.</w:t>
      </w:r>
    </w:p>
    <w:p>
      <w:pPr>
        <w:pStyle w:val="Normal"/>
      </w:pPr>
      <w:r>
        <w:t xml:space="preserve">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pPr>
      <w:r>
        <w:t xml:space="preserve">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pPr>
      <w:r>
        <w:t xml:space="preserve">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pPr>
      <w:r>
        <w:t xml:space="preserve">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pPr>
      <w:r>
        <w:t xml:space="preserve">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pPr>
      <w:r>
        <w:t xml:space="preserve">Conversion Without Treason</w:t>
      </w:r>
    </w:p>
    <w:p>
      <w:pPr>
        <w:pStyle w:val="Normal"/>
      </w:pPr>
      <w:r>
        <w:t xml:space="preserve">Lekh lekha! Go!-God to Abraham.</w:t>
      </w:r>
    </w:p>
    <w:p>
      <w:pPr>
        <w:pStyle w:val="Normal"/>
      </w:pPr>
      <w:r>
        <w:t xml:space="preserve">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pPr>
      <w:r>
        <w:t xml:space="preserve">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pPr>
      <w:r>
        <w:t xml:space="preserve">The pilgrim must continue his travel. He walks, walks farther -</w:t>
      </w:r>
    </w:p>
    <w:p>
      <w:pPr>
        <w:pStyle w:val="Normal"/>
      </w:pPr>
      <w:r>
        <w:t xml:space="preserve">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pPr>
      <w:r>
        <w:t xml:space="preserve">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pPr>
      <w:r>
        <w:t xml:space="preserve">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pPr>
      <w:r>
        <w:t xml:space="preserve">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pPr>
      <w:r>
        <w:t xml:space="preserve">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pPr>
      <w:r>
        <w:t xml:space="preserve">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pPr>
      <w:r>
        <w:t xml:space="preserve">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pPr>
      <w:r>
        <w:t xml:space="preserve">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pPr>
      <w:r>
        <w:t xml:space="preserve">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pPr>
      <w:r>
        <w:t xml:space="preserve">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pPr>
      <w:r>
        <w:t xml:space="preserve">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pPr>
      <w:r>
        <w:t xml:space="preserve">“He will turn the hearts of fathers to their children and the hearts of children to their fathers.” Malachi 4:6 (3:24 in the Hebrew Bible).</w:t>
      </w:r>
    </w:p>
    <w:p>
      <w:bookmarkStart w:id="30" w:name="Epilogue"/>
      <w:bookmarkStart w:id="31" w:name="Top_of_part0017_xhtml"/>
      <w:pPr>
        <w:pStyle w:val="Para 01"/>
        <w:pageBreakBefore w:val="on"/>
      </w:pPr>
      <w:r>
        <w:t xml:space="preserve">Epílogo</w:t>
      </w:r>
      <w:bookmarkEnd w:id="30"/>
      <w:bookmarkEnd w:id="31"/>
    </w:p>
    <w:p>
      <w:pPr>
        <w:pStyle w:val="Para 08"/>
      </w:pPr>
      <w:r>
        <w:t xml:space="preserve">The Spirit Blows</w:t>
      </w:r>
    </w:p>
    <w:p>
      <w:pPr>
        <w:pStyle w:val="Para 03"/>
      </w:pPr>
      <w:r>
        <w:t xml:space="preserve">Now that we have come to the end, we suddenly find that a doubt has invaded our thoughts - a feeling that perhaps we have run in vain.</w:t>
      </w:r>
    </w:p>
    <w:p>
      <w:pPr>
        <w:pStyle w:val="Normal"/>
      </w:pPr>
      <w:r>
        <w:t xml:space="preserve">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pPr>
      <w:r>
        <w:t xml:space="preserve">So in despair one would be tempted to pray.</w:t>
      </w:r>
    </w:p>
    <w:p>
      <w:pPr>
        <w:pStyle w:val="Normal"/>
      </w:pPr>
      <w:r>
        <w:t xml:space="preserve">Of course, prayer is not in popular usage today. But we are not primarily concerned with an affair of fashion in keeping with times and cultures. The Spirit “blows where it wills” and when it wills. John 3:8.</w:t>
      </w:r>
    </w:p>
    <w:p>
      <w:pPr>
        <w:pStyle w:val="Normal"/>
      </w:pPr>
      <w:r>
        <w:t xml:space="preserve">So let the Spirit blow!</w:t>
      </w:r>
    </w:p>
    <w:p>
      <w:pPr>
        <w:pStyle w:val="Normal"/>
      </w:pPr>
      <w:r>
        <w:t xml:space="preserve">Chapter Notes to Drinking At the Sources</w:t>
      </w:r>
    </w:p>
    <w:p>
      <w:pPr>
        <w:pStyle w:val="Normal"/>
      </w:pPr>
      <w:r>
        <w:t xml:space="preserve">1. Samuel Joseph Agnon (1888-1970) is one of the greatest Hebrew writers of our time. His numerous works have won him international fame, confirmed by the Nobel Prize in literature in 1966.</w:t>
      </w:r>
    </w:p>
    <w:p>
      <w:pPr>
        <w:pStyle w:val="Normal"/>
      </w:pPr>
      <w:r>
        <w:t xml:space="preserve">2. “Le chien Balak” (French translation of Tmol Chilchom), p. 275.</w:t>
      </w:r>
    </w:p>
    <w:p>
      <w:pPr>
        <w:pStyle w:val="Normal"/>
      </w:pPr>
      <w:r>
        <w:t xml:space="preserve">3. Jules Isaac, Genese de l’Antisemitisme, p. 148.</w:t>
      </w:r>
    </w:p>
    <w:p>
      <w:pPr>
        <w:pStyle w:val="Normal"/>
      </w:pPr>
      <w:r>
        <w:t xml:space="preserve">4. It is especially necessary to note the influence of the Jewish rebellions against the Roman Empire and the resulting persecutions of Judaism by the Roman emperors. Cf. Samuele Bacchiocchi, Anti-Judaism and the Origin of Sundax (Rome: 1975), pp. 37-39.</w:t>
      </w:r>
    </w:p>
    <w:p>
      <w:pPr>
        <w:pStyle w:val="Normal"/>
      </w:pPr>
      <w:r>
        <w:t xml:space="preserve">5. Marcel Simon, Verus Israel, p. 361, n. 4; F. Lovsky, Antisemitisme et Mystere d’Israel, p. 140.</w:t>
      </w:r>
    </w:p>
    <w:p>
      <w:pPr>
        <w:pStyle w:val="Normal"/>
      </w:pPr>
      <w:r>
        <w:t xml:space="preserve">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pPr>
      <w:r>
        <w:t xml:space="preserve">7. Cf. Tertullian, Against Marcion 4.12.7.</w:t>
      </w:r>
    </w:p>
    <w:p>
      <w:pPr>
        <w:pStyle w:val="Normal"/>
      </w:pPr>
      <w:r>
        <w:t xml:space="preserve">8. Victorinus, On the Creation of the World 5 (The Ante-Nicene Fathers 7:342).</w:t>
      </w:r>
    </w:p>
    <w:p>
      <w:pPr>
        <w:pStyle w:val="Normal"/>
      </w:pPr>
      <w:r>
        <w:t xml:space="preserve">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pPr>
      <w:r>
        <w:t xml:space="preserve">10. Canon 29 of the Council of Laodicea. See Joannes Dominicus Mansi, ed., Sacrorum Conciliorum Nova et Amplissima Collectio, II, pp. 569-570.</w:t>
      </w:r>
    </w:p>
    <w:p>
      <w:pPr>
        <w:pStyle w:val="Normal"/>
      </w:pPr>
      <w:r>
        <w:t xml:space="preserve">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pPr>
      <w:r>
        <w:t xml:space="preserve">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pPr>
      <w:r>
        <w:t xml:space="preserve">13. Pesiqta Rabbati 20.</w:t>
      </w:r>
    </w:p>
    <w:p>
      <w:pPr>
        <w:pStyle w:val="Normal"/>
      </w:pPr>
      <w:r>
        <w:t xml:space="preserve">14. Babylonian Talmud, Shabbath 88a.</w:t>
      </w:r>
    </w:p>
    <w:p>
      <w:pPr>
        <w:pStyle w:val="Normal"/>
      </w:pPr>
      <w:r>
        <w:t xml:space="preserve">15. On this question see Marcel Simon, op. cit., p. 214 ff. and R. Travers Herford, Christianity in Talmud and Midrash.</w:t>
      </w:r>
    </w:p>
    <w:p>
      <w:pPr>
        <w:pStyle w:val="Normal"/>
      </w:pPr>
      <w:r>
        <w:t xml:space="preserve">16. Jules Isaac, op. cit., p. 147.</w:t>
      </w:r>
    </w:p>
    <w:p>
      <w:pPr>
        <w:pStyle w:val="Normal"/>
      </w:pPr>
      <w:r>
        <w:t xml:space="preserve">17. Cf. in this connection Harnack’s work, Die Altercatio Simonis Judaei et Theophili Christiani, nebst Untersuchungen iiber die antijiidische Poletnik in der alten Kirche, Texte und Untersuchungen, 1, 3 (1883).</w:t>
      </w:r>
    </w:p>
    <w:p>
      <w:pPr>
        <w:pStyle w:val="Normal"/>
      </w:pPr>
      <w:r>
        <w:t xml:space="preserve">18. Marcel Simon, op. cit., p. 437.</w:t>
      </w:r>
    </w:p>
    <w:p>
      <w:pPr>
        <w:pStyle w:val="Normal"/>
      </w:pPr>
      <w:r>
        <w:t xml:space="preserve">19. A. Neher, L’Existence juive, p. 236.</w:t>
      </w:r>
    </w:p>
    <w:p>
      <w:pPr>
        <w:pStyle w:val="Normal"/>
      </w:pPr>
      <w:r>
        <w:t xml:space="preserve">20. Idem.</w:t>
      </w:r>
    </w:p>
    <w:p>
      <w:pPr>
        <w:pStyle w:val="Normal"/>
      </w:pPr>
      <w:r>
        <w:t xml:space="preserve">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pPr>
      <w:r>
        <w:t xml:space="preserve">22. Op. cit., p. 203; cf. p. 96.</w:t>
      </w:r>
    </w:p>
    <w:p>
      <w:pPr>
        <w:pStyle w:val="Normal"/>
      </w:pPr>
      <w:r>
        <w:t xml:space="preserve">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pPr>
      <w:r>
        <w:t xml:space="preserve">24. From Episcopal Orientation on Relations With Judaism (IV, a).</w:t>
      </w:r>
    </w:p>
    <w:p>
      <w:pPr>
        <w:pStyle w:val="Normal"/>
      </w:pPr>
      <w:r>
        <w:t xml:space="preserve">25. Jean-Paul Sartre, Anti-Semite and Jew, p. 78.</w:t>
      </w:r>
    </w:p>
    <w:p>
      <w:pPr>
        <w:pStyle w:val="Normal"/>
      </w:pPr>
      <w:r>
        <w:t xml:space="preserve">26. On this, see Charles Herbert Stember and others, Jews in the Mind of America, pp. 48-59, and J.P. Sartre, op. cit., pp. 63, 64.</w:t>
      </w:r>
    </w:p>
    <w:p>
      <w:pPr>
        <w:pStyle w:val="Normal"/>
      </w:pPr>
      <w:r>
        <w:t xml:space="preserve">27. Cf. the UNESCO report on the question, “Le racisme devant la Science” (Paris, 1973).</w:t>
      </w:r>
    </w:p>
    <w:p>
      <w:pPr>
        <w:pStyle w:val="Normal"/>
      </w:pPr>
      <w:r>
        <w:t xml:space="preserve">28. J.-P. Sartre, op. cit., p. 23.</w:t>
      </w:r>
    </w:p>
    <w:p>
      <w:pPr>
        <w:pStyle w:val="Normal"/>
      </w:pPr>
      <w:r>
        <w:t xml:space="preserve">29. Albert Memmi, Portrait d’un juif p. 203.</w:t>
      </w:r>
    </w:p>
    <w:p>
      <w:pPr>
        <w:pStyle w:val="Normal"/>
      </w:pPr>
      <w:r>
        <w:t xml:space="preserve">30. Ibid., p. 154.</w:t>
      </w:r>
    </w:p>
    <w:p>
      <w:pPr>
        <w:pStyle w:val="Normal"/>
      </w:pPr>
      <w:r>
        <w:t xml:space="preserve">31. Cited by A. Memmi, op. cit., p. 213.</w:t>
      </w:r>
    </w:p>
    <w:p>
      <w:pPr>
        <w:pStyle w:val="Normal"/>
      </w:pPr>
      <w:r>
        <w:t xml:space="preserve">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pPr>
      <w:r>
        <w:t xml:space="preserve">33. J. Isaac, op. cit., p. 172.</w:t>
      </w:r>
    </w:p>
    <w:p>
      <w:pPr>
        <w:pStyle w:val="Normal"/>
      </w:pPr>
      <w:r>
        <w:t xml:space="preserve">34. Jules Isaac, Jesus et Israel, p. 558.</w:t>
      </w:r>
    </w:p>
    <w:p>
      <w:pPr>
        <w:pStyle w:val="Normal"/>
      </w:pPr>
      <w:r>
        <w:t xml:space="preserve">35. Albert Memmi, La liberation du juif, p. 215.</w:t>
      </w:r>
    </w:p>
    <w:p>
      <w:pPr>
        <w:pStyle w:val="Normal"/>
      </w:pPr>
      <w:r>
        <w:t xml:space="preserve">36. Ibid.</w:t>
      </w:r>
    </w:p>
    <w:p>
      <w:pPr>
        <w:pStyle w:val="Normal"/>
      </w:pPr>
      <w:r>
        <w:t xml:space="preserve">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pPr>
      <w:r>
        <w:t xml:space="preserve">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pPr>
      <w:r>
        <w:t xml:space="preserve">38. The Jewishness of Jesus has recently been pointed out by the Catholic theologian C. Tresmontant in L’enseignement de leshoua de Nazareth. Cf. also J. Klausner, Jesus of Nazareth (New York: Macmillan, 1942).</w:t>
      </w:r>
    </w:p>
    <w:p>
      <w:pPr>
        <w:pStyle w:val="Normal"/>
      </w:pPr>
      <w:r>
        <w:t xml:space="preserve">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pPr>
      <w:r>
        <w:t xml:space="preserve">40. Cf. Genese de l’Antisemitisme.</w:t>
      </w:r>
    </w:p>
    <w:p>
      <w:pPr>
        <w:pStyle w:val="Normal"/>
      </w:pPr>
      <w:r>
        <w:t xml:space="preserve">41. That author had devoted a whole collection of works on The History of AntiSemitism (English translation by Richard Howard, 1965): I. From the Time of Christ to the Court Jews; II. From Mahomet to the Marranos; III. From Voltaire to Wagner.</w:t>
      </w:r>
    </w:p>
    <w:p>
      <w:pPr>
        <w:pStyle w:val="Normal"/>
      </w:pPr>
      <w:r>
        <w:t xml:space="preserve">42. Cf. his two books, Antisemitisme et mystere d’lsrael and La dechirure de Iabsence.</w:t>
      </w:r>
    </w:p>
    <w:p>
      <w:pPr>
        <w:pStyle w:val="Normal"/>
      </w:pPr>
      <w:r>
        <w:t xml:space="preserve">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pPr>
      <w:r>
        <w:t xml:space="preserve">44. Pierre de Labriolle, La Reaction paienne, p. 194.</w:t>
      </w:r>
    </w:p>
    <w:p>
      <w:pPr>
        <w:pStyle w:val="Normal"/>
      </w:pPr>
      <w:r>
        <w:t xml:space="preserve">45. Staehelin, Der Antisemitismus des Altertums, p. 54.</w:t>
      </w:r>
    </w:p>
    <w:p>
      <w:pPr>
        <w:pStyle w:val="Normal"/>
      </w:pPr>
      <w:r>
        <w:t xml:space="preserve">46. In the Jewish review L’Amandier fleuri (October 1949), 9.</w:t>
      </w:r>
    </w:p>
    <w:p>
      <w:pPr>
        <w:pStyle w:val="Normal"/>
      </w:pPr>
      <w:r>
        <w:t xml:space="preserve">47. “Dimensionsde fantisemitisme,” in Foilet Vie (September-October 1949), 447, 448.</w:t>
      </w:r>
    </w:p>
    <w:p>
      <w:pPr>
        <w:pStyle w:val="Normal"/>
      </w:pPr>
      <w:r>
        <w:t xml:space="preserve">48. J. Isaac, Gen&amp;se de lAntisemitisme, p. 129.</w:t>
      </w:r>
    </w:p>
    <w:p>
      <w:pPr>
        <w:pStyle w:val="Normal"/>
      </w:pPr>
      <w:r>
        <w:t xml:space="preserve">49. Cf. Verus Israel, p. 263.</w:t>
      </w:r>
    </w:p>
    <w:p>
      <w:pPr>
        <w:pStyle w:val="Normal"/>
      </w:pPr>
      <w:r>
        <w:t xml:space="preserve">50. F. Lovsky, Antisemitisme et mystere d’lsrael, p. 157.</w:t>
      </w:r>
    </w:p>
    <w:p>
      <w:pPr>
        <w:pStyle w:val="Normal"/>
      </w:pPr>
      <w:r>
        <w:t xml:space="preserve">51. M. Simon, op. cit., p. 16.</w:t>
      </w:r>
    </w:p>
    <w:p>
      <w:pPr>
        <w:pStyle w:val="Normal"/>
      </w:pPr>
      <w:r>
        <w:t xml:space="preserve">52. J. Isaac, op. cit., p. 133.</w:t>
      </w:r>
    </w:p>
    <w:p>
      <w:pPr>
        <w:pStyle w:val="Normal"/>
      </w:pPr>
      <w:r>
        <w:t xml:space="preserve">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pPr>
      <w:r>
        <w:t xml:space="preserve">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pPr>
      <w:r>
        <w:t xml:space="preserve">55. Cf. A. Neubauer and M. Stern, Hebrew Reports of the Persecutions of the Jews during the Crusades (in Hebrew); German translation by S. Baer, Hebraische Berichte uber die judenverfolgungen wdhrend der Kreuzzuge, p. 88.</w:t>
      </w:r>
    </w:p>
    <w:p>
      <w:pPr>
        <w:pStyle w:val="Normal"/>
      </w:pPr>
      <w:r>
        <w:t xml:space="preserve">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pPr>
      <w:r>
        <w:t xml:space="preserve">57. L. Poliakov, op. cit., p. 74.</w:t>
      </w:r>
    </w:p>
    <w:p>
      <w:pPr>
        <w:pStyle w:val="Normal"/>
      </w:pPr>
      <w:r>
        <w:t xml:space="preserve">58. See James Parkes, The Jew in the Medieval Community (London, 1938), p. 341. Cf. Evidences (May 1954), 22.</w:t>
      </w:r>
    </w:p>
    <w:p>
      <w:pPr>
        <w:pStyle w:val="Normal"/>
      </w:pPr>
      <w:r>
        <w:t xml:space="preserve">59. J. Parkes, op. cit., pp. 340-341. Cf. J. Bernfeld, “Das Zinsverbot bei den Juden nach talmudisch-rabbinisch Recht,” in Das Licht, No. 8.</w:t>
      </w:r>
    </w:p>
    <w:p>
      <w:pPr>
        <w:pStyle w:val="Normal"/>
      </w:pPr>
      <w:r>
        <w:t xml:space="preserve">60. F. Lovsky, op, cit., p. 233.</w:t>
      </w:r>
    </w:p>
    <w:p>
      <w:pPr>
        <w:pStyle w:val="Normal"/>
      </w:pPr>
      <w:r>
        <w:t xml:space="preserve">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pPr>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Text0"/>
        </w:rPr>
        <w:t xml:space="preserve">etc.</w:t>
      </w:r>
    </w:p>
    <w:p>
      <w:pPr>
        <w:pStyle w:val="Normal"/>
      </w:pPr>
      <w:r>
        <w:t xml:space="preserve">The Hebrew Chronicles have been published by A. Neubauer and M. Stern, op. cit.</w:t>
      </w:r>
    </w:p>
    <w:p>
      <w:pPr>
        <w:pStyle w:val="Normal"/>
      </w:pPr>
      <w:r>
        <w:t xml:space="preserve">63. It was the Lateran Council of 1215 which, by defining the status of the Jew as that of one outside the law, determined the formation of the ghetto. The phenomenon did not exist previously. It became obligatory from that moment on.</w:t>
      </w:r>
    </w:p>
    <w:p>
      <w:pPr>
        <w:pStyle w:val="Normal"/>
      </w:pPr>
      <w:r>
        <w:t xml:space="preserve">64. The Jew was considered the incarnation of evil, and he was held responsible for all evils (plague, etc.), and he would be identified with the devil, especially in the fourteenth century.</w:t>
      </w:r>
    </w:p>
    <w:p>
      <w:pPr>
        <w:pStyle w:val="Normal"/>
      </w:pPr>
      <w:r>
        <w:t xml:space="preserve">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pPr>
      <w:r>
        <w:t xml:space="preserve">“On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pPr>
      <w:r>
        <w:t xml:space="preserve">In several passages, finally, Luther lamentably lets himself go into the most obscene buffoonery and gross vulgarities in lambasting the Jews, and he passes it all off as his most Christian sentiments.</w:t>
      </w:r>
    </w:p>
    <w:p>
      <w:pPr>
        <w:pStyle w:val="Normal"/>
      </w:pPr>
      <w:r>
        <w:t xml:space="preserve">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pPr>
      <w:r>
        <w:t xml:space="preserve">67. As early as the Fourth Lateran Council it had been “decided that the Jews must distinguish themselves from the Christians by their dress.” (Cf. Fourth Lateran Council, canons 67-70, in Mansi 22, pp. 1054 ff.)</w:t>
      </w:r>
    </w:p>
    <w:p>
      <w:pPr>
        <w:pStyle w:val="Normal"/>
      </w:pPr>
      <w:r>
        <w:t xml:space="preserve">68. See L. Poliakov, The History of AntiSemitism, vol. Ill: From Voltaire to Wagner.</w:t>
      </w:r>
    </w:p>
    <w:p>
      <w:pPr>
        <w:pStyle w:val="Normal"/>
      </w:pPr>
      <w:r>
        <w:t xml:space="preserve">69. Cf. A. M. Rose, L’origine des prejuges, in the publications of the UNESCO, Paris, 1951, p. 15.</w:t>
      </w:r>
    </w:p>
    <w:p>
      <w:pPr>
        <w:pStyle w:val="Normal"/>
      </w:pPr>
      <w:r>
        <w:t xml:space="preserve">70 d.C. Cf. Ch. Lassen, Indische Altertumskunde, the conclusions of which were adopted by Ernest Renan. On this issue see the warning of Heinrich Coudenhove-Kadergi, AntiSemitism Throughout the Ages, pp. 59-61.</w:t>
      </w:r>
    </w:p>
    <w:p>
      <w:pPr>
        <w:pStyle w:val="Normal"/>
      </w:pPr>
      <w:r>
        <w:t xml:space="preserve">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pPr>
      <w:r>
        <w:t xml:space="preserve">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pPr>
      <w:r>
        <w:t xml:space="preserve">73. H. Chamberlain, La Genese du XIXe siecle, p. 362.</w:t>
      </w:r>
    </w:p>
    <w:p>
      <w:pPr>
        <w:pStyle w:val="Normal"/>
      </w:pPr>
      <w:r>
        <w:t xml:space="preserve">74. Cf. Die Nibelungen, Allgemeine Geschichte drawn from legend.</w:t>
      </w:r>
    </w:p>
    <w:p>
      <w:pPr>
        <w:pStyle w:val="Normal"/>
      </w:pPr>
      <w:r>
        <w:t xml:space="preserve">75. Oeuvres en prose de Richard Wagner, vol. II, pp. 44, 45, 56.</w:t>
      </w:r>
    </w:p>
    <w:p>
      <w:pPr>
        <w:pStyle w:val="Normal"/>
      </w:pPr>
      <w:r>
        <w:t xml:space="preserve">76. These sentiments echo the jibe of Luther’s: “If I find a Jew to baptize, I shall lead him to the Elbe bridge, hang a stone around his neck, and push him into the water, baptizing him with the name of Abraham!” (Cited by L. Poliakov, op. cit., I, p. 223.)</w:t>
      </w:r>
    </w:p>
    <w:p>
      <w:pPr>
        <w:pStyle w:val="Normal"/>
      </w:pPr>
      <w:r>
        <w:t xml:space="preserve">77. F. Lovsky, La dechirure de I ‘absence, p. 13.</w:t>
      </w:r>
    </w:p>
    <w:p>
      <w:pPr>
        <w:pStyle w:val="Normal"/>
      </w:pPr>
      <w:r>
        <w:t xml:space="preserve">78. Julian Green, journal, in Revue de Paris, June 1949.</w:t>
      </w:r>
    </w:p>
    <w:p>
      <w:pPr>
        <w:pStyle w:val="Normal"/>
      </w:pPr>
      <w:r>
        <w:t xml:space="preserve">79. Cf. Psalm 119:105. Torah (law) and Or (light) come from the same Hebrew root.</w:t>
      </w:r>
    </w:p>
    <w:p>
      <w:pPr>
        <w:pStyle w:val="Normal"/>
      </w:pPr>
      <w:r>
        <w:t xml:space="preserve">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pPr>
      <w:r>
        <w:t xml:space="preserve">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pPr>
      <w:r>
        <w:t xml:space="preserve">81. A. Memmi, Liberation du Juif, p. 73.</w:t>
      </w:r>
    </w:p>
    <w:p>
      <w:pPr>
        <w:pStyle w:val="Normal"/>
      </w:pPr>
      <w:r>
        <w:t xml:space="preserve">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pPr>
      <w:r>
        <w:t xml:space="preserve">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pPr>
      <w:r>
        <w:t xml:space="preserve">84. Isaac Bashevi Singer, cited by A. Memmi in La liberation du Juif, p. 73.</w:t>
      </w:r>
    </w:p>
    <w:p>
      <w:pPr>
        <w:pStyle w:val="Normal"/>
      </w:pPr>
      <w:r>
        <w:t xml:space="preserve">85. Ibid., p. 71.</w:t>
      </w:r>
    </w:p>
    <w:p>
      <w:pPr>
        <w:pStyle w:val="Normal"/>
      </w:pPr>
      <w:r>
        <w:t xml:space="preserve">86. Cf. Colossians 2:14. We shall study this question in greater depth in a later chapter (cf. p. 74 ff.).</w:t>
      </w:r>
    </w:p>
    <w:p>
      <w:pPr>
        <w:pStyle w:val="Normal"/>
      </w:pPr>
      <w:r>
        <w:t xml:space="preserve">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pPr>
      <w:r>
        <w:t xml:space="preserve">88. Genesis 3:15. This is our translation, intended to reflect the wordplay on the verb shuf.</w:t>
      </w:r>
    </w:p>
    <w:p>
      <w:pPr>
        <w:pStyle w:val="Normal"/>
      </w:pPr>
      <w:r>
        <w:t xml:space="preserve">89. Wisdom of Solomon 2:24.</w:t>
      </w:r>
    </w:p>
    <w:p>
      <w:pPr>
        <w:pStyle w:val="Normal"/>
      </w:pPr>
      <w:r>
        <w:t xml:space="preserve">90. Cassuto, A Commentary on the Book of Genesis, vol. I, pp. 142, 160.</w:t>
      </w:r>
    </w:p>
    <w:p>
      <w:pPr>
        <w:pStyle w:val="Normal"/>
      </w:pPr>
      <w:r>
        <w:t xml:space="preserve">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pPr>
      <w:r>
        <w:t xml:space="preserve">92. This Greek version is the oldest Jewish translation still extant. It dates from the third century B.C.E.</w:t>
      </w:r>
    </w:p>
    <w:p>
      <w:pPr>
        <w:pStyle w:val="Normal"/>
      </w:pPr>
      <w:r>
        <w:t xml:space="preserve">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pPr>
      <w:r>
        <w:t xml:space="preserve">94. Even some modern commentaries do not hesitate to interpret this verse in a Messianic sense (cf. Marc Breuer, Thora commentee, p. 15).</w:t>
      </w:r>
    </w:p>
    <w:p>
      <w:pPr>
        <w:pStyle w:val="Normal"/>
      </w:pPr>
      <w:r>
        <w:t xml:space="preserve">95. The Targums are ancient paraphrastic translations of the Scriptures into Aramaic.</w:t>
      </w:r>
    </w:p>
    <w:p>
      <w:pPr>
        <w:pStyle w:val="Normal"/>
      </w:pPr>
      <w:r>
        <w:t xml:space="preserve">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pPr>
      <w:r>
        <w:t xml:space="preserve">96. See its commentary on Genesis 3:15.</w:t>
      </w:r>
    </w:p>
    <w:p>
      <w:pPr>
        <w:pStyle w:val="Normal"/>
      </w:pPr>
      <w:r>
        <w:t xml:space="preserve">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pPr>
      <w:r>
        <w:t xml:space="preserve">98. This work was formerly attributed to Rabbi Simeon ben Yohai, a Palestinian rabbi of the second century. It is now known that it was written in Spain in the thirteenth century. It constitutes the masterwork of Jewish mysticism, the Kabbalah.</w:t>
      </w:r>
    </w:p>
    <w:p>
      <w:pPr>
        <w:pStyle w:val="Normal"/>
      </w:pPr>
      <w:r>
        <w:t xml:space="preserve">99. Zohar. vol. II, folio 120b.</w:t>
      </w:r>
    </w:p>
    <w:p>
      <w:pPr>
        <w:pStyle w:val="Normal"/>
      </w:pPr>
      <w:r>
        <w:t xml:space="preserve">100. Gematria was a haggadic method of interpretation based on the numerical value of the letters.</w:t>
      </w:r>
    </w:p>
    <w:p>
      <w:pPr>
        <w:pStyle w:val="Normal"/>
      </w:pPr>
      <w:r>
        <w:t xml:space="preserve">101. Cf. Isaiah 52:13 with chapter 53.</w:t>
      </w:r>
    </w:p>
    <w:p>
      <w:pPr>
        <w:pStyle w:val="Normal"/>
      </w:pPr>
      <w:r>
        <w:t xml:space="preserve">102. The Talmud is a compilation of debates, interpretations, and scriptural commentaries covering roughly the period from the fourth century B.C.E. to the fifth century C.E.</w:t>
      </w:r>
    </w:p>
    <w:p>
      <w:pPr>
        <w:pStyle w:val="Normal"/>
      </w:pPr>
      <w:r>
        <w:t xml:space="preserve">The Talmud consists of a basic text, the Mishnah (teachings transmitted orally since the fourth century B.C.E. and put into writing in the second century C.E.) and the commentary upon it, the Gemara.</w:t>
      </w:r>
    </w:p>
    <w:p>
      <w:pPr>
        <w:pStyle w:val="Normal"/>
      </w:pPr>
      <w:r>
        <w:t xml:space="preserve">In this way, and in this format, there came into being two Talmuds: the Gemara of the Babylonian Rabbis gave birth to the Babylonian Talmud, and the Gemara of the Palestinian Rabbis produced the Jerusalem Talmud.</w:t>
      </w:r>
    </w:p>
    <w:p>
      <w:pPr>
        <w:pStyle w:val="Normal"/>
      </w:pPr>
      <w:r>
        <w:t xml:space="preserve">The Babylonian Talmud is by far the most important. It is for that reason that we generally mean that Talmud when we refer to the “Talmud.” When we refer to the Jerusalem Talmud it will be specifically indicated by the abbreviation T. J.</w:t>
      </w:r>
    </w:p>
    <w:p>
      <w:pPr>
        <w:pStyle w:val="Normal"/>
      </w:pPr>
      <w:r>
        <w:t xml:space="preserve">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pPr>
      <w:r>
        <w:t xml:space="preserve">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pPr>
      <w:r>
        <w:t xml:space="preserve">105. Pesiqta Rabbati, Pisqa 37.</w:t>
      </w:r>
    </w:p>
    <w:p>
      <w:pPr>
        <w:pStyle w:val="Normal"/>
      </w:pPr>
      <w:r>
        <w:t xml:space="preserve">106. Bereshith Rabbati of Moshe Hadarshan, on Genesis 24:67.</w:t>
      </w:r>
    </w:p>
    <w:p>
      <w:pPr>
        <w:pStyle w:val="Normal"/>
      </w:pPr>
      <w:r>
        <w:t xml:space="preserve">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pPr>
      <w:r>
        <w:t xml:space="preserve">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pPr>
      <w:r>
        <w:t xml:space="preserve">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pPr>
      <w:r>
        <w:t xml:space="preserve">One encounters the same association between hakrib and nagash in Leviticus 21:21, which employs the verb hakrib in the sense of “sacrifice.”</w:t>
      </w:r>
    </w:p>
    <w:p>
      <w:pPr>
        <w:pStyle w:val="Normal"/>
      </w:pPr>
      <w:r>
        <w:t xml:space="preserve">The verse in Jeremiah could therefore be rendered thus: “I will sacrifice him and one will thus have access to me” (the second verb is impersonal).</w:t>
      </w:r>
    </w:p>
    <w:p>
      <w:pPr>
        <w:pStyle w:val="Normal"/>
      </w:pPr>
      <w:r>
        <w:t xml:space="preserve">This translation has the merit of taking account of the words which follow: “For who would dare of himself to approach Me?” In fact, according to the Levitical theology only sacrifice makes God accessible to man (cf. Genesis 4:4; Leviticus 4).</w:t>
      </w:r>
    </w:p>
    <w:p>
      <w:pPr>
        <w:pStyle w:val="Normal"/>
      </w:pPr>
      <w:r>
        <w:t xml:space="preserve">108. Zebahim 44b and Sanhedrin 51b.</w:t>
      </w:r>
    </w:p>
    <w:p>
      <w:pPr>
        <w:pStyle w:val="Normal"/>
      </w:pPr>
      <w:r>
        <w:t xml:space="preserve">109. Leviticus 4:31.</w:t>
      </w:r>
    </w:p>
    <w:p>
      <w:pPr>
        <w:pStyle w:val="Normal"/>
      </w:pPr>
      <w:r>
        <w:t xml:space="preserve">110. Leviticus 4:34, 35; 16.</w:t>
      </w:r>
    </w:p>
    <w:p>
      <w:pPr>
        <w:pStyle w:val="Normal"/>
      </w:pPr>
      <w:r>
        <w:t xml:space="preserve">111. Leviticus 16:32-34.</w:t>
      </w:r>
    </w:p>
    <w:p>
      <w:pPr>
        <w:pStyle w:val="Normal"/>
      </w:pPr>
      <w:r>
        <w:t xml:space="preserve">112. Leviticus 16:14.</w:t>
      </w:r>
    </w:p>
    <w:p>
      <w:pPr>
        <w:pStyle w:val="Normal"/>
      </w:pPr>
      <w:r>
        <w:t xml:space="preserve">113. Exodus 28:35.</w:t>
      </w:r>
    </w:p>
    <w:p>
      <w:pPr>
        <w:pStyle w:val="Normal"/>
      </w:pPr>
      <w:r>
        <w:t xml:space="preserve">114. Aboth de Rabbi Nathan 34.</w:t>
      </w:r>
    </w:p>
    <w:p>
      <w:pPr>
        <w:pStyle w:val="Normal"/>
      </w:pPr>
      <w:r>
        <w:t xml:space="preserve">115. Bereshith Rabbati on Genesis 14:18.</w:t>
      </w:r>
    </w:p>
    <w:p>
      <w:pPr>
        <w:pStyle w:val="Normal"/>
      </w:pPr>
      <w:r>
        <w:t xml:space="preserve">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pPr>
      <w:r>
        <w:t xml:space="preserve">117. Cf. Joseph Klausner, The Messianic Idea in Israel, pp. 129, 400-401.</w:t>
      </w:r>
    </w:p>
    <w:p>
      <w:pPr>
        <w:pStyle w:val="Normal"/>
      </w:pPr>
      <w:r>
        <w:t xml:space="preserve">118. Sanhedrin 98b.</w:t>
      </w:r>
    </w:p>
    <w:p>
      <w:pPr>
        <w:pStyle w:val="Normal"/>
      </w:pPr>
      <w:r>
        <w:t xml:space="preserve">119. Bereshith Rabbati on Genesis 24:67.</w:t>
      </w:r>
    </w:p>
    <w:p>
      <w:pPr>
        <w:pStyle w:val="Normal"/>
      </w:pPr>
      <w:r>
        <w:t xml:space="preserve">120. Bereshith Rabbati on Genesis 19:34; cf. Berakoth 5a, </w:t>
      </w:r>
      <w:r>
        <w:rPr>
          <w:rStyle w:val="Text0"/>
        </w:rPr>
        <w:t xml:space="preserve">etc.</w:t>
      </w:r>
    </w:p>
    <w:p>
      <w:pPr>
        <w:pStyle w:val="Normal"/>
      </w:pPr>
      <w:r>
        <w:t xml:space="preserve">121. Pesiqta Rabbati, Pisqa 37.</w:t>
      </w:r>
    </w:p>
    <w:p>
      <w:pPr>
        <w:pStyle w:val="Normal"/>
      </w:pPr>
      <w:r>
        <w:t xml:space="preserve">122. Targum on Song of Songs 4:5 and 7:3.</w:t>
      </w:r>
    </w:p>
    <w:p>
      <w:pPr>
        <w:pStyle w:val="Normal"/>
      </w:pPr>
      <w:r>
        <w:t xml:space="preserve">123. Sanhedrin 98b.</w:t>
      </w:r>
    </w:p>
    <w:p>
      <w:pPr>
        <w:pStyle w:val="Normal"/>
      </w:pPr>
      <w:r>
        <w:t xml:space="preserve">124. Cf. A. Sarsowsky, Die ethisch-religiose Bedeutung der alttestamentlischen Namen nach Talmud, Targum und Midrasch.</w:t>
      </w:r>
    </w:p>
    <w:p>
      <w:pPr>
        <w:pStyle w:val="Normal"/>
      </w:pPr>
      <w:r>
        <w:t xml:space="preserve">125. Abraham Joshua Heschel, God in Search of Man, p. 137.</w:t>
      </w:r>
    </w:p>
    <w:p>
      <w:pPr>
        <w:pStyle w:val="Normal"/>
      </w:pPr>
      <w:r>
        <w:t xml:space="preserve">126. Ibid., p. 412.</w:t>
      </w:r>
    </w:p>
    <w:p>
      <w:pPr>
        <w:pStyle w:val="Normal"/>
      </w:pPr>
      <w:r>
        <w:t xml:space="preserve">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pPr>
      <w:r>
        <w:t xml:space="preserve">128. This is the common designation of God in the Rabbinic literature.</w:t>
      </w:r>
    </w:p>
    <w:p>
      <w:pPr>
        <w:pStyle w:val="Normal"/>
      </w:pPr>
      <w:r>
        <w:t xml:space="preserve">129. Baba Bathra 75b.</w:t>
      </w:r>
    </w:p>
    <w:p>
      <w:pPr>
        <w:pStyle w:val="Normal"/>
      </w:pPr>
      <w:r>
        <w:t xml:space="preserve">130. Lamentations Rabbah 1:1:16; Midrash on Proverbs 19:19-21; Midrash on Psalm 21:1, 2, </w:t>
      </w:r>
      <w:r>
        <w:rPr>
          <w:rStyle w:val="Text0"/>
        </w:rPr>
        <w:t xml:space="preserve">etc.</w:t>
      </w:r>
    </w:p>
    <w:p>
      <w:pPr>
        <w:pStyle w:val="Normal"/>
      </w:pPr>
      <w:r>
        <w:t xml:space="preserve">131. Targum on Jeremiah 23:5, 6.</w:t>
      </w:r>
    </w:p>
    <w:p>
      <w:pPr>
        <w:pStyle w:val="Normal"/>
      </w:pPr>
      <w:r>
        <w:t xml:space="preserve">132. Pesiqta de Rab Kahana, Pisqa 28.</w:t>
      </w:r>
    </w:p>
    <w:p>
      <w:pPr>
        <w:pStyle w:val="Normal"/>
      </w:pPr>
      <w:r>
        <w:t xml:space="preserve">133. Targum on Isaiah 9:5.</w:t>
      </w:r>
    </w:p>
    <w:p>
      <w:pPr>
        <w:pStyle w:val="Normal"/>
      </w:pPr>
      <w:r>
        <w:t xml:space="preserve">134. Genesis 49:8-12.</w:t>
      </w:r>
    </w:p>
    <w:p>
      <w:pPr>
        <w:pStyle w:val="Normal"/>
      </w:pPr>
      <w:r>
        <w:t xml:space="preserve">135. This probably comes from the word shalwah, which means peace, serenity. Zadok Kahn translates the name “the Peaceful One.”</w:t>
      </w:r>
    </w:p>
    <w:p>
      <w:pPr>
        <w:pStyle w:val="Normal"/>
      </w:pPr>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Text0"/>
        </w:rPr>
        <w:t xml:space="preserve">i.e.</w:t>
      </w:r>
      <w:r>
        <w:t xml:space="preserve"> the Messiah.</w:t>
      </w:r>
    </w:p>
    <w:p>
      <w:pPr>
        <w:pStyle w:val="Normal"/>
      </w:pPr>
      <w:r>
        <w:t xml:space="preserve">137. Cf. Psalm 2:6-10.</w:t>
      </w:r>
    </w:p>
    <w:p>
      <w:pPr>
        <w:pStyle w:val="Normal"/>
      </w:pPr>
      <w:r>
        <w:t xml:space="preserve">138. Sukkah 52a.</w:t>
      </w:r>
    </w:p>
    <w:p>
      <w:pPr>
        <w:pStyle w:val="Normal"/>
      </w:pPr>
      <w:r>
        <w:t xml:space="preserve">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pPr>
      <w:r>
        <w:t xml:space="preserve">140. Cf. Isaiah 11:1-6.</w:t>
      </w:r>
    </w:p>
    <w:p>
      <w:pPr>
        <w:pStyle w:val="Normal"/>
      </w:pPr>
      <w:r>
        <w:t xml:space="preserve">141. Genesis Rabbah 2:4, on Genesis 1:2 (Soncino ed., p. 17).</w:t>
      </w:r>
    </w:p>
    <w:p>
      <w:pPr>
        <w:pStyle w:val="Normal"/>
      </w:pPr>
      <w:r>
        <w:t xml:space="preserve">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pPr>
      <w:r>
        <w:t xml:space="preserve">143. Bereshith Rabbati, on Genesis 37:22.</w:t>
      </w:r>
    </w:p>
    <w:p>
      <w:pPr>
        <w:pStyle w:val="Normal"/>
      </w:pPr>
      <w:r>
        <w:t xml:space="preserve">144. Tehillim Rabbati (Rabbi Mosheh Hadarshan) on Psalm 85.12.</w:t>
      </w:r>
    </w:p>
    <w:p>
      <w:pPr>
        <w:pStyle w:val="Normal"/>
      </w:pPr>
      <w:r>
        <w:t xml:space="preserve">145. Parallelism is a literary device which consists of making words, entire phrases, or even chapters correspond to each other in a variable process of reciprocal reference.</w:t>
      </w:r>
    </w:p>
    <w:p>
      <w:pPr>
        <w:pStyle w:val="Normal"/>
      </w:pPr>
      <w:r>
        <w:t xml:space="preserve">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pPr>
      <w:r>
        <w:t xml:space="preserve">The fact is that it unfolds in a concentric manner and in that way is led to repeat the same theme, to specify it, to develop it, and to compass it in all its aspects.</w:t>
      </w:r>
    </w:p>
    <w:p>
      <w:pPr>
        <w:pStyle w:val="Normal"/>
      </w:pPr>
      <w:r>
        <w:t xml:space="preserve">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pPr>
      <w:r>
        <w:t xml:space="preserve">(1) The simple method. The second stich repeats the first in synonymous terms (Genesis 4:23); see Isaiah 27:1, above p. 47.</w:t>
      </w:r>
    </w:p>
    <w:p>
      <w:pPr>
        <w:pStyle w:val="Normal"/>
      </w:pPr>
      <w:r>
        <w:t xml:space="preserve">(2) The synthetic or complementary’ method. The second stich completes the idea of the first (Psalm 1:2); see Daniel 9:24, pp. 63, 64.</w:t>
      </w:r>
    </w:p>
    <w:p>
      <w:pPr>
        <w:pStyle w:val="Normal"/>
      </w:pPr>
      <w:r>
        <w:t xml:space="preserve">(3) The antithetic method. Two contrary expression are placed together in order to make them produce a contrast (Proverbs 10:1); see Micah 4 and 5, on pp. 56, 57.</w:t>
      </w:r>
    </w:p>
    <w:p>
      <w:pPr>
        <w:pStyle w:val="Normal"/>
      </w:pPr>
      <w:r>
        <w:t xml:space="preserve">(4) The chiastic or criss-cross method. The two expressions criss-cross each other, suggesting the form of the Greek letter Chi, (Genesis 9:6); see Micah 4:8 and 5:3b; 5:1; 4:14, on pp. 63, 64. Daniel 9:25-27, p. 65.</w:t>
      </w:r>
    </w:p>
    <w:p>
      <w:pPr>
        <w:pStyle w:val="Normal"/>
      </w:pPr>
      <w:r>
        <w:t xml:space="preserve">(5) The progressive method. The same thought is expressed in a manner increasingly more and more intense and more specific (Psalm 29:1); see Daniel 9:25, 26, on p. 65.</w:t>
      </w:r>
    </w:p>
    <w:p>
      <w:pPr>
        <w:pStyle w:val="Normal"/>
      </w:pPr>
      <w:r>
        <w:t xml:space="preserve">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pPr>
      <w:r>
        <w:t xml:space="preserve">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pPr>
      <w:r>
        <w:t xml:space="preserve">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pPr>
      <w:r>
        <w:t xml:space="preserve">146. This is equally the case with Genesis 1 and 2 (cf. U. Cassuto, La questione della Genesi. p. 258).</w:t>
      </w:r>
    </w:p>
    <w:p>
      <w:pPr>
        <w:pStyle w:val="Normal"/>
      </w:pPr>
      <w:r>
        <w:t xml:space="preserve">147. T. J. Berakoth 5a.</w:t>
      </w:r>
    </w:p>
    <w:p>
      <w:pPr>
        <w:pStyle w:val="Normal"/>
      </w:pPr>
      <w:r>
        <w:t xml:space="preserve">148. Bereshith Rabbati, on Genesis 49:10.</w:t>
      </w:r>
    </w:p>
    <w:p>
      <w:pPr>
        <w:pStyle w:val="Normal"/>
      </w:pPr>
      <w:r>
        <w:t xml:space="preserve">149. Cf. the Targum of Jonathan in its version of the passages - see especially verses 4:7-8 and 5:1.</w:t>
      </w:r>
    </w:p>
    <w:p>
      <w:pPr>
        <w:pStyle w:val="Normal"/>
      </w:pPr>
      <w:r>
        <w:t xml:space="preserve">150. Cf. Yoma 10a, Sanhedrin 18b, Sukkah 52b, Song of Songs Rabbah 8, etc.; Targum of Jonathan on Micah 4:7, 8; Micah 5:1; </w:t>
      </w:r>
      <w:r>
        <w:rPr>
          <w:rStyle w:val="Text0"/>
        </w:rPr>
        <w:t xml:space="preserve">etc.</w:t>
      </w:r>
    </w:p>
    <w:p>
      <w:pPr>
        <w:pStyle w:val="Normal"/>
      </w:pPr>
      <w:r>
        <w:t xml:space="preserve">151. Genesis Rabbah 56:16; cf. also Midrash on Psalm 126:3.</w:t>
      </w:r>
    </w:p>
    <w:p>
      <w:pPr>
        <w:pStyle w:val="Normal"/>
      </w:pPr>
      <w:r>
        <w:t xml:space="preserve">152. A. and R. Neher, Histoire Biblique du Peuple d’lsrael, p. 305.</w:t>
      </w:r>
    </w:p>
    <w:p>
      <w:pPr>
        <w:pStyle w:val="Normal"/>
      </w:pPr>
      <w:r>
        <w:t xml:space="preserve">153. Cf. Genesis 22.</w:t>
      </w:r>
    </w:p>
    <w:p>
      <w:pPr>
        <w:pStyle w:val="Normal"/>
      </w:pPr>
      <w:r>
        <w:t xml:space="preserve">154. Cf. 1 Chronicles 21:15, 16.</w:t>
      </w:r>
    </w:p>
    <w:p>
      <w:pPr>
        <w:pStyle w:val="Normal"/>
      </w:pPr>
      <w:r>
        <w:t xml:space="preserve">155. Cf. 1 Chronicles 21:28 to 22:1.</w:t>
      </w:r>
    </w:p>
    <w:p>
      <w:pPr>
        <w:pStyle w:val="Normal"/>
      </w:pPr>
      <w:r>
        <w:t xml:space="preserve">156. Aboth de R. Nathan 34.</w:t>
      </w:r>
    </w:p>
    <w:p>
      <w:pPr>
        <w:pStyle w:val="Normal"/>
      </w:pPr>
      <w:r>
        <w:t xml:space="preserve">157. Philo, Legum allegoria, III.79-80 (Loeb ed., vol. I, p. 353).</w:t>
      </w:r>
    </w:p>
    <w:p>
      <w:pPr>
        <w:pStyle w:val="Normal"/>
      </w:pPr>
      <w:r>
        <w:t xml:space="preserve">158. Baba Bathra 75b. Cf. Midrash on Psalm 21:1 - “Just as He names the Messiah by His own name, so will He also name Jerusalem by His own name.”</w:t>
      </w:r>
    </w:p>
    <w:p>
      <w:pPr>
        <w:pStyle w:val="Normal"/>
      </w:pPr>
      <w:r>
        <w:t xml:space="preserve">159. Cf. 2 Kings 9 and Hosea 1:4.</w:t>
      </w:r>
    </w:p>
    <w:p>
      <w:pPr>
        <w:pStyle w:val="Normal"/>
      </w:pPr>
      <w:r>
        <w:t xml:space="preserve">160. For the dialectic between Jerusalem and Bethlehem, see the parallelism in Micah, above on pp. 56, 57.</w:t>
      </w:r>
    </w:p>
    <w:p>
      <w:pPr>
        <w:pStyle w:val="Normal"/>
      </w:pPr>
      <w:r>
        <w:t xml:space="preserve">161. Sanhedrin 98a.</w:t>
      </w:r>
    </w:p>
    <w:p>
      <w:pPr>
        <w:pStyle w:val="Normal"/>
      </w:pPr>
      <w:r>
        <w:t xml:space="preserve">162. For his coming on the foal of an ass, see Baruch Rab, section 13 on Genesis 32:5; Tanhuma on Genesis 32:5; </w:t>
      </w:r>
      <w:r>
        <w:rPr>
          <w:rStyle w:val="Text0"/>
        </w:rPr>
        <w:t xml:space="preserve">etc.</w:t>
      </w:r>
    </w:p>
    <w:p>
      <w:pPr>
        <w:pStyle w:val="Normal"/>
      </w:pPr>
      <w:r>
        <w:t xml:space="preserve">For his coming “on” the clouds, see Numbers Rabbah 13:13-14.</w:t>
      </w:r>
    </w:p>
    <w:p>
      <w:pPr>
        <w:pStyle w:val="Normal"/>
      </w:pPr>
      <w:r>
        <w:t xml:space="preserve">163. Cf. note 145 on parallelism.</w:t>
      </w:r>
    </w:p>
    <w:p>
      <w:pPr>
        <w:pStyle w:val="Normal"/>
      </w:pPr>
      <w:r>
        <w:t xml:space="preserve">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pPr>
      <w:r>
        <w:t xml:space="preserve">165. The holy of holies (qodesh qodashim) is the technical term which in the Hebrew Bible designates this apartment of the Temple (cf. Exodus 26:33, 34).</w:t>
      </w:r>
    </w:p>
    <w:p>
      <w:pPr>
        <w:pStyle w:val="Normal"/>
      </w:pPr>
      <w:r>
        <w:t xml:space="preserve">166. This refers to the covering of the Ark of the Covenant, the box or chest containing the tables of the Law (cf. Exodus 4:20; Deuteronomy 10:1-5).</w:t>
      </w:r>
    </w:p>
    <w:p>
      <w:pPr>
        <w:pStyle w:val="Normal"/>
      </w:pPr>
      <w:r>
        <w:t xml:space="preserve">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pPr>
      <w:r>
        <w:t xml:space="preserve">168. The expression ayn lo appears to be a contraction of the expression which is found elsewhere in the book of Daniel (Daniel 11:45): ayn ozer lo, and which means “no one to help him.”</w:t>
      </w:r>
    </w:p>
    <w:p>
      <w:pPr>
        <w:pStyle w:val="Normal"/>
      </w:pPr>
      <w:r>
        <w:t xml:space="preserve">169. This punctuation goes back to the tenth century of our era.</w:t>
      </w:r>
    </w:p>
    <w:p>
      <w:pPr>
        <w:pStyle w:val="Normal"/>
      </w:pPr>
      <w:r>
        <w:t xml:space="preserve">170. The Peshitta is a translation in the Syriac language written about the second century A.D.</w:t>
      </w:r>
    </w:p>
    <w:p>
      <w:pPr>
        <w:pStyle w:val="Normal"/>
      </w:pPr>
      <w:r>
        <w:t xml:space="preserve">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pPr>
      <w:r>
        <w:t xml:space="preserve">172. This mode of interpretation is also found in the Essene writings of the Dead Sea manuscripts. The seventy weeks are in these writings converted to 490 years, a period they also have terminating at the coming of the “Teacher of Righteousness”:</w:t>
      </w:r>
    </w:p>
    <w:p>
      <w:pPr>
        <w:pStyle w:val="Normal"/>
      </w:pPr>
      <w:r>
        <w:t xml:space="preserve">“But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pPr>
      <w:r>
        <w:t xml:space="preserve">173. Nazir 32b.</w:t>
      </w:r>
    </w:p>
    <w:p>
      <w:pPr>
        <w:pStyle w:val="Normal"/>
      </w:pPr>
      <w:r>
        <w:t xml:space="preserve">174. Yoma 54a.</w:t>
      </w:r>
    </w:p>
    <w:p>
      <w:pPr>
        <w:pStyle w:val="Normal"/>
      </w:pPr>
      <w:r>
        <w:t xml:space="preserve">175. Lamentations Rabbah 34.</w:t>
      </w:r>
    </w:p>
    <w:p>
      <w:pPr>
        <w:pStyle w:val="Normal"/>
      </w:pPr>
      <w:r>
        <w:t xml:space="preserve">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pPr>
      <w:r>
        <w:t xml:space="preserve">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pPr>
      <w:r>
        <w:t xml:space="preserve">177. Cf. note 172.</w:t>
      </w:r>
    </w:p>
    <w:p>
      <w:pPr>
        <w:pStyle w:val="Normal"/>
      </w:pPr>
      <w:r>
        <w:t xml:space="preserve">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pPr>
      <w:r>
        <w:t xml:space="preserve">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pPr>
      <w:r>
        <w:t xml:space="preserve">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pPr>
      <w:r>
        <w:t xml:space="preserve">For the Mishnah as w ell as the Talmud, the year of reign in the Bible must begin in Tishri (cf. Mishnah, Rosh haShanah 1:1 and T.B. Rosh haShanah 3:72; cf. also the commentary in Hebrew of Hartom-Cassuto on the verse in Nehemiah 1:1).</w:t>
      </w:r>
    </w:p>
    <w:p>
      <w:pPr>
        <w:pStyle w:val="Normal"/>
      </w:pPr>
      <w:r>
        <w:t xml:space="preserve">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pPr>
      <w:r>
        <w:t xml:space="preserve">179. The use of the verb ykaret is very suggestive in this connection. The verb is regularly used in the Bible to designate the execution of an offender ‘cf. Numbers 15:31; Leviticus 20:17), or, in a broader sense, a massacre f cf. Isaiah 1 1.13, Micah 5:8).</w:t>
      </w:r>
    </w:p>
    <w:p>
      <w:pPr>
        <w:pStyle w:val="Normal"/>
      </w:pPr>
      <w:r>
        <w:t xml:space="preserve">180. Flavius Josephus, Jewish Antiquities 10.11.7.</w:t>
      </w:r>
    </w:p>
    <w:p>
      <w:pPr>
        <w:pStyle w:val="Normal"/>
      </w:pPr>
      <w:r>
        <w:t xml:space="preserve">181. Flavius Josephus was born A.D. 37.</w:t>
      </w:r>
    </w:p>
    <w:p>
      <w:pPr>
        <w:pStyle w:val="Normal"/>
      </w:pPr>
      <w:r>
        <w:t xml:space="preserve">182. Josephus, ibid.</w:t>
      </w:r>
    </w:p>
    <w:p>
      <w:pPr>
        <w:pStyle w:val="Normal"/>
      </w:pPr>
      <w:r>
        <w:t xml:space="preserve">183. Berakoth 12b.</w:t>
      </w:r>
    </w:p>
    <w:p>
      <w:pPr>
        <w:pStyle w:val="Normal"/>
      </w:pPr>
      <w:r>
        <w:t xml:space="preserve">184. Even circumcision could be interpreted in this sense Subsumed under the idea of sacrifice, it appeared in the Old Testament as having the effect of appeasing the anger of God.</w:t>
      </w:r>
    </w:p>
    <w:p>
      <w:pPr>
        <w:pStyle w:val="Normal"/>
      </w:pPr>
      <w:r>
        <w:t xml:space="preserve">This is the explanation of the episode concerning Moses (the bloody husband i. threatened with death by God simply because he had neglected to practice circumcision (cf. Exodus 4:24-26).</w:t>
      </w:r>
    </w:p>
    <w:p>
      <w:pPr>
        <w:pStyle w:val="Normal"/>
      </w:pPr>
      <w:r>
        <w:t xml:space="preserve">In that way of thinking we can also explain the relation between circumcision and the Passover lamb - symbol of the grace of God which passes over” ‘ cf. Exodus 12:43-49; Joshua 5:2-9).</w:t>
      </w:r>
    </w:p>
    <w:p>
      <w:pPr>
        <w:pStyle w:val="Normal"/>
      </w:pPr>
      <w:r>
        <w:t xml:space="preserve">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pPr>
      <w:r>
        <w:t xml:space="preserve">According to this last interpretation, circumcision would be an allusion to the ultimate rending of the Creator, who did not hesitate, in order to save man, to “mutilate His very Self.</w:t>
      </w:r>
    </w:p>
    <w:p>
      <w:pPr>
        <w:pStyle w:val="Normal"/>
      </w:pPr>
      <w:r>
        <w:t xml:space="preserve">As a matter of fact, the Hebrew word Berith Milah would already suggest such an interpretation, Berith Milah means the covenant of cutting, “or more precisely the “cutting of cutting, which is a superlative, the cutting par excellence</w:t>
      </w:r>
    </w:p>
    <w:p>
      <w:pPr>
        <w:pStyle w:val="Normal"/>
      </w:pPr>
      <w:r>
        <w:t xml:space="preserve">Beyond circumcision we can catch a glimpse of the various aspects of the Messianic ministry sacrifice, rending, covenant, </w:t>
      </w:r>
      <w:r>
        <w:rPr>
          <w:rStyle w:val="Text0"/>
        </w:rPr>
        <w:t xml:space="preserve">etc.</w:t>
      </w:r>
      <w:r>
        <w:t xml:space="preserve"> at the level of the very Person of the Creator.</w:t>
      </w:r>
    </w:p>
    <w:p>
      <w:pPr>
        <w:pStyle w:val="Normal"/>
      </w:pPr>
      <w:r>
        <w:t xml:space="preserve">185. Jewish Antiquities 18.3.3 The passage is considered to be among the most securely authentic by all scholars, whether Jewish or Christian(cf Ch. Guignebert. Jesus, pp. 16-1”, and J Klausner. Jesus of Nazareth. Pp. 55-57).</w:t>
      </w:r>
    </w:p>
    <w:p>
      <w:pPr>
        <w:pStyle w:val="Normal"/>
      </w:pPr>
      <w:r>
        <w:t xml:space="preserve">186. Luke 3 1. 23. According to this passage. Jesus began His ministry in the fifteenth year of the reign of Tiberius Caesar, from the moment when He was baptized and anointed (meshiah) by the Spirit of God (cf. Luke3:21. 22).</w:t>
      </w:r>
    </w:p>
    <w:p>
      <w:pPr>
        <w:pStyle w:val="Normal"/>
      </w:pPr>
      <w:r>
        <w:t xml:space="preserve">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pPr>
      <w:r>
        <w:t xml:space="preserve">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pPr>
      <w:r>
        <w:t xml:space="preserve">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pPr>
      <w:r>
        <w:t xml:space="preserve">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pPr>
      <w:r>
        <w:t xml:space="preserve">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pPr>
      <w:r>
        <w:t xml:space="preserve">187. Cf. Ld. Fleg, Jesus raconte par le juif errant, p. 21. Cf. Sanhedrin 97b; Luke 2:25, 26.</w:t>
      </w:r>
    </w:p>
    <w:p>
      <w:pPr>
        <w:pStyle w:val="Normal"/>
      </w:pPr>
      <w:r>
        <w:t xml:space="preserve">188. According to the Gospels, Jesus celebrated the Passover four times (cf John 2:13; 5:1; 6:4; 13:1).</w:t>
      </w:r>
    </w:p>
    <w:p>
      <w:pPr>
        <w:pStyle w:val="Normal"/>
      </w:pPr>
      <w:r>
        <w:t xml:space="preserve">189. Cf. Ch. Guignebert, Jesus, p. 21;cf. H. L. Strack, Jesus, die Haretiker und die Christen nach den altesten judisehen Angaben.</w:t>
      </w:r>
    </w:p>
    <w:p>
      <w:pPr>
        <w:pStyle w:val="Normal"/>
      </w:pPr>
      <w:r>
        <w:t xml:space="preserve">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pPr>
      <w:r>
        <w:t xml:space="preserve">191 Cf. Tipheret, chapter 29.</w:t>
      </w:r>
    </w:p>
    <w:p>
      <w:pPr>
        <w:pStyle w:val="Normal"/>
      </w:pPr>
      <w:r>
        <w:t xml:space="preserve">192. Samson R. Hirsch, Ten letters on Judaism, No. 18. Hirsch was a German rabbi who became the champion of Orthodox Judaism in opposition to the Reform movement and assimilationism.</w:t>
      </w:r>
    </w:p>
    <w:p>
      <w:pPr>
        <w:pStyle w:val="Normal"/>
      </w:pPr>
      <w:r>
        <w:t xml:space="preserve">193. See his drama, Nathan the Wise.</w:t>
      </w:r>
    </w:p>
    <w:p>
      <w:pPr>
        <w:pStyle w:val="Normal"/>
      </w:pPr>
      <w:r>
        <w:t xml:space="preserve">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pPr>
      <w:r>
        <w:t xml:space="preserve">195. Le Judai’sme, p. 74.</w:t>
      </w:r>
    </w:p>
    <w:p>
      <w:pPr>
        <w:pStyle w:val="Normal"/>
      </w:pPr>
      <w:r>
        <w:t xml:space="preserve">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pPr>
      <w:r>
        <w:t xml:space="preserve">197. L’enseignement de leschoua de Nazareth, p. 122.</w:t>
      </w:r>
    </w:p>
    <w:p>
      <w:pPr>
        <w:pStyle w:val="Normal"/>
      </w:pPr>
      <w:r>
        <w:t xml:space="preserve">198. Shabbath 128a.</w:t>
      </w:r>
    </w:p>
    <w:p>
      <w:pPr>
        <w:pStyle w:val="Normal"/>
      </w:pPr>
      <w:r>
        <w:t xml:space="preserve">199. L’enseignement de leschoua de Nazareth, p. 122. Cf. also Burton Scott Easton, Christ in the Gospels, pp. 82-139.</w:t>
      </w:r>
    </w:p>
    <w:p>
      <w:pPr>
        <w:pStyle w:val="Normal"/>
      </w:pPr>
      <w:r>
        <w:t xml:space="preserve">200. “The scribes and the Pharisees sit on Moses’ seat,” affirmed Jesus, “so practice and observe whatever they tell you!” This he said to his disciples. (Matthew 23:2, 3.)</w:t>
      </w:r>
    </w:p>
    <w:p>
      <w:pPr>
        <w:pStyle w:val="Normal"/>
      </w:pPr>
      <w:r>
        <w:t xml:space="preserve">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pPr>
      <w:r>
        <w:t xml:space="preserve">201. The examples chosen to illustrate his thesis are taken from the Decalogue: “Thou shalt not commit adultery… thou shalt not kill” (James 2.11).</w:t>
      </w:r>
    </w:p>
    <w:p>
      <w:pPr>
        <w:pStyle w:val="Normal"/>
      </w:pPr>
      <w:r>
        <w:t xml:space="preserve">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pPr>
      <w:r>
        <w:t xml:space="preserve">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pPr>
      <w:r>
        <w:t xml:space="preserve">204. The Hebrew word Teshub, which translates the idea of repentance, literally means “a turning back.”</w:t>
      </w:r>
    </w:p>
    <w:p>
      <w:pPr>
        <w:pStyle w:val="Normal"/>
      </w:pPr>
      <w:r>
        <w:t xml:space="preserve">205. “What can be substituted for the oxen which we used to offer unto Thee? Our lips, with the prayer which we offer unto Thee.” Pesiqta 165b. Cf. Hebrews 13:15.</w:t>
      </w:r>
    </w:p>
    <w:p>
      <w:pPr>
        <w:pStyle w:val="Normal"/>
      </w:pPr>
      <w:r>
        <w:t xml:space="preserve">206. L’enseignement de leschoua de Nazareth, pp. 137, 138. Cf. also F. Lovsky, La dechirure de I’absence.)</w:t>
      </w:r>
    </w:p>
    <w:p>
      <w:pPr>
        <w:pStyle w:val="Normal"/>
      </w:pPr>
      <w:r>
        <w:t xml:space="preserve">207. Page 129. On the Jewish side, note especially the works of Sch. BenChorin, Bruder Jesus: Der Nazarener in judischer Sicht; David Flusser, Jesus; and other authors such as Joseph Klausner, Salomon Asch, R. Aron, </w:t>
      </w:r>
      <w:r>
        <w:rPr>
          <w:rStyle w:val="Text0"/>
        </w:rPr>
        <w:t xml:space="preserve">etc.</w:t>
      </w:r>
    </w:p>
    <w:p>
      <w:pPr>
        <w:pStyle w:val="Normal"/>
      </w:pPr>
      <w:r>
        <w:t xml:space="preserve">208. Revue Biblique (1910), p. 10.</w:t>
      </w:r>
    </w:p>
    <w:p>
      <w:pPr>
        <w:pStyle w:val="Normal"/>
      </w:pPr>
      <w:r>
        <w:t xml:space="preserve">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pPr>
      <w:r>
        <w:t xml:space="preserve">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pPr>
      <w:r>
        <w:t xml:space="preserve">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pPr>
      <w:r>
        <w:t xml:space="preserve">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pPr>
      <w:r>
        <w:t xml:space="preserve">213. Flavius Josephus, Jewish Antiquities 28.8.</w:t>
      </w:r>
    </w:p>
    <w:p>
      <w:pPr>
        <w:pStyle w:val="Normal"/>
      </w:pPr>
      <w:r>
        <w:t xml:space="preserve">214. This refers to the family of Caiaphas.</w:t>
      </w:r>
    </w:p>
    <w:p>
      <w:pPr>
        <w:pStyle w:val="Normal"/>
      </w:pPr>
      <w:r>
        <w:t xml:space="preserve">215. J. Klausner, Jesus of Nazareth, p. 337. According to the author, the term “whisperings” alludes to the secret denunciations.</w:t>
      </w:r>
    </w:p>
    <w:p>
      <w:pPr>
        <w:pStyle w:val="Normal"/>
      </w:pPr>
      <w:r>
        <w:t xml:space="preserve">216. Jules Isaac, Jesus et Israel, p. 93.</w:t>
      </w:r>
    </w:p>
    <w:p>
      <w:pPr>
        <w:pStyle w:val="Normal"/>
      </w:pPr>
      <w:r>
        <w:t xml:space="preserve">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pPr>
      <w:r>
        <w:t xml:space="preserve">218. Cf. Daniel-Rops, Jesus and His Times, p. 517; and Isaac, Jesus et Israel, pp. 341-343.</w:t>
      </w:r>
    </w:p>
    <w:p>
      <w:pPr>
        <w:pStyle w:val="Normal"/>
      </w:pPr>
      <w:r>
        <w:t xml:space="preserve">219. Cf. James 5:1-6. The apostle accuses the rich of having condemned and killed the Righteous Man. The priestly caste, known for its affluence and its rapacity (see above) is seen here.</w:t>
      </w:r>
    </w:p>
    <w:p>
      <w:pPr>
        <w:pStyle w:val="Normal"/>
      </w:pPr>
      <w:r>
        <w:t xml:space="preserve">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pPr>
      <w:r>
        <w:t xml:space="preserve">221. According to Daniel-Rops, it was about 5:00 a.m. (cf. op. cit., p. 422).</w:t>
      </w:r>
    </w:p>
    <w:p>
      <w:pPr>
        <w:pStyle w:val="Normal"/>
      </w:pPr>
      <w:r>
        <w:t xml:space="preserve">222. According to the majority of historians, it was not until the fourth century that the accusation of deicide arose. (Cf. Marcel Simon, Verus Israel, and F. Lovsky, Antisemitisme et Mystere d’lsrael.)</w:t>
      </w:r>
    </w:p>
    <w:p>
      <w:pPr>
        <w:pStyle w:val="Normal"/>
      </w:pPr>
      <w:r>
        <w:t xml:space="preserve">223. See, for example, the translation of Isaiah 53:8 in the Bible of Zadok Kahn.</w:t>
      </w:r>
    </w:p>
    <w:p>
      <w:pPr>
        <w:pStyle w:val="Normal"/>
      </w:pPr>
      <w:r>
        <w:t xml:space="preserve">224. On this subject see G. Friedmann, “Antisemitisme et personnalite” juive, in Fin du peuplejuif, pp. 317 ff.</w:t>
      </w:r>
    </w:p>
    <w:p>
      <w:pPr>
        <w:pStyle w:val="Normal"/>
      </w:pPr>
      <w:r>
        <w:t xml:space="preserve">225. See Luther’s tract, Dass Jesus Christus ein geborner Jude sei.</w:t>
      </w:r>
    </w:p>
    <w:p>
      <w:pPr>
        <w:pStyle w:val="Normal"/>
      </w:pPr>
      <w:r>
        <w:t xml:space="preserve">226. E. Amado Levi-Valensi, La Racine et la Source, p. 99.</w:t>
      </w:r>
    </w:p>
    <w:p>
      <w:pPr>
        <w:pStyle w:val="Normal"/>
      </w:pPr>
      <w:r>
        <w:t xml:space="preserve">227. Cited by Max Picard in Le monde du silence, p. 184.</w:t>
      </w:r>
    </w:p>
    <w:p>
      <w:pPr>
        <w:pStyle w:val="Normal"/>
      </w:pPr>
      <w:r>
        <w:t xml:space="preserve">228. Je’sus et Israel, p 5 5H</w:t>
      </w:r>
    </w:p>
    <w:p>
      <w:pPr>
        <w:pStyle w:val="Normal"/>
      </w:pPr>
      <w:r>
        <w:t xml:space="preserve">229. E. Amado Levi-Valensi, op. cit., p. 21. (Cf. R Loewenstein, Psychanalyse de l’Antisemitisme.</w:t>
      </w:r>
    </w:p>
    <w:p>
      <w:pPr>
        <w:pStyle w:val="Normal"/>
      </w:pPr>
      <w:r>
        <w:t xml:space="preserve">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pPr>
      <w:r>
        <w:t xml:space="preserve">231. Nostra Aetate 4, 2b.</w:t>
      </w:r>
    </w:p>
    <w:p>
      <w:pPr>
        <w:pStyle w:val="Normal"/>
      </w:pPr>
      <w:r>
        <w:t xml:space="preserve">232. Cf. E. Amado Levi-Valensi, op. cit. p 24.</w:t>
      </w:r>
    </w:p>
    <w:p>
      <w:pPr>
        <w:pStyle w:val="Normal"/>
      </w:pPr>
      <w:r>
        <w:t xml:space="preserve">233. Cf. Ibid. p 24.</w:t>
      </w:r>
    </w:p>
    <w:p>
      <w:pPr>
        <w:pStyle w:val="Normal"/>
      </w:pPr>
      <w:r>
        <w:t xml:space="preserve">234. Cf. our article, “La vocation a la difference,” in Conscience et Liberte No. 8 (International Revue of Religious Liberty).</w:t>
      </w:r>
    </w:p>
    <w:p>
      <w:pPr>
        <w:pStyle w:val="Normal"/>
      </w:pPr>
      <w:r>
        <w:t xml:space="preserve">235. L’homme revolte, p. 39.</w:t>
      </w:r>
    </w:p>
    <w:p>
      <w:pPr>
        <w:pStyle w:val="Normal"/>
      </w:pPr>
      <w:r>
        <w:t xml:space="preserve">236. I and Thou, p. 11.</w:t>
      </w:r>
    </w:p>
    <w:p>
      <w:pPr>
        <w:pStyle w:val="Normal"/>
      </w:pPr>
      <w:r>
        <w:t xml:space="preserve">237. Aboth 1:1.</w:t>
      </w:r>
    </w:p>
    <w:p>
      <w:pPr>
        <w:pStyle w:val="Normal"/>
      </w:pPr>
      <w:r>
        <w:t xml:space="preserve">238. La Talmud et ses maitres p. 25.</w:t>
      </w:r>
    </w:p>
    <w:p>
      <w:pPr>
        <w:pStyle w:val="Normal"/>
      </w:pPr>
      <w:r>
        <w:t xml:space="preserve">239. Article “Tradition.”</w:t>
      </w:r>
    </w:p>
    <w:p>
      <w:pPr>
        <w:pStyle w:val="Normal"/>
      </w:pPr>
      <w:r>
        <w:t xml:space="preserve">240. Article “Tradition.”</w:t>
      </w:r>
    </w:p>
    <w:p>
      <w:pPr>
        <w:pStyle w:val="Normal"/>
      </w:pPr>
      <w:r>
        <w:t xml:space="preserve">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pPr>
      <w:r>
        <w:t xml:space="preserve">242. Vol III. p 498.</w:t>
      </w:r>
    </w:p>
    <w:p>
      <w:pPr>
        <w:pStyle w:val="Normal"/>
      </w:pPr>
      <w:r>
        <w:t xml:space="preserve">243. Presence de l’Eternite, p. 151.</w:t>
      </w:r>
    </w:p>
    <w:p>
      <w:pPr>
        <w:pStyle w:val="Normal"/>
      </w:pPr>
      <w:r>
        <w:t xml:space="preserve">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pPr>
      <w:r>
        <w:t xml:space="preserve">, as a maxim of the legal profession puts it. That proves that survival after death is a necessity for the human heart, but it does not prove that it is true</w:t>
      </w:r>
    </w:p>
    <w:p>
      <w:pPr>
        <w:pStyle w:val="Normal"/>
      </w:pPr>
      <w:r>
        <w:t xml:space="preserve">.Let us be careful not to mistake our wishes, or our needs, for realities.” Op. cit., pp. 110, 111.</w:t>
      </w:r>
    </w:p>
    <w:p>
      <w:pPr>
        <w:pStyle w:val="Normal"/>
      </w:pPr>
      <w:r>
        <w:t xml:space="preserve">245. “La Bible et le Probleme de l’au-cela,” in Revue de Theologie et l’Action evangelique, p. 42.</w:t>
      </w:r>
    </w:p>
    <w:p>
      <w:pPr>
        <w:pStyle w:val="Normal"/>
      </w:pPr>
      <w:r>
        <w:t xml:space="preserve">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pPr>
      <w:r>
        <w:t xml:space="preserve">The two methods reach the same conclusion: monistic anthropology such as found in the Bible cannot be compromised with the dualism implied in the idea of the immortality of the soul.</w:t>
      </w:r>
    </w:p>
    <w:p>
      <w:pPr>
        <w:pStyle w:val="Normal"/>
      </w:pPr>
      <w:r>
        <w:t xml:space="preserve">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pPr>
      <w:r>
        <w:t xml:space="preserve">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pPr>
      <w:r>
        <w:t xml:space="preserve">248. Jerusalem Talmud, Shebith 4 (p. 365).</w:t>
      </w:r>
    </w:p>
    <w:p>
      <w:pPr>
        <w:pStyle w:val="Normal"/>
      </w:pPr>
      <w:r>
        <w:t xml:space="preserve">249. Jerusalem Talmud, Berakoth 2 (p. 37).</w:t>
      </w:r>
    </w:p>
    <w:p>
      <w:pPr>
        <w:pStyle w:val="Normal"/>
      </w:pPr>
      <w:r>
        <w:t xml:space="preserve">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pPr>
      <w:r>
        <w:t xml:space="preserve">251. Dialogue with Trypho 80.3-4.</w:t>
      </w:r>
    </w:p>
    <w:p>
      <w:pPr>
        <w:pStyle w:val="Normal"/>
      </w:pPr>
      <w:r>
        <w:t xml:space="preserve">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pPr>
      <w:r>
        <w:t xml:space="preserve">253. On this question see in particular the work of T. Boman, Hebrew Thought Compared with Greek, and that of CI. Tresmontant, Essai sur la pensee hebraique.</w:t>
      </w:r>
    </w:p>
    <w:p>
      <w:pPr>
        <w:pStyle w:val="Normal"/>
      </w:pPr>
      <w:r>
        <w:t xml:space="preserve">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pPr>
      <w:r>
        <w:t xml:space="preserve">254. The apostle Peter expressed it well: “No prophecy ever came by the will of man, but men moved by the Holy Spirit spoke from God.” 2 Peter 1:21.</w:t>
      </w:r>
    </w:p>
    <w:p>
      <w:pPr>
        <w:pStyle w:val="Normal"/>
      </w:pPr>
      <w:r>
        <w:t xml:space="preserve">On this subject, see the remarkably fine analysis by Andre Neher in his book, The Prophetic Existence, p. 317 ff., where the author reflects on, among other things, the burden of the prophetic calling.</w:t>
      </w:r>
    </w:p>
    <w:p>
      <w:pPr>
        <w:pStyle w:val="Normal"/>
      </w:pPr>
      <w:r>
        <w:t xml:space="preserve">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pPr>
      <w:r>
        <w:t xml:space="preserve">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pPr>
      <w:r>
        <w:t xml:space="preserve">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pPr>
      <w:r>
        <w:t xml:space="preserve">258. It is in this sense that we must understand the biblical expression of “a jealous God.” It belongs to the marriage imagery, which describes the relationship between God and His wife, Israel. The jealousy of God is a corollary of His love.</w:t>
      </w:r>
    </w:p>
    <w:p>
      <w:pPr>
        <w:pStyle w:val="Normal"/>
      </w:pPr>
      <w:r>
        <w:t xml:space="preserve">259. Cf. Psalms 139; 11:4, 5; 1 Chronicles 28:9; Hebrews 4:13;etc.</w:t>
      </w:r>
    </w:p>
    <w:p>
      <w:pPr>
        <w:pStyle w:val="Normal"/>
      </w:pPr>
      <w:r>
        <w:t xml:space="preserve">260. The verb is used only in reference to God.</w:t>
      </w:r>
    </w:p>
    <w:p>
      <w:pPr>
        <w:pStyle w:val="Normal"/>
      </w:pPr>
      <w:r>
        <w:t xml:space="preserve">261. Cf. Deuteronomy 28:10, where the two verbs are in parallelism. The Egyptian language also attests the same connection with reference to the verb NRJ. (Cf. Louis Derousseaux, La crainte de Dieu dans I’Ancien Testament, pp. 25, 26.)</w:t>
      </w:r>
    </w:p>
    <w:p>
      <w:pPr>
        <w:pStyle w:val="Normal"/>
      </w:pPr>
      <w:r>
        <w:t xml:space="preserve">262. La culture trahie par les siens, p. 36.</w:t>
      </w:r>
    </w:p>
    <w:p>
      <w:pPr>
        <w:pStyle w:val="Normal"/>
      </w:pPr>
      <w:r>
        <w:t xml:space="preserve">263. From Genesis to Malachi, “last canonical prophet of the Bible” (cf. A. Neher, Essence du prophetisme).</w:t>
      </w:r>
    </w:p>
    <w:p>
      <w:pPr>
        <w:pStyle w:val="Normal"/>
      </w:pPr>
      <w:r>
        <w:t xml:space="preserve">264. In Hebrew, as in Greek, it is the same word (malakh, angelos). Cf. Malachi 3:1, 23 in the Hebrew Bible (3:1; 4:5 in the Christian Bibles) and Revelation 14:6.</w:t>
      </w:r>
    </w:p>
    <w:p>
      <w:pPr>
        <w:pStyle w:val="Normal"/>
      </w:pPr>
      <w:r>
        <w:t xml:space="preserve">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pPr>
      <w:r>
        <w:t xml:space="preserve">266. Cf. above our chapter on “The Fear of God.” One encounters this association between Fear of God and Creation in Psalm 33:9, a psalm which is still today a part of the Jewish liturgy for the Sabbath.</w:t>
      </w:r>
    </w:p>
    <w:p>
      <w:pPr>
        <w:pStyle w:val="Normal"/>
      </w:pPr>
      <w:r>
        <w:t xml:space="preserve">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pPr>
      <w:r>
        <w:t xml:space="preserve">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pPr>
      <w:r>
        <w:t xml:space="preserve">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pPr>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Text0"/>
        </w:rPr>
        <w:t xml:space="preserve">etc.</w:t>
      </w:r>
      <w:r>
        <w:t xml:space="preserve"> j, an expression without ambiguity, which is used systematically throughout the Bible in the sense of a day of twenty-four hours.</w:t>
      </w:r>
    </w:p>
    <w:p>
      <w:pPr>
        <w:pStyle w:val="Normal"/>
      </w:pPr>
      <w:r>
        <w:t xml:space="preserve">The Sabbath which is in question does not refer to a long period or to a symbol; it is a concrete day which has an evening and a morning, a day intrinsic to human time - of twenty-four hours, a historical day.</w:t>
      </w:r>
    </w:p>
    <w:p>
      <w:pPr>
        <w:pStyle w:val="Normal"/>
      </w:pPr>
      <w:r>
        <w:t xml:space="preserve">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p>
    <w:p>
      <w:bookmarkStart w:id="32" w:name="Table_of_Contents"/>
      <w:bookmarkStart w:id="33" w:name="Top_of_part0018_xhtml"/>
      <w:pPr>
        <w:pStyle w:val="Para 10"/>
        <w:pageBreakBefore w:val="on"/>
      </w:pPr>
      <w:r>
        <w:t xml:space="preserve">Índice</w:t>
      </w:r>
      <w:bookmarkEnd w:id="32"/>
      <w:bookmarkEnd w:id="33"/>
    </w:p>
    <w:p>
      <w:pPr>
        <w:pStyle w:val="Para 09"/>
      </w:pPr>
      <w:hyperlink w:anchor="Top_of_part0003_xhtml">
        <w:r>
          <w:t xml:space="preserve">Prefácio</w:t>
        </w:r>
      </w:hyperlink>
    </w:p>
    <w:p>
      <w:pPr>
        <w:pStyle w:val="Para 02"/>
      </w:pPr>
      <w:hyperlink w:anchor="Top_of_part0004_xhtml">
        <w:r>
          <w:t xml:space="preserve">Prefácio</w:t>
        </w:r>
      </w:hyperlink>
    </w:p>
    <w:p>
      <w:pPr>
        <w:pStyle w:val="Para 02"/>
      </w:pPr>
      <w:hyperlink w:anchor="Top_of_part0005_xhtml">
        <w:r>
          <w:t xml:space="preserve">Introdução</w:t>
        </w:r>
      </w:hyperlink>
    </w:p>
    <w:p>
      <w:pPr>
        <w:pStyle w:val="Para 02"/>
      </w:pPr>
      <w:hyperlink w:anchor="Top_of_part0006_xhtml">
        <w:r>
          <w:t xml:space="preserve">Capítulo 1</w:t>
        </w:r>
      </w:hyperlink>
    </w:p>
    <w:p>
      <w:pPr>
        <w:pStyle w:val="Para 02"/>
      </w:pPr>
      <w:hyperlink w:anchor="Top_of_part0007_xhtml">
        <w:r>
          <w:t xml:space="preserve">Capítulo 2</w:t>
        </w:r>
      </w:hyperlink>
    </w:p>
    <w:p>
      <w:pPr>
        <w:pStyle w:val="Para 02"/>
      </w:pPr>
      <w:hyperlink w:anchor="Top_of_part0008_xhtml">
        <w:r>
          <w:t xml:space="preserve">Capítulo 3</w:t>
        </w:r>
      </w:hyperlink>
    </w:p>
    <w:p>
      <w:pPr>
        <w:pStyle w:val="Para 02"/>
      </w:pPr>
      <w:hyperlink w:anchor="Top_of_part0009_xhtml">
        <w:r>
          <w:t xml:space="preserve">Capítulo 4</w:t>
        </w:r>
      </w:hyperlink>
    </w:p>
    <w:p>
      <w:pPr>
        <w:pStyle w:val="Para 02"/>
      </w:pPr>
      <w:hyperlink w:anchor="Top_of_part0010_xhtml">
        <w:r>
          <w:t xml:space="preserve">Capítulo 5</w:t>
        </w:r>
      </w:hyperlink>
    </w:p>
    <w:p>
      <w:pPr>
        <w:pStyle w:val="Para 02"/>
      </w:pPr>
      <w:hyperlink w:anchor="Top_of_part0011_xhtml">
        <w:r>
          <w:t xml:space="preserve">Capítulo 6</w:t>
        </w:r>
      </w:hyperlink>
    </w:p>
    <w:p>
      <w:pPr>
        <w:pStyle w:val="Para 02"/>
      </w:pPr>
      <w:hyperlink w:anchor="Top_of_part0012_xhtml">
        <w:r>
          <w:t xml:space="preserve">Capítulo 7</w:t>
        </w:r>
      </w:hyperlink>
    </w:p>
    <w:p>
      <w:pPr>
        <w:pStyle w:val="Para 02"/>
      </w:pPr>
      <w:hyperlink w:anchor="Top_of_part0013_xhtml">
        <w:r>
          <w:t xml:space="preserve">Epilogo 8</w:t>
        </w:r>
      </w:hyperlink>
    </w:p>
    <w:p>
      <w:pPr>
        <w:pStyle w:val="Para 02"/>
      </w:pPr>
      <w:hyperlink w:anchor="Top_of_part0014_xhtml">
        <w:r>
          <w:t xml:space="preserve">Capítulo 9</w:t>
        </w:r>
      </w:hyperlink>
    </w:p>
    <w:p>
      <w:pPr>
        <w:pStyle w:val="Para 02"/>
      </w:pPr>
      <w:hyperlink w:anchor="Top_of_part0015_xhtml">
        <w:r>
          <w:t xml:space="preserve">Capítulo 10</w:t>
        </w:r>
      </w:hyperlink>
    </w:p>
    <w:p>
      <w:pPr>
        <w:pStyle w:val="Para 02"/>
      </w:pPr>
      <w:hyperlink w:anchor="Top_of_part0016_xhtml">
        <w:r>
          <w:t xml:space="preserve">Capítulo 11</w:t>
        </w:r>
      </w:hyperlink>
    </w:p>
    <w:p>
      <w:pPr>
        <w:pStyle w:val="Para 02"/>
      </w:pPr>
      <w:hyperlink w:anchor="Top_of_part0017_xhtml">
        <w:r>
          <w:t xml:space="preserve">Epílogo</w:t>
        </w:r>
      </w:hyperlink>
    </w:p>
    <w:sectPr>
      <w:pgSz w:w="12240" w:h="15840"/>
      <w:pgMar w:top="1440" w:right="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cstheme="minorBidi" w:hAnsiTheme="minorHAnsi" w:eastAsiaTheme="minorEastAsia"/>
        <w:sz w:val="22"/>
        <w:szCs w:val="22"/>
        <w:lang w:val="en" w:eastAsia="en" w:bidi="en"/>
      </w:rPr>
    </w:rPrDefault>
    <w:pPrDefault>
      <w:pPr>
        <w:spacing w:lineRule="auto" w:line="276" w:after="0"/>
      </w:pPr>
    </w:pPrDefault>
  </w:docDefaults>
  <w:style w:styleId="Normal" w:type="paragraph" w:default="1">
    <w:name w:val="Normal"/>
    <w:qFormat/>
    <w:pPr>
      <w:spacing w:line="288" w:lineRule="atLeast"/>
      <w:ind w:firstLineChars="200"/>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Lines="30" w:line="408" w:lineRule="atLeast"/>
      <w:ind w:firstLine="0" w:firstLineChars="0"/>
      <w:jc w:val="center"/>
    </w:pPr>
    <w:rPr>
      <w:sz w:val="34"/>
      <w:szCs w:val="34"/>
    </w:rPr>
  </w:style>
  <w:style w:styleId="Para 02" w:type="paragraph">
    <w:name w:val="Para 02"/>
    <w:qFormat/>
    <w:basedOn w:val="Normal"/>
    <w:pPr>
      <w:spacing w:beforeLines="30"/>
      <w:ind w:left="341" w:leftChars="0" w:hangingChars="116"/>
    </w:pPr>
    <w:rPr>
      <w:color w:val="0000FF"/>
      <w:u w:val="single"/>
    </w:rPr>
  </w:style>
  <w:style w:styleId="Para 03" w:type="paragraph">
    <w:name w:val="Para 03"/>
    <w:qFormat/>
    <w:basedOn w:val="Normal"/>
    <w:pPr>
      <w:spacing w:beforeLines="142"/>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beforeLines="133" w:line="408" w:lineRule="atLeast"/>
      <w:ind w:firstLine="0" w:firstLineChars="0"/>
      <w:jc w:val="center"/>
    </w:pPr>
    <w:rPr>
      <w:sz w:val="34"/>
      <w:szCs w:val="34"/>
    </w:rPr>
  </w:style>
  <w:style w:styleId="Para 05" w:type="paragraph">
    <w:name w:val="Para 05"/>
    <w:qFormat/>
    <w:basedOn w:val="Normal"/>
    <w:pPr>
      <w:spacing w:beforeLines="30"/>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6" w:type="paragraph">
    <w:name w:val="Para 06"/>
    <w:qFormat/>
    <w:basedOn w:val="Normal"/>
    <w:pPr>
      <w:spacing w:beforeLines="99"/>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7" w:type="paragraph">
    <w:name w:val="Para 07"/>
    <w:qFormat/>
    <w:basedOn w:val="Normal"/>
    <w:pPr>
      <w:spacing w:beforeLine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8" w:type="paragraph">
    <w:name w:val="Para 08"/>
    <w:qFormat/>
    <w:basedOn w:val="Normal"/>
    <w:pPr>
      <w:spacing w:beforeLines="200"/>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9" w:type="paragraph">
    <w:name w:val="Para 09"/>
    <w:qFormat/>
    <w:basedOn w:val="Normal"/>
    <w:pPr>
      <w:spacing w:beforeLines="99"/>
      <w:ind w:left="341" w:leftChars="0" w:hangingChars="116"/>
    </w:pPr>
    <w:rPr>
      <w:color w:val="0000FF"/>
      <w:u w:val="single"/>
    </w:rPr>
  </w:style>
  <w:style w:styleId="Para 10" w:type="paragraph">
    <w:name w:val="Para 10"/>
    <w:qFormat/>
    <w:basedOn w:val="Normal"/>
    <w:pPr>
      <w:spacing w:beforeLines="30" w:line="576" w:lineRule="atLeast"/>
      <w:ind w:firstLine="0" w:firstLineChars="0"/>
      <w:jc w:val="center"/>
    </w:pPr>
    <w:rPr>
      <w:sz w:val="48"/>
      <w:szCs w:val="48"/>
    </w:rPr>
  </w:style>
  <w:style w:styleId="Para 11" w:type="paragraph">
    <w:name w:val="Para 11"/>
    <w:qFormat/>
    <w:basedOn w:val="Normal"/>
    <w:pPr>
      <w:spacing w:beforeLines="30"/>
      <w:ind w:firstLineChars="235"/>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2" w:type="paragraph">
    <w:name w:val="Para 12"/>
    <w:qFormat/>
    <w:basedOn w:val="Normal"/>
    <w:pPr>
      <w:spacing w:beforeLines="159" w:line="408" w:lineRule="atLeast"/>
      <w:ind w:firstLine="0" w:firstLineChars="0"/>
      <w:jc w:val="center"/>
    </w:pPr>
    <w:rPr>
      <w:sz w:val="34"/>
      <w:szCs w:val="34"/>
    </w:rPr>
  </w:style>
  <w:style w:styleId="Para 13" w:type="paragraph">
    <w:name w:val="Para 13"/>
    <w:qFormat/>
    <w:basedOn w:val="Normal"/>
    <w:pPr>
      <w:spacing w:beforeLines="33" w:line="576" w:lineRule="atLeast"/>
      <w:ind w:firstLineChars="35"/>
      <w:jc w:val="center"/>
    </w:pPr>
    <w:rPr>
      <w:sz w:val="48"/>
      <w:szCs w:val="48"/>
    </w:rPr>
  </w:style>
  <w:style w:styleId="Text0" w:type="character">
    <w:name w:val="0 Text"/>
    <w:rPr>
      <w:i w:val="on"/>
      <w:i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webSettings.xml" Type="http://schemas.openxmlformats.org/officeDocument/2006/relationships/webSettings" Id="rId2"/><Relationship Target="styles.xml" Type="http://schemas.openxmlformats.org/officeDocument/2006/relationships/styles" Id="rId4"/><Relationship Target="media/image-1.jpeg" Type="http://schemas.openxmlformats.org/officeDocument/2006/relationships/image" Id="rId5"/><Relationship Target="media/cover.jpeg" Type="http://schemas.openxmlformats.org/officeDocument/2006/relationships/image" Id="rId6"/><Relationship Target="fontTable.xml" Type="http://schemas.openxmlformats.org/officeDocument/2006/relationships/fontTable" Id="rId1"/><Relationship Target="numbering.xml" Type="http://schemas.openxmlformats.org/officeDocument/2006/relationships/numbering" Id="rId3"/></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Pacific Press Publishing Association</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2018-05-11T18:58:09Z</dcterms:created>
  <dcterms:modified xsi:type="dcterms:W3CDTF">2018-05-11T18:58:09Z</dcterms:modified>
  <dc:title>Drinking at the Sources</dc:title>
  <dc:creator>Jacques Doukhan</dc:creator>
  <dc:language>en</dc:language>
</cp:coreProperties>
</file>