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94843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943600" cy="9484360"/>
                    </a:xfrm>
                    <a:prstGeom prst="rect">
                      <a:avLst/>
                    </a:prstGeom>
                  </pic:spPr>
                </pic:pic>
              </a:graphicData>
            </a:graphic>
          </wp:anchor>
        </w:drawing>
      </w:r>
      <w:r>
        <w:br w:type="page"/>
      </w:r>
    </w:p>
    <w:p>
      <w:pPr>
        <w:pStyle w:val="Para10"/>
        <w:rPr/>
      </w:pPr>
      <w:r>
        <w:rPr/>
        <w:t xml:space="preserve">Índice</w:t>
      </w:r>
    </w:p>
    <w:p>
      <w:pPr>
        <w:pStyle w:val="Normal"/>
        <w:pageBreakBefore w:val="false"/>
        <w:ind w:left="0" w:hanging="0"/>
        <w:rPr/>
      </w:pPr>
      <w:r>
        <w:fldChar w:fldCharType="begin"/>
      </w:r>
      <w:r>
        <w:instrText> TOC \o "1-9" \h</w:instrText>
      </w:r>
      <w:r>
        <w:fldChar w:fldCharType="separate"/>
      </w:r>
      <w:hyperlink w:anchor="Top_of_part0003_xhtml">
        <w:r>
          <w:rPr>
            <w:rStyle w:val="Vnculodendice"/>
            <w:color w:val="0000FF" w:themeColor="hyperlink"/>
            <w:u w:val="single"/>
          </w:rPr>
          <w:t xml:space="preserve">Prefácio</w:t>
        </w:r>
      </w:hyperlink>
    </w:p>
    <w:p>
      <w:pPr>
        <w:pStyle w:val="Normal"/>
        <w:ind w:left="0" w:hanging="0"/>
        <w:rPr/>
      </w:pPr>
      <w:hyperlink w:anchor="Top_of_part0004_xhtml">
        <w:r>
          <w:rPr>
            <w:rStyle w:val="Vnculodendice"/>
            <w:color w:val="0000FF" w:themeColor="hyperlink"/>
            <w:u w:val="single"/>
          </w:rPr>
          <w:t xml:space="preserve">Prefácio</w:t>
        </w:r>
      </w:hyperlink>
    </w:p>
    <w:p>
      <w:pPr>
        <w:pStyle w:val="Normal"/>
        <w:ind w:left="0" w:hanging="0"/>
        <w:rPr/>
      </w:pPr>
      <w:hyperlink w:anchor="Top_of_part0005_xhtml">
        <w:r>
          <w:rPr>
            <w:rStyle w:val="Vnculodendice"/>
            <w:color w:val="0000FF" w:themeColor="hyperlink"/>
            <w:u w:val="single"/>
          </w:rPr>
          <w:t xml:space="preserve">Introdução</w:t>
        </w:r>
      </w:hyperlink>
    </w:p>
    <w:p>
      <w:pPr>
        <w:pStyle w:val="Normal"/>
        <w:ind w:left="0" w:hanging="0"/>
        <w:rPr/>
      </w:pPr>
      <w:hyperlink w:anchor="Top_of_part0006_xhtml">
        <w:r>
          <w:rPr>
            <w:rStyle w:val="Vnculodendice"/>
            <w:color w:val="0000FF" w:themeColor="hyperlink"/>
            <w:u w:val="single"/>
          </w:rPr>
          <w:t xml:space="preserve">Capítulo 1</w:t>
        </w:r>
      </w:hyperlink>
    </w:p>
    <w:p>
      <w:pPr>
        <w:pStyle w:val="Normal"/>
        <w:ind w:left="0" w:hanging="0"/>
        <w:rPr/>
      </w:pPr>
      <w:hyperlink w:anchor="Top_of_part0007_xhtml">
        <w:r>
          <w:rPr>
            <w:rStyle w:val="Vnculodendice"/>
            <w:color w:val="0000FF" w:themeColor="hyperlink"/>
            <w:u w:val="single"/>
          </w:rPr>
          <w:t xml:space="preserve">Capítulo 2</w:t>
        </w:r>
      </w:hyperlink>
    </w:p>
    <w:p>
      <w:pPr>
        <w:pStyle w:val="Normal"/>
        <w:ind w:left="0" w:hanging="0"/>
        <w:rPr/>
      </w:pPr>
      <w:hyperlink w:anchor="Top_of_part0008_xhtml">
        <w:r>
          <w:rPr>
            <w:rStyle w:val="Vnculodendice"/>
            <w:color w:val="0000FF" w:themeColor="hyperlink"/>
            <w:u w:val="single"/>
          </w:rPr>
          <w:t xml:space="preserve">Capítulo 3</w:t>
        </w:r>
      </w:hyperlink>
    </w:p>
    <w:p>
      <w:pPr>
        <w:pStyle w:val="Normal"/>
        <w:ind w:left="0" w:hanging="0"/>
        <w:rPr/>
      </w:pPr>
      <w:hyperlink w:anchor="Top_of_part0009_xhtml">
        <w:r>
          <w:rPr>
            <w:rStyle w:val="Vnculodendice"/>
            <w:color w:val="0000FF" w:themeColor="hyperlink"/>
            <w:u w:val="single"/>
          </w:rPr>
          <w:t xml:space="preserve">Capítulo 4</w:t>
        </w:r>
      </w:hyperlink>
    </w:p>
    <w:p>
      <w:pPr>
        <w:pStyle w:val="Normal"/>
        <w:ind w:left="0" w:hanging="0"/>
        <w:rPr/>
      </w:pPr>
      <w:hyperlink w:anchor="Top_of_part0010_xhtml">
        <w:r>
          <w:rPr>
            <w:rStyle w:val="Vnculodendice"/>
            <w:color w:val="0000FF" w:themeColor="hyperlink"/>
            <w:u w:val="single"/>
          </w:rPr>
          <w:t xml:space="preserve">Capítulo 5</w:t>
        </w:r>
      </w:hyperlink>
    </w:p>
    <w:p>
      <w:pPr>
        <w:pStyle w:val="Normal"/>
        <w:ind w:left="0" w:hanging="0"/>
        <w:rPr/>
      </w:pPr>
      <w:hyperlink w:anchor="Top_of_part0011_xhtml">
        <w:r>
          <w:rPr>
            <w:rStyle w:val="Vnculodendice"/>
            <w:color w:val="0000FF" w:themeColor="hyperlink"/>
            <w:u w:val="single"/>
          </w:rPr>
          <w:t xml:space="preserve">Capítulo 6</w:t>
        </w:r>
      </w:hyperlink>
    </w:p>
    <w:p>
      <w:pPr>
        <w:pStyle w:val="Normal"/>
        <w:ind w:left="0" w:hanging="0"/>
        <w:rPr/>
      </w:pPr>
      <w:hyperlink w:anchor="Top_of_part0012_xhtml">
        <w:r>
          <w:rPr>
            <w:rStyle w:val="Vnculodendice"/>
            <w:color w:val="0000FF" w:themeColor="hyperlink"/>
            <w:u w:val="single"/>
          </w:rPr>
          <w:t xml:space="preserve">Capítulo 7</w:t>
        </w:r>
      </w:hyperlink>
    </w:p>
    <w:p>
      <w:pPr>
        <w:pStyle w:val="Normal"/>
        <w:ind w:left="0" w:hanging="0"/>
        <w:rPr/>
      </w:pPr>
      <w:hyperlink w:anchor="Top_of_part0013_xhtml">
        <w:r>
          <w:rPr>
            <w:rStyle w:val="Vnculodendice"/>
            <w:color w:val="0000FF" w:themeColor="hyperlink"/>
            <w:u w:val="single"/>
          </w:rPr>
          <w:t xml:space="preserve">Epilogo 8</w:t>
        </w:r>
      </w:hyperlink>
    </w:p>
    <w:p>
      <w:pPr>
        <w:pStyle w:val="Normal"/>
        <w:ind w:left="0" w:hanging="0"/>
        <w:rPr/>
      </w:pPr>
      <w:hyperlink w:anchor="Top_of_part0014_xhtml">
        <w:r>
          <w:rPr>
            <w:rStyle w:val="Vnculodendice"/>
            <w:color w:val="0000FF" w:themeColor="hyperlink"/>
            <w:u w:val="single"/>
          </w:rPr>
          <w:t xml:space="preserve">Capítulo 9</w:t>
        </w:r>
      </w:hyperlink>
    </w:p>
    <w:p>
      <w:pPr>
        <w:pStyle w:val="Normal"/>
        <w:ind w:left="0" w:hanging="0"/>
        <w:rPr/>
      </w:pPr>
      <w:hyperlink w:anchor="Top_of_part0015_xhtml">
        <w:r>
          <w:rPr>
            <w:rStyle w:val="Vnculodendice"/>
            <w:color w:val="0000FF" w:themeColor="hyperlink"/>
            <w:u w:val="single"/>
          </w:rPr>
          <w:t xml:space="preserve">Capítulo 10</w:t>
        </w:r>
      </w:hyperlink>
    </w:p>
    <w:p>
      <w:pPr>
        <w:pStyle w:val="Normal"/>
        <w:ind w:left="0" w:hanging="0"/>
        <w:rPr/>
      </w:pPr>
      <w:hyperlink w:anchor="Top_of_part0016_xhtml">
        <w:r>
          <w:rPr>
            <w:rStyle w:val="Vnculodendice"/>
            <w:color w:val="0000FF" w:themeColor="hyperlink"/>
            <w:u w:val="single"/>
          </w:rPr>
          <w:t xml:space="preserve">Capítulo 11</w:t>
        </w:r>
      </w:hyperlink>
    </w:p>
    <w:p>
      <w:pPr>
        <w:pStyle w:val="Normal"/>
        <w:ind w:left="0" w:hanging="0"/>
        <w:rPr/>
      </w:pPr>
      <w:hyperlink w:anchor="Top_of_part0017_xhtml">
        <w:r>
          <w:rPr>
            <w:rStyle w:val="Vnculodendice"/>
            <w:color w:val="0000FF" w:themeColor="hyperlink"/>
            <w:u w:val="single"/>
          </w:rPr>
          <w:t xml:space="preserve">Epílogo</w:t>
        </w:r>
      </w:hyperlink>
    </w:p>
    <w:p>
      <w:pPr>
        <w:pStyle w:val="Para13"/>
        <w:rPr/>
      </w:pPr>
      <w:r>
        <w:rPr/>
        <w:t xml:space="preserve">Bebendo nas Fontes</w:t>
      </w:r>
      <w:r>
        <w:fldChar w:fldCharType="end"/>
      </w:r>
    </w:p>
    <w:p>
      <w:pPr>
        <w:pStyle w:val="Para06"/>
        <w:rPr/>
      </w:pPr>
      <w:r>
        <w:rPr/>
        <w:t xml:space="preserve">Um apelo ao Judeu e ao Cristão</w:t>
      </w:r>
    </w:p>
    <w:p>
      <w:pPr>
        <w:pStyle w:val="Para05"/>
        <w:rPr/>
      </w:pPr>
      <w:r>
        <w:rPr/>
        <w:t xml:space="preserve">para que notem seus princípios comuns</w:t>
      </w:r>
    </w:p>
    <w:p>
      <w:pPr>
        <w:pStyle w:val="Para12"/>
        <w:rPr/>
      </w:pPr>
      <w:r>
        <w:rPr/>
        <w:t xml:space="preserve">Jacques B. Doukhan</w:t>
      </w:r>
    </w:p>
    <w:p>
      <w:pPr>
        <w:pStyle w:val="Para06"/>
        <w:rPr/>
      </w:pPr>
      <w:r>
        <w:rPr/>
      </w:r>
    </w:p>
    <w:p>
      <w:pPr>
        <w:pStyle w:val="Para06"/>
        <w:rPr/>
      </w:pPr>
      <w:r>
        <w:rPr/>
      </w:r>
    </w:p>
    <w:p>
      <w:pPr>
        <w:pStyle w:val="Para05"/>
        <w:rPr/>
      </w:pPr>
      <w:r>
        <w:rPr/>
        <w:t xml:space="preserve">Pacific Press® Publishing Association</w:t>
      </w:r>
    </w:p>
    <w:p>
      <w:pPr>
        <w:pStyle w:val="Para05"/>
        <w:rPr/>
      </w:pPr>
      <w:r>
        <w:rPr/>
        <w:t xml:space="preserve">Nampa, Idaho</w:t>
      </w:r>
    </w:p>
    <w:p>
      <w:pPr>
        <w:pStyle w:val="Para05"/>
        <w:rPr/>
      </w:pPr>
      <w:r>
        <w:rPr/>
        <w:t xml:space="preserve">Oshawa, Ontario, Canada</w:t>
      </w:r>
    </w:p>
    <w:p>
      <w:pPr>
        <w:pStyle w:val="Para05"/>
        <w:rPr/>
      </w:pPr>
      <w:r>
        <w:rPr/>
        <w:t xml:space="preserve">www.pacificpress.com</w:t>
      </w:r>
      <w:r>
        <w:br w:type="page"/>
      </w:r>
    </w:p>
    <w:p>
      <w:pPr>
        <w:pStyle w:val="Para11"/>
        <w:rPr/>
      </w:pPr>
      <w:bookmarkStart w:id="0" w:name="Top_of_part0002_xhtml"/>
      <w:bookmarkEnd w:id="0"/>
      <w:r>
        <w:rPr/>
        <w:t xml:space="preserve">Cover design by Gerald Monks</w:t>
      </w:r>
    </w:p>
    <w:p>
      <w:pPr>
        <w:pStyle w:val="Normal"/>
        <w:rPr/>
      </w:pPr>
      <w:r>
        <w:rPr/>
        <w:t xml:space="preserve">Originally published in 1981.</w:t>
      </w:r>
    </w:p>
    <w:p>
      <w:pPr>
        <w:pStyle w:val="Normal"/>
        <w:rPr/>
      </w:pPr>
      <w:r>
        <w:rPr/>
        <w:t xml:space="preserve">Translated from the French Boire aux Sources. Permission to publish in English granted by Editions S. D. T., 77190 Dammarie les Lys, France.</w:t>
      </w:r>
    </w:p>
    <w:p>
      <w:pPr>
        <w:pStyle w:val="Normal"/>
        <w:rPr/>
      </w:pPr>
      <w:r>
        <w:rPr/>
        <w:t xml:space="preserve">The author assumes full responsibility for the accuracy of all facts and quotations as cited in this book.</w:t>
      </w:r>
    </w:p>
    <w:p>
      <w:pPr>
        <w:pStyle w:val="Normal"/>
        <w:rPr/>
      </w:pPr>
      <w:r>
        <w:rPr/>
        <w:t xml:space="preserve">Heritage Project</w:t>
      </w:r>
    </w:p>
    <w:p>
      <w:pPr>
        <w:pStyle w:val="Normal"/>
        <w:rPr/>
      </w:pPr>
      <w:r>
        <w:rPr/>
        <w:t xml:space="preserve">This book is part of the Pacific Press® Heritage Project, a plan to re-publish classic books from our historical archives and to make valuable books available once more. The content of this book is presented as it was originally published and should be read with its original publication date in mind. </w:t>
      </w:r>
    </w:p>
    <w:p>
      <w:pPr>
        <w:pStyle w:val="Normal"/>
        <w:rPr/>
      </w:pPr>
      <w:r>
        <w:rPr/>
        <w:t xml:space="preserve">You can obtain additional copies of this book by calling toll-free 1-800-765-6955 or by visiting www.adventistbookcenter.com. You can purchase this as an e-book by visiting www.adventist-ebooks.com.</w:t>
      </w:r>
    </w:p>
    <w:p>
      <w:pPr>
        <w:pStyle w:val="Normal"/>
        <w:rPr/>
      </w:pPr>
      <w:r>
        <w:rPr/>
        <w:t xml:space="preserve">Copyright © 2012 Edition by Pacific Press® Publishing Association</w:t>
      </w:r>
    </w:p>
    <w:p>
      <w:pPr>
        <w:pStyle w:val="Normal"/>
        <w:rPr/>
      </w:pPr>
      <w:r>
        <w:rPr/>
        <w:t xml:space="preserve">Printed in the United States of America  </w:t>
      </w:r>
    </w:p>
    <w:p>
      <w:pPr>
        <w:pStyle w:val="Normal"/>
        <w:rPr/>
      </w:pPr>
      <w:r>
        <w:rPr/>
        <w:t xml:space="preserve">  </w:t>
      </w:r>
    </w:p>
    <w:p>
      <w:pPr>
        <w:pStyle w:val="Normal"/>
        <w:rPr/>
      </w:pPr>
      <w:r>
        <w:rPr/>
        <w:t xml:space="preserve">ISBN: 978-0-8163-3934-1 0-8163-3934-1</w:t>
      </w:r>
      <w:r>
        <w:br w:type="page"/>
      </w:r>
    </w:p>
    <w:p>
      <w:pPr>
        <w:pStyle w:val="Para01"/>
        <w:rPr/>
      </w:pPr>
      <w:bookmarkStart w:id="1" w:name="Foreword"/>
      <w:bookmarkStart w:id="2" w:name="Top_of_part0003_xhtml"/>
      <w:bookmarkEnd w:id="1"/>
      <w:bookmarkEnd w:id="2"/>
      <w:r>
        <w:rPr/>
        <w:t xml:space="preserve">Prefácio</w:t>
      </w:r>
    </w:p>
    <w:p>
      <w:pPr>
        <w:pStyle w:val="Para07"/>
        <w:rPr/>
      </w:pPr>
      <w:r>
        <w:rP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pPr>
        <w:pStyle w:val="Normal"/>
        <w:rPr/>
      </w:pPr>
      <w:r>
        <w:rP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pPr>
        <w:pStyle w:val="Normal"/>
        <w:rPr/>
      </w:pPr>
      <w:r>
        <w:rP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pPr>
        <w:pStyle w:val="Normal"/>
        <w:rPr/>
      </w:pPr>
      <w:r>
        <w:rP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pPr>
        <w:pStyle w:val="Normal"/>
        <w:rPr/>
      </w:pPr>
      <w:r>
        <w:rP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pPr>
        <w:pStyle w:val="Normal"/>
        <w:rPr/>
      </w:pPr>
      <w:r>
        <w:rP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pPr>
        <w:pStyle w:val="Normal"/>
        <w:rPr/>
      </w:pPr>
      <w:r>
        <w:rP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pPr>
        <w:pStyle w:val="Normal"/>
        <w:rPr/>
      </w:pPr>
      <w:r>
        <w:rP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pPr>
        <w:pStyle w:val="Normal"/>
        <w:rPr/>
      </w:pPr>
      <w:r>
        <w:rP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pPr>
        <w:pStyle w:val="Normal"/>
        <w:rPr/>
      </w:pPr>
      <w:r>
        <w:rP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pPr>
        <w:pStyle w:val="Normal"/>
        <w:rPr/>
      </w:pPr>
      <w:r>
        <w:rPr/>
        <w:t xml:space="preserve">Este livro que Jacques Doukhan oferece para nossa meditação produz um sentimento estranho. Eu terminei de ler aqui em Jerusalém, a capital do estado de Israel e de uma cultura hebraica ressuscitada.</w:t>
      </w:r>
    </w:p>
    <w:p>
      <w:pPr>
        <w:pStyle w:val="Normal"/>
        <w:rPr/>
      </w:pPr>
      <w:r>
        <w:rP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pPr>
        <w:pStyle w:val="Normal"/>
        <w:rPr/>
      </w:pPr>
      <w:r>
        <w:rP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pPr>
        <w:pStyle w:val="Normal"/>
        <w:rPr/>
      </w:pPr>
      <w:r>
        <w:rP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pPr>
        <w:pStyle w:val="Normal"/>
        <w:rPr/>
      </w:pPr>
      <w:r>
        <w:rP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pPr>
        <w:pStyle w:val="Normal"/>
        <w:rPr/>
      </w:pPr>
      <w:r>
        <w:rP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pPr>
        <w:pStyle w:val="Normal"/>
        <w:rPr/>
      </w:pPr>
      <w:r>
        <w:rP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pPr>
        <w:pStyle w:val="Normal"/>
        <w:rPr/>
      </w:pPr>
      <w:r>
        <w:rP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pPr>
        <w:pStyle w:val="Normal"/>
        <w:rPr/>
      </w:pPr>
      <w:r>
        <w:rP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pPr>
        <w:pStyle w:val="Normal"/>
        <w:rPr/>
      </w:pPr>
      <w:r>
        <w:rP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pPr>
        <w:pStyle w:val="Normal"/>
        <w:rPr/>
      </w:pPr>
      <w:r>
        <w:rP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pPr>
        <w:pStyle w:val="Normal"/>
        <w:rPr/>
      </w:pPr>
      <w:r>
        <w:rPr/>
        <w:t xml:space="preserve">Andre Chouraqui</w:t>
      </w:r>
      <w:r>
        <w:br w:type="page"/>
      </w:r>
    </w:p>
    <w:p>
      <w:pPr>
        <w:pStyle w:val="Para01"/>
        <w:rPr/>
      </w:pPr>
      <w:bookmarkStart w:id="3" w:name="Top_of_part0004_xhtml"/>
      <w:bookmarkStart w:id="4" w:name="Foreword_1"/>
      <w:bookmarkEnd w:id="3"/>
      <w:bookmarkEnd w:id="4"/>
      <w:r>
        <w:rPr/>
        <w:t xml:space="preserve">Prefácio</w:t>
      </w:r>
    </w:p>
    <w:p>
      <w:pPr>
        <w:pStyle w:val="Para07"/>
        <w:rPr/>
      </w:pPr>
      <w:r>
        <w:rPr/>
        <w:t xml:space="preserve">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rPr/>
      </w:pPr>
      <w:r>
        <w:rPr/>
        <w:t xml:space="preserve">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rPr/>
      </w:pPr>
      <w:r>
        <w:rPr/>
        <w:t xml:space="preserve">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rPr/>
      </w:pPr>
      <w:r>
        <w:rPr/>
        <w:t xml:space="preserve">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rPr/>
      </w:pPr>
      <w:r>
        <w:rPr/>
        <w:t xml:space="preserve">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rPr/>
      </w:pPr>
      <w:r>
        <w:rPr/>
        <w:t xml:space="preserve">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rPr/>
      </w:pPr>
      <w:r>
        <w:rPr/>
        <w:t xml:space="preserve">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rPr/>
      </w:pPr>
      <w:r>
        <w:rPr/>
        <w:t xml:space="preserve">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rPr/>
      </w:pPr>
      <w:r>
        <w:rPr/>
        <w:t xml:space="preserve">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rPr/>
      </w:pPr>
      <w:r>
        <w:rPr/>
        <w:t xml:space="preserve">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rPr/>
      </w:pPr>
      <w:r>
        <w:rPr/>
        <w:t xml:space="preserve">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rPr/>
      </w:pPr>
      <w:r>
        <w:rPr/>
        <w:t xml:space="preserve">F. Lovsky</w:t>
      </w:r>
      <w:r>
        <w:br w:type="page"/>
      </w:r>
    </w:p>
    <w:p>
      <w:pPr>
        <w:pStyle w:val="Para01"/>
        <w:rPr/>
      </w:pPr>
      <w:bookmarkStart w:id="5" w:name="Top_of_part0005_xhtml"/>
      <w:bookmarkStart w:id="6" w:name="Introduction"/>
      <w:bookmarkEnd w:id="5"/>
      <w:bookmarkEnd w:id="6"/>
      <w:r>
        <w:rPr/>
        <w:t xml:space="preserve">Introdução</w:t>
      </w:r>
    </w:p>
    <w:p>
      <w:pPr>
        <w:pStyle w:val="Para08"/>
        <w:rPr/>
      </w:pPr>
      <w:r>
        <w:rPr/>
        <w:t xml:space="preserve">A Cry</w:t>
      </w:r>
    </w:p>
    <w:p>
      <w:pPr>
        <w:pStyle w:val="Para03"/>
        <w:rPr/>
      </w:pPr>
      <w:r>
        <w:rPr/>
        <w:t xml:space="preserve">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rPr/>
      </w:pPr>
      <w:r>
        <w:rPr/>
        <w:t xml:space="preserve">Bewildered and seemingly beaten in advance, one attempts to muster fresh words and ideas only with the greatest difficulty.</w:t>
      </w:r>
    </w:p>
    <w:p>
      <w:pPr>
        <w:pStyle w:val="Normal"/>
        <w:rPr/>
      </w:pPr>
      <w:r>
        <w:rPr/>
        <w:t xml:space="preserve">The temptation is to cry out in anguish and frustration!</w:t>
      </w:r>
    </w:p>
    <w:p>
      <w:pPr>
        <w:pStyle w:val="Normal"/>
        <w:rPr/>
      </w:pPr>
      <w:r>
        <w:rPr/>
        <w:t xml:space="preserve">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rPr/>
      </w:pPr>
      <w:r>
        <w:rPr/>
        <w:t xml:space="preserve">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rPr/>
      </w:pPr>
      <w:r>
        <w:rPr/>
        <w:t xml:space="preserve">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rPr/>
      </w:pPr>
      <w:r>
        <w:rPr/>
        <w:t xml:space="preserve">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rPr/>
      </w:pPr>
      <w:r>
        <w:rP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rPr/>
      </w:pPr>
      <w:r>
        <w:rP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rPr/>
      </w:pPr>
      <w:r>
        <w:rPr/>
        <w:t xml:space="preserve">It is very important that we know the truth that was entrusted to both the Jew and the Christian, in order that we can measure the distance covered, possibly the drift experienced, and the gravity of the misunderstanding that separates them.</w:t>
      </w:r>
    </w:p>
    <w:p>
      <w:pPr>
        <w:pStyle w:val="Normal"/>
        <w:rPr/>
      </w:pPr>
      <w:r>
        <w:rPr/>
        <w:t xml:space="preserve">It is very important for us to drink at the sources, so that at last, delivered from the intoxications of error, we might in some measure think freely, which is to think rightly.</w:t>
      </w:r>
    </w:p>
    <w:p>
      <w:pPr>
        <w:pStyle w:val="Normal"/>
        <w:rPr/>
      </w:pPr>
      <w:r>
        <w:rPr/>
        <w:t xml:space="preserve">The Problem</w:t>
      </w:r>
    </w:p>
    <w:p>
      <w:pPr>
        <w:pStyle w:val="Normal"/>
        <w:rPr/>
      </w:pPr>
      <w:r>
        <w:rP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rPr/>
      </w:pPr>
      <w:r>
        <w:rP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rPr/>
      </w:pPr>
      <w:bookmarkStart w:id="7" w:name="Chapter_1"/>
      <w:bookmarkStart w:id="8" w:name="Top_of_part0006_xhtml"/>
      <w:bookmarkEnd w:id="7"/>
      <w:bookmarkEnd w:id="8"/>
      <w:r>
        <w:rPr/>
        <w:t xml:space="preserve">Capítulo 1</w:t>
      </w:r>
    </w:p>
    <w:p>
      <w:pPr>
        <w:pStyle w:val="Para04"/>
        <w:rPr/>
      </w:pPr>
      <w:r>
        <w:rPr/>
        <w:t xml:space="preserve">The Theological Argument</w:t>
      </w:r>
    </w:p>
    <w:p>
      <w:pPr>
        <w:pStyle w:val="Para03"/>
        <w:rPr/>
      </w:pPr>
      <w:r>
        <w:rPr/>
        <w:t xml:space="preserve">“</w:t>
      </w:r>
      <w:r>
        <w:rP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rPr/>
      </w:pPr>
      <w:r>
        <w:rP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rPr/>
      </w:pPr>
      <w:r>
        <w:rP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rPr/>
      </w:pPr>
      <w:r>
        <w:rP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rPr/>
      </w:pPr>
      <w:r>
        <w:rP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rPr/>
      </w:pPr>
      <w:r>
        <w:rP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rPr/>
      </w:pPr>
      <w:r>
        <w:rP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rPr/>
      </w:pPr>
      <w:r>
        <w:rP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rPr/>
      </w:pPr>
      <w:r>
        <w:rPr/>
        <w:t xml:space="preserve">The Christian reaction was reflected in the attitude of Bishop Victorinus de Pettau, in the third century, who did not want it to appear that he “observed the Sabbath of the Jews.“8</w:t>
      </w:r>
    </w:p>
    <w:p>
      <w:pPr>
        <w:pStyle w:val="Normal"/>
        <w:rPr/>
      </w:pPr>
      <w:r>
        <w:rP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rPr/>
      </w:pPr>
      <w:r>
        <w:rP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rPr/>
      </w:pPr>
      <w:r>
        <w:rP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rPr/>
      </w:pPr>
      <w:r>
        <w:rP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rPr/>
      </w:pPr>
      <w:r>
        <w:rP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rPr/>
      </w:pPr>
      <w:r>
        <w:rP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rPr/>
      </w:pPr>
      <w:r>
        <w:rPr/>
        <w:t xml:space="preserve">“</w:t>
      </w:r>
      <w:r>
        <w:rPr/>
        <w:t xml:space="preserve">If Israel does not accept the Torah, says God to His angels, you and I can no longer subsist.“13</w:t>
      </w:r>
    </w:p>
    <w:p>
      <w:pPr>
        <w:pStyle w:val="Normal"/>
        <w:rPr/>
      </w:pPr>
      <w:r>
        <w:rPr/>
        <w:t xml:space="preserve">“</w:t>
      </w:r>
      <w:r>
        <w:rPr/>
        <w:t xml:space="preserve">The Holy One, blessed be He, covered the Israelites with Mount Sinai as with a cistern, and said to them: ‘If you accept the Law, all is well; if not, there shall be your tomb.’ “14</w:t>
      </w:r>
    </w:p>
    <w:p>
      <w:pPr>
        <w:pStyle w:val="Normal"/>
        <w:rPr/>
      </w:pPr>
      <w:r>
        <w:rP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rPr/>
      </w:pPr>
      <w:r>
        <w:rP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rPr/>
      </w:pPr>
      <w:r>
        <w:rP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rPr/>
      </w:pPr>
      <w:r>
        <w:rP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rPr/>
      </w:pPr>
      <w:r>
        <w:rP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rPr/>
      </w:pPr>
      <w:r>
        <w:rP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rPr/>
      </w:pPr>
      <w:r>
        <w:rPr/>
        <w:t xml:space="preserve">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rPr/>
      </w:pPr>
      <w:r>
        <w:rP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rPr/>
      </w:pPr>
      <w:r>
        <w:rP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rPr/>
      </w:pPr>
      <w:bookmarkStart w:id="9" w:name="Top_of_part0007_xhtml"/>
      <w:bookmarkStart w:id="10" w:name="Chapter_2"/>
      <w:bookmarkEnd w:id="9"/>
      <w:bookmarkEnd w:id="10"/>
      <w:r>
        <w:rPr/>
        <w:t xml:space="preserve">Capítulo 2</w:t>
      </w:r>
    </w:p>
    <w:p>
      <w:pPr>
        <w:pStyle w:val="Para04"/>
        <w:rPr/>
      </w:pPr>
      <w:r>
        <w:rPr/>
        <w:t xml:space="preserve">The Human Argument</w:t>
      </w:r>
    </w:p>
    <w:p>
      <w:pPr>
        <w:pStyle w:val="Para03"/>
        <w:rPr/>
      </w:pPr>
      <w:r>
        <w:rPr/>
        <w:t xml:space="preserve">“</w:t>
      </w:r>
      <w:r>
        <w:rP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rPr/>
      </w:pPr>
      <w:r>
        <w:rP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rPr/>
      </w:pPr>
      <w:r>
        <w:rP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rPr/>
      </w:pPr>
      <w:r>
        <w:rP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rPr/>
      </w:pPr>
      <w:r>
        <w:rPr/>
        <w:t xml:space="preserve">AntiSemitism - Its Identity</w:t>
      </w:r>
    </w:p>
    <w:p>
      <w:pPr>
        <w:pStyle w:val="Normal"/>
        <w:rPr/>
      </w:pPr>
      <w:r>
        <w:rP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rPr/>
      </w:pPr>
      <w:r>
        <w:rP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rPr>
        <w:t xml:space="preserve">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rPr>
        <w:t xml:space="preserve">etc.</w:t>
      </w:r>
      <w:r>
        <w:rPr/>
        <w:t xml:space="preserve"> In point of fact, modern anthropology has exploded even the notion of a Jewish race.27</w:t>
      </w:r>
    </w:p>
    <w:p>
      <w:pPr>
        <w:pStyle w:val="Normal"/>
        <w:rPr/>
      </w:pPr>
      <w:r>
        <w:rP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rPr/>
      </w:pPr>
      <w:r>
        <w:rP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rPr/>
      </w:pPr>
      <w:r>
        <w:rP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rPr/>
      </w:pPr>
      <w:r>
        <w:rP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rPr/>
      </w:pPr>
      <w:r>
        <w:rPr/>
        <w:t xml:space="preserve">If one falls victim at the hands of a dishonest businessman who happens to be Jewish, the normal comment is the following: “He’s Jewish - what can you expect!”</w:t>
      </w:r>
    </w:p>
    <w:p>
      <w:pPr>
        <w:pStyle w:val="Normal"/>
        <w:rPr/>
      </w:pPr>
      <w:r>
        <w:rP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rPr/>
      </w:pPr>
      <w:r>
        <w:rP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rPr/>
      </w:pPr>
      <w:r>
        <w:rP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rPr/>
      </w:pPr>
      <w:r>
        <w:rP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rPr/>
      </w:pPr>
      <w:r>
        <w:rP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rPr/>
      </w:pPr>
      <w:r>
        <w:rP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rPr/>
      </w:pPr>
      <w:r>
        <w:rPr/>
        <w:t xml:space="preserve">In short, the Jew in all ages, and even today, is considered to be responsible for the death of God - this simply because 2000 years ago some of his probable ancestors could have sentenced Jesus of Nazareth to be crucified.</w:t>
      </w:r>
    </w:p>
    <w:p>
      <w:pPr>
        <w:pStyle w:val="Normal"/>
        <w:rPr/>
      </w:pPr>
      <w:r>
        <w:rPr/>
        <w:t xml:space="preserve">On one hand, accusations; on the other, pretended love. On one hand, antiSemitism, is condemned; on the other, antiSemitism is fed generously by theological reproach.</w:t>
      </w:r>
    </w:p>
    <w:p>
      <w:pPr>
        <w:pStyle w:val="Normal"/>
        <w:rPr/>
      </w:pPr>
      <w:r>
        <w:rP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rPr/>
      </w:pPr>
      <w:r>
        <w:rP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rPr/>
      </w:pPr>
      <w:r>
        <w:rP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rPr/>
      </w:pPr>
      <w:r>
        <w:rP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rPr/>
      </w:pPr>
      <w:r>
        <w:rPr/>
        <w:t xml:space="preserve">The worst is the trick this can play on conscience. Persecution of the Jews actually becomes the will of God; thus, one can be at peace in hatred as well as in indifference.</w:t>
      </w:r>
    </w:p>
    <w:p>
      <w:pPr>
        <w:pStyle w:val="Normal"/>
        <w:rPr/>
      </w:pPr>
      <w:r>
        <w:rP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rPr/>
      </w:pPr>
      <w:r>
        <w:rP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rPr/>
      </w:pPr>
      <w:r>
        <w:rPr/>
        <w:t xml:space="preserve">To accuse the Jew of having crucified Christ is to force him to have defamed God. The deicide argument adds depth to the Judeo-Christian chasm.</w:t>
      </w:r>
    </w:p>
    <w:p>
      <w:pPr>
        <w:pStyle w:val="Normal"/>
        <w:rPr/>
      </w:pPr>
      <w:r>
        <w:rPr/>
        <w:t xml:space="preserve">Theology and psychology join hands to fashion the face of antiSemitism. It is rarely possible to make a clear-cut distinction between them in their common enterprise, for they seem to merge confusedly one with the other.</w:t>
      </w:r>
    </w:p>
    <w:p>
      <w:pPr>
        <w:pStyle w:val="Normal"/>
        <w:rPr/>
      </w:pPr>
      <w:r>
        <w:rP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rPr/>
      </w:pPr>
      <w:r>
        <w:rP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rPr/>
      </w:pPr>
      <w:r>
        <w:rP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rPr/>
      </w:pPr>
      <w:r>
        <w:rP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rPr/>
      </w:pPr>
      <w:bookmarkStart w:id="11" w:name="Top_of_part0008_xhtml"/>
      <w:bookmarkStart w:id="12" w:name="Chapter_3"/>
      <w:bookmarkEnd w:id="11"/>
      <w:bookmarkEnd w:id="12"/>
      <w:r>
        <w:rPr/>
        <w:t xml:space="preserve">Capítulo 3</w:t>
      </w:r>
    </w:p>
    <w:p>
      <w:pPr>
        <w:pStyle w:val="Para04"/>
        <w:rPr/>
      </w:pPr>
      <w:r>
        <w:rPr/>
        <w:t xml:space="preserve">The History of AntiSemitism</w:t>
      </w:r>
    </w:p>
    <w:p>
      <w:pPr>
        <w:pStyle w:val="Para03"/>
        <w:rPr/>
      </w:pPr>
      <w:r>
        <w:rPr/>
        <w:t xml:space="preserve">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rPr/>
      </w:pPr>
      <w:r>
        <w:rP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rPr/>
      </w:pPr>
      <w:r>
        <w:rPr/>
        <w:t xml:space="preserve">“</w:t>
      </w:r>
      <w:r>
        <w:rPr/>
        <w:t xml:space="preserve">One must be well aware,” writes a Roman Catholic historian, “that antiSemitism is a state of mind that preexisted Christianity, and for which Christianity is in no way responsible.“44</w:t>
      </w:r>
    </w:p>
    <w:p>
      <w:pPr>
        <w:pStyle w:val="Normal"/>
        <w:rPr/>
      </w:pPr>
      <w:r>
        <w:rPr/>
        <w:t xml:space="preserve">“</w:t>
      </w:r>
      <w:r>
        <w:rP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rPr/>
      </w:pPr>
      <w:r>
        <w:rP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rPr/>
      </w:pPr>
      <w:r>
        <w:rPr/>
        <w:t xml:space="preserve">Lovsky, a Christian theologian, likewise interpreted antiSemitism as “The shadow carried by the mystery of Israel among the nations… just as enduring as the role of Israel in the world.“47</w:t>
      </w:r>
    </w:p>
    <w:p>
      <w:pPr>
        <w:pStyle w:val="Normal"/>
        <w:rPr/>
      </w:pPr>
      <w:r>
        <w:rP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rPr/>
      </w:pPr>
      <w:r>
        <w:rP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rPr/>
      </w:pPr>
      <w:r>
        <w:rPr/>
        <w:t xml:space="preserve">When we add that antiSemitism seems to be anchored in our very being and culture, we are tempted to believe that it has always been thus.</w:t>
      </w:r>
    </w:p>
    <w:p>
      <w:pPr>
        <w:pStyle w:val="Normal"/>
        <w:rPr/>
      </w:pPr>
      <w:r>
        <w:rP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rPr/>
      </w:pPr>
      <w:r>
        <w:rP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rPr/>
      </w:pPr>
      <w:r>
        <w:rPr/>
        <w:t xml:space="preserve">“</w:t>
      </w:r>
      <w:r>
        <w:rP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rPr/>
      </w:pPr>
      <w:r>
        <w:rPr/>
        <w:t xml:space="preserve">Laborious and remarkable research done by Marcel Simon, a Christian historian, brought him to the conclusion that “the expansion of ecclesiastical antiSemitism dates from the fourth century.“51</w:t>
      </w:r>
    </w:p>
    <w:p>
      <w:pPr>
        <w:pStyle w:val="Normal"/>
        <w:rPr/>
      </w:pPr>
      <w:r>
        <w:rP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rPr/>
      </w:pPr>
      <w:r>
        <w:rP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rPr/>
      </w:pPr>
      <w:r>
        <w:rPr/>
        <w:t xml:space="preserve">1. The fourth century, wherein we find antiSemitism’s birth as parallel to the rejection of the Law, the first accusations of deicide, and the installation of the established Church; thus, the great and formal separation.</w:t>
      </w:r>
    </w:p>
    <w:p>
      <w:pPr>
        <w:pStyle w:val="Normal"/>
        <w:rPr/>
      </w:pPr>
      <w:r>
        <w:rPr/>
        <w:t xml:space="preserve">2. The eleventh century, a time parallel to the Crusades, wherein antiSemitism became cloaked in violence, and a focus of acute economic problems.</w:t>
      </w:r>
    </w:p>
    <w:p>
      <w:pPr>
        <w:pStyle w:val="Normal"/>
        <w:rPr/>
      </w:pPr>
      <w:r>
        <w:rPr/>
        <w:t xml:space="preserve">3. The nineteenth and twentieth centuries, in which a new ingredient, racism (parallel to nationalist and pseudoscientific movements), was added to the traditional spectrum of antiSemitism.</w:t>
      </w:r>
    </w:p>
    <w:p>
      <w:pPr>
        <w:pStyle w:val="Normal"/>
        <w:rPr/>
      </w:pPr>
      <w:r>
        <w:rP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rPr/>
      </w:pPr>
      <w:r>
        <w:rP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rPr/>
      </w:pPr>
      <w:r>
        <w:rP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rPr/>
      </w:pPr>
      <w:r>
        <w:rP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rPr/>
      </w:pPr>
      <w:r>
        <w:rP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rPr/>
      </w:pPr>
      <w:r>
        <w:rPr/>
        <w:t xml:space="preserve">These circumstances created a Christian reaction of horror and repulsion. 62 The Jewish reaction to such persecution further stirred up Christian hatred and contempt, creating a truly atrocious vicious circle.</w:t>
      </w:r>
    </w:p>
    <w:p>
      <w:pPr>
        <w:pStyle w:val="Normal"/>
        <w:rPr/>
      </w:pPr>
      <w:r>
        <w:rPr/>
        <w:t xml:space="preserve">But in the thirteenth century a yet more profound movement crystalized; the Jew was to become within the Christian society a foreign element, and the ghetto was born.63</w:t>
      </w:r>
    </w:p>
    <w:p>
      <w:pPr>
        <w:pStyle w:val="Normal"/>
        <w:rPr/>
      </w:pPr>
      <w:r>
        <w:rPr/>
        <w:t xml:space="preserve">In the fourteenth century came the myth that the Jew was “the devil in person.“64</w:t>
      </w:r>
    </w:p>
    <w:p>
      <w:pPr>
        <w:pStyle w:val="Normal"/>
        <w:rPr/>
      </w:pPr>
      <w:r>
        <w:rPr/>
        <w:t xml:space="preserve">The fifteenth and sixteenth centuries made him a “pest”65 that had to be destroyed.</w:t>
      </w:r>
    </w:p>
    <w:p>
      <w:pPr>
        <w:pStyle w:val="Normal"/>
        <w:rPr/>
      </w:pPr>
      <w:r>
        <w:rP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rPr/>
      </w:pPr>
      <w:r>
        <w:rP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rPr/>
      </w:pPr>
      <w:r>
        <w:rPr/>
        <w:t xml:space="preserve">Thus the nineteenth century witnessed the appearance of racism - a new form of antiSemitism resulting from a combination of circumstances favorable to its development.69</w:t>
      </w:r>
    </w:p>
    <w:p>
      <w:pPr>
        <w:pStyle w:val="Normal"/>
        <w:rPr/>
      </w:pPr>
      <w:r>
        <w:rP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rPr/>
      </w:pPr>
      <w:r>
        <w:rP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rPr/>
      </w:pPr>
      <w:r>
        <w:rP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rPr/>
      </w:pPr>
      <w:r>
        <w:rP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rPr/>
      </w:pPr>
      <w:r>
        <w:rPr/>
        <w:t xml:space="preserve">Aryan mythology fitted nicely into a Christian mold, including even the deicide idea.</w:t>
      </w:r>
    </w:p>
    <w:p>
      <w:pPr>
        <w:pStyle w:val="Normal"/>
        <w:rPr/>
      </w:pPr>
      <w:r>
        <w:rP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rPr/>
      </w:pPr>
      <w:r>
        <w:rP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rPr/>
      </w:pPr>
      <w:r>
        <w:rP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rPr/>
      </w:pPr>
      <w:r>
        <w:rP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rPr/>
      </w:pPr>
      <w:bookmarkStart w:id="13" w:name="Chapter_4"/>
      <w:bookmarkStart w:id="14" w:name="Top_of_part0009_xhtml"/>
      <w:bookmarkEnd w:id="13"/>
      <w:bookmarkEnd w:id="14"/>
      <w:r>
        <w:rPr/>
        <w:t xml:space="preserve">Capítulo 4</w:t>
      </w:r>
    </w:p>
    <w:p>
      <w:pPr>
        <w:pStyle w:val="Para04"/>
        <w:rPr/>
      </w:pPr>
      <w:r>
        <w:rPr/>
        <w:t xml:space="preserve">Conversion and Betrayal</w:t>
      </w:r>
    </w:p>
    <w:p>
      <w:pPr>
        <w:pStyle w:val="Para03"/>
        <w:rPr/>
      </w:pPr>
      <w:r>
        <w:rPr/>
        <w:t xml:space="preserve">“</w:t>
      </w:r>
      <w:r>
        <w:rPr/>
        <w:t xml:space="preserve">The converted one is a destroyer and a traitor who deserves any and all punishments. ” - Albert Memmi</w:t>
      </w:r>
    </w:p>
    <w:p>
      <w:pPr>
        <w:pStyle w:val="Normal"/>
        <w:rPr/>
      </w:pPr>
      <w:r>
        <w:rP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rPr/>
      </w:pPr>
      <w:r>
        <w:rP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rPr/>
      </w:pPr>
      <w:r>
        <w:rPr/>
        <w:t xml:space="preserve">One must try to understand.</w:t>
      </w:r>
    </w:p>
    <w:p>
      <w:pPr>
        <w:pStyle w:val="Normal"/>
        <w:rPr/>
      </w:pPr>
      <w:r>
        <w:rP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rPr/>
      </w:pPr>
      <w:r>
        <w:rP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rPr/>
      </w:pPr>
      <w:r>
        <w:rP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rPr/>
      </w:pPr>
      <w:r>
        <w:rP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rPr/>
      </w:pPr>
      <w:r>
        <w:rP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rPr/>
      </w:pPr>
      <w:r>
        <w:rP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rPr/>
      </w:pPr>
      <w:r>
        <w:rPr/>
        <w:t xml:space="preserve">“</w:t>
      </w:r>
      <w:r>
        <w:rP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rPr/>
      </w:pPr>
      <w:r>
        <w:rPr/>
        <w:t xml:space="preserve">Rather than a matter of truth, we are face-to-face with honor!</w:t>
      </w:r>
    </w:p>
    <w:p>
      <w:pPr>
        <w:pStyle w:val="Normal"/>
        <w:rPr/>
      </w:pPr>
      <w:r>
        <w:rPr/>
        <w:t xml:space="preserve">“</w:t>
      </w:r>
      <w:r>
        <w:rPr/>
        <w:t xml:space="preserve">One who is oppressed cannot adopt completely the values and the customs of the oppressor, even were they stronger and more beautiful than his, even though better than his, without forfeiting honor and the essential pride of a human being.“85</w:t>
      </w:r>
    </w:p>
    <w:p>
      <w:pPr>
        <w:pStyle w:val="Normal"/>
        <w:rPr/>
      </w:pPr>
      <w:r>
        <w:rP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rPr/>
      </w:pPr>
      <w:r>
        <w:rP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rPr/>
      </w:pPr>
      <w:r>
        <w:rP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rPr/>
      </w:pPr>
      <w:r>
        <w:rP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rPr/>
      </w:pPr>
      <w:r>
        <w:rP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rPr/>
      </w:pPr>
      <w:r>
        <w:rP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rPr/>
      </w:pPr>
      <w:r>
        <w:rPr/>
        <w:t xml:space="preserve">That was the time when the teachings of Jeshua (Jesus) and His disciples were still remembered - and accepted.</w:t>
      </w:r>
      <w:r>
        <w:br w:type="page"/>
      </w:r>
    </w:p>
    <w:p>
      <w:pPr>
        <w:pStyle w:val="Para01"/>
        <w:rPr/>
      </w:pPr>
      <w:bookmarkStart w:id="15" w:name="Chapter_5"/>
      <w:bookmarkStart w:id="16" w:name="Top_of_part0010_xhtml"/>
      <w:bookmarkEnd w:id="15"/>
      <w:bookmarkEnd w:id="16"/>
      <w:r>
        <w:rPr/>
        <w:t xml:space="preserve">Capítulo 5</w:t>
      </w:r>
    </w:p>
    <w:p>
      <w:pPr>
        <w:pStyle w:val="Para04"/>
        <w:rPr/>
      </w:pPr>
      <w:r>
        <w:rPr/>
        <w:t xml:space="preserve">In the Beginning: A Jewish Messiah</w:t>
      </w:r>
    </w:p>
    <w:p>
      <w:pPr>
        <w:pStyle w:val="Para03"/>
        <w:rPr/>
      </w:pPr>
      <w:r>
        <w:rPr/>
        <w:t xml:space="preserve">Two elements of Christian doctrine seem to have triggered the Judeo-Christian separation: (1) the acceptance as Messiah of a person named Jeshua; and (2) the categorical rejection of the Law of Moses.</w:t>
      </w:r>
    </w:p>
    <w:p>
      <w:pPr>
        <w:pStyle w:val="Normal"/>
        <w:rPr/>
      </w:pPr>
      <w:r>
        <w:rP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rPr/>
      </w:pPr>
      <w:r>
        <w:rP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rPr/>
      </w:pPr>
      <w:r>
        <w:rP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rPr/>
      </w:pPr>
      <w:r>
        <w:rP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rPr/>
      </w:pPr>
      <w:r>
        <w:rPr/>
        <w:t xml:space="preserve">“</w:t>
      </w:r>
      <w:r>
        <w:rP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rPr/>
      </w:pPr>
      <w:r>
        <w:rPr/>
        <w:t xml:space="preserve">A respect such as this for spiritual roots is very significant. It is true that Jewish tradition, both written and oral, confirmed the Christian doctrine on the coming of the Messiah.</w:t>
      </w:r>
    </w:p>
    <w:p>
      <w:pPr>
        <w:pStyle w:val="Normal"/>
        <w:rPr/>
      </w:pPr>
      <w:r>
        <w:rPr/>
        <w:t xml:space="preserve">It is likewise true that in the original expression of Christian theology, nothing was taught that could suppose an eventual rupture with Jewish sources in the form of an abrogation of ancient Jewish Law.</w:t>
      </w:r>
    </w:p>
    <w:p>
      <w:pPr>
        <w:pStyle w:val="Normal"/>
        <w:rPr/>
      </w:pPr>
      <w:r>
        <w:rP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rPr/>
      </w:pPr>
      <w:r>
        <w:rPr/>
        <w:t xml:space="preserve">A Jewish Messiah</w:t>
      </w:r>
    </w:p>
    <w:p>
      <w:pPr>
        <w:pStyle w:val="Normal"/>
        <w:rPr/>
      </w:pPr>
      <w:r>
        <w:rPr/>
        <w:t xml:space="preserve">“</w:t>
      </w:r>
      <w:r>
        <w:rPr/>
        <w:t xml:space="preserve">He has come; he has said what he had to say; he has gone away. But his footsteps still resound in my ears.” - Rabbi Menahem-Mendel de Kotzk.</w:t>
      </w:r>
    </w:p>
    <w:p>
      <w:pPr>
        <w:pStyle w:val="Normal"/>
        <w:rPr/>
      </w:pPr>
      <w:r>
        <w:rP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rPr/>
      </w:pPr>
      <w:r>
        <w:rP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rPr/>
      </w:pPr>
      <w:r>
        <w:rPr/>
        <w:t xml:space="preserve">“</w:t>
      </w:r>
      <w:r>
        <w:rP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rPr/>
      </w:pPr>
      <w:r>
        <w:rP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rPr/>
      </w:pPr>
      <w:r>
        <w:rPr/>
        <w:t xml:space="preserve">A Mission With Risks</w:t>
      </w:r>
    </w:p>
    <w:p>
      <w:pPr>
        <w:pStyle w:val="Normal"/>
        <w:rPr/>
      </w:pPr>
      <w:r>
        <w:rP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rPr/>
      </w:pPr>
      <w:r>
        <w:rPr/>
        <w:t xml:space="preserve">Yet man disobeyed and separated himself from his Creator. Death was inevitable, as well as sorrow, until death came.</w:t>
      </w:r>
    </w:p>
    <w:p>
      <w:pPr>
        <w:pStyle w:val="Normal"/>
        <w:rPr/>
      </w:pPr>
      <w:r>
        <w:rP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rPr/>
      </w:pPr>
      <w:r>
        <w:rPr/>
        <w:t xml:space="preserve">The death that was to afflict him was to touch his total, unfragmented being; therefore, no part of his being would survive the penalty. Adam’s despair was complete, as suggested in his behavior: Adam hid himself!</w:t>
      </w:r>
    </w:p>
    <w:p>
      <w:pPr>
        <w:pStyle w:val="Normal"/>
        <w:rPr/>
      </w:pPr>
      <w:r>
        <w:rP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rPr/>
      </w:pPr>
      <w:r>
        <w:rP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rPr/>
      </w:pPr>
      <w:r>
        <w:rP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rPr/>
      </w:pPr>
      <w:r>
        <w:rP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rPr/>
      </w:pPr>
      <w:r>
        <w:rP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rPr/>
      </w:pPr>
      <w:r>
        <w:rP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rPr/>
      </w:pPr>
      <w:r>
        <w:rPr/>
        <w:t xml:space="preserve">In killing the serpent the posterity of the woman would run the risk of death. The act would be a sacrifice.</w:t>
      </w:r>
    </w:p>
    <w:p>
      <w:pPr>
        <w:pStyle w:val="Normal"/>
        <w:rPr/>
      </w:pPr>
      <w:r>
        <w:rP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rPr/>
      </w:pPr>
      <w:r>
        <w:rPr/>
        <w:t xml:space="preserve">Opinions are divided on this point. Some see here an allusion to mankind, others to the people of Israel; still others, as shown by the Septuagint translation,92 think this is an allusion to a specific man.93</w:t>
      </w:r>
    </w:p>
    <w:p>
      <w:pPr>
        <w:pStyle w:val="Normal"/>
        <w:rPr/>
      </w:pPr>
      <w:r>
        <w:rP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rPr/>
      </w:pPr>
      <w:r>
        <w:rPr/>
        <w:t xml:space="preserve">The Victim</w:t>
      </w:r>
    </w:p>
    <w:p>
      <w:pPr>
        <w:pStyle w:val="Normal"/>
        <w:rPr/>
      </w:pPr>
      <w:r>
        <w:rP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rPr/>
      </w:pPr>
      <w:r>
        <w:rPr/>
        <w:t xml:space="preserve">The mission entrusted to this suffering servant was to save his people at the peril of his own life. Often in Jewish tradition the suffering servant was identified as being the Messiah of Israel and not Israel itself.</w:t>
      </w:r>
    </w:p>
    <w:p>
      <w:pPr>
        <w:pStyle w:val="Normal"/>
        <w:rPr/>
      </w:pPr>
      <w:r>
        <w:rP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rPr/>
      </w:pPr>
      <w:r>
        <w:rP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rPr/>
      </w:pPr>
      <w:r>
        <w:rP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rPr/>
      </w:pPr>
      <w:r>
        <w:rP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rPr/>
      </w:pPr>
      <w:r>
        <w:rP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rPr/>
      </w:pPr>
      <w:r>
        <w:rPr/>
        <w:t xml:space="preserve">The Cohen</w:t>
      </w:r>
    </w:p>
    <w:p>
      <w:pPr>
        <w:pStyle w:val="Normal"/>
        <w:rPr/>
      </w:pPr>
      <w:r>
        <w:rP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rPr/>
      </w:pPr>
      <w:r>
        <w:rP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rPr/>
      </w:pPr>
      <w:r>
        <w:rP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rPr/>
      </w:pPr>
      <w:r>
        <w:rPr/>
        <w:t xml:space="preserve">This ministry, which included simultaneously the roles of intercessor and mediator, predestined the cohen to be considered one of the antitypes of the Messiah.</w:t>
      </w:r>
    </w:p>
    <w:p>
      <w:pPr>
        <w:pStyle w:val="Normal"/>
        <w:rPr/>
      </w:pPr>
      <w:r>
        <w:rPr/>
        <w:t xml:space="preserve">In Psalm 110, David, the illustrious king, foresaw “a cohen forever” (verse 4), whom he calls “his lord” (verse 1). Authority and power are given him (verse 2), and he is charged in the day of God’s wrath to “execute judgment among the nations” (verses 5, 6).</w:t>
      </w:r>
    </w:p>
    <w:p>
      <w:pPr>
        <w:pStyle w:val="Normal"/>
        <w:rPr/>
      </w:pPr>
      <w:r>
        <w:rPr/>
        <w:t xml:space="preserve">The thoughts expressed are familiar to messianic language: justice, domination, the day of God’s wrath. Messianism and priesthood were thus bound up together, as Jewish tradition made clear by recognizing the Messiah in the cohen of Psalm 110.</w:t>
      </w:r>
    </w:p>
    <w:p>
      <w:pPr>
        <w:pStyle w:val="Normal"/>
        <w:rPr/>
      </w:pPr>
      <w:r>
        <w:rP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rPr/>
      </w:pPr>
      <w:r>
        <w:rP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rPr/>
      </w:pPr>
      <w:r>
        <w:rP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rPr/>
      </w:pPr>
      <w:r>
        <w:rPr/>
        <w:t xml:space="preserve">An Identity With Two Faces: Messiah son of Joseph and Messiah son of David</w:t>
      </w:r>
    </w:p>
    <w:p>
      <w:pPr>
        <w:pStyle w:val="Normal"/>
        <w:rPr/>
      </w:pPr>
      <w:r>
        <w:rP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rPr/>
      </w:pPr>
      <w:r>
        <w:rP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rPr/>
      </w:pPr>
      <w:r>
        <w:rPr/>
        <w:t xml:space="preserve">Messiah Son of David and Messiah Son of God</w:t>
      </w:r>
    </w:p>
    <w:p>
      <w:pPr>
        <w:pStyle w:val="Normal"/>
        <w:rPr/>
      </w:pPr>
      <w:r>
        <w:rP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rPr/>
      </w:pPr>
      <w:r>
        <w:rP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rPr/>
      </w:pPr>
      <w:r>
        <w:rP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rPr/>
      </w:pPr>
      <w:r>
        <w:rP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rPr/>
      </w:pPr>
      <w:r>
        <w:rPr/>
        <w:t xml:space="preserve">“</w:t>
      </w:r>
      <w:r>
        <w:rPr/>
        <w:t xml:space="preserve">The Messiah,” says the Talmud, “will have the name of the Holy Blessed one.128… For it is said in Jeremiah 23:6: And this is the name by which he will be called. The Lord is our righteousness.“129</w:t>
      </w:r>
    </w:p>
    <w:p>
      <w:pPr>
        <w:pStyle w:val="Normal"/>
        <w:rPr/>
      </w:pPr>
      <w:r>
        <w:rPr/>
        <w:t xml:space="preserve">“</w:t>
      </w:r>
      <w:r>
        <w:rPr/>
        <w:t xml:space="preserve">What is the name of the Messiah King?” asks the Midrash. R. Abba ben Kahana says. “Yahweh is his name as written in Jeremiah 23:6, This is the name by which he will be called: “The Lord [Yahweh] is our righteousness.130</w:t>
      </w:r>
    </w:p>
    <w:p>
      <w:pPr>
        <w:pStyle w:val="Normal"/>
        <w:rPr/>
      </w:pPr>
      <w:r>
        <w:rP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rPr/>
      </w:pPr>
      <w:r>
        <w:rPr/>
        <w:t xml:space="preserve">The Messiah of Israel thus is likened to God and bears the name (Yahweh) of God. But the identity is not limited to the name: the identity includes common attributes, such as their eternity and their royalty.</w:t>
      </w:r>
    </w:p>
    <w:p>
      <w:pPr>
        <w:pStyle w:val="Normal"/>
        <w:rPr/>
      </w:pPr>
      <w:r>
        <w:rPr/>
        <w:t xml:space="preserve">I. The Eternal Messiah. We already have found in Psalm 110, which is demonstrably messianic, these words: “You are a priest forever.”</w:t>
      </w:r>
    </w:p>
    <w:p>
      <w:pPr>
        <w:pStyle w:val="Normal"/>
        <w:rPr/>
      </w:pPr>
      <w:r>
        <w:rP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rPr/>
      </w:pPr>
      <w:r>
        <w:rP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rPr/>
      </w:pPr>
      <w:r>
        <w:rP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rPr/>
      </w:pPr>
      <w:r>
        <w:rP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rPr/>
      </w:pPr>
      <w:r>
        <w:rP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rPr/>
      </w:pPr>
      <w:r>
        <w:rP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rPr/>
      </w:pPr>
      <w:r>
        <w:rPr/>
        <w:t xml:space="preserve">God and the Messiah, therefore, are one and the same person. This, at least, is what one can deduct from the several best-known and least controversial passages we have chosen from the Bible, along with the traditional Jewish comments on them.</w:t>
      </w:r>
    </w:p>
    <w:p>
      <w:pPr>
        <w:pStyle w:val="Normal"/>
        <w:rPr/>
      </w:pPr>
      <w:r>
        <w:rP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rPr/>
      </w:pPr>
      <w:r>
        <w:rP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rPr/>
      </w:pPr>
      <w:r>
        <w:rPr/>
        <w:t xml:space="preserve">Hebrew thought customarily uses paradoxes and takes delight in arriving at truth by bringing together seemingly irreconcilable elements. Typical is the truth regarding the double identity of the Messiah: glorious and humble, divine and human.</w:t>
      </w:r>
    </w:p>
    <w:p>
      <w:pPr>
        <w:pStyle w:val="Normal"/>
        <w:rPr/>
      </w:pPr>
      <w:r>
        <w:rPr/>
        <w:t xml:space="preserve">We find this truth in the writings of Jewish tradition as well as in the Hebrew Scriptures. And it is often found in the well-balanced verses of Hebrew poetry, of which Micah’s song and its name combinations are deserving of attention.</w:t>
      </w:r>
    </w:p>
    <w:p>
      <w:pPr>
        <w:pStyle w:val="Normal"/>
        <w:rPr/>
      </w:pPr>
      <w:r>
        <w:rPr/>
        <w:t xml:space="preserve">Micah’s Literary Play on Words</w:t>
      </w:r>
    </w:p>
    <w:p>
      <w:pPr>
        <w:pStyle w:val="Normal"/>
        <w:rPr/>
      </w:pPr>
      <w:r>
        <w:rP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rPr/>
      </w:pPr>
      <w:r>
        <w:rPr/>
        <w:t xml:space="preserve">Micah 4:8-14 &amp; Micah 5:1-4</w:t>
      </w:r>
    </w:p>
    <w:p>
      <w:pPr>
        <w:pStyle w:val="Normal"/>
        <w:rPr/>
      </w:pPr>
      <w:r>
        <w:rPr/>
        <w:t xml:space="preserve">The Theme of a City</w:t>
      </w:r>
    </w:p>
    <w:p>
      <w:pPr>
        <w:pStyle w:val="Normal"/>
        <w:rPr/>
      </w:pPr>
      <w:r>
        <w:rPr/>
        <w:t xml:space="preserve">Jerusalem, kingdom, glory, power:</w:t>
      </w:r>
    </w:p>
    <w:p>
      <w:pPr>
        <w:pStyle w:val="Normal"/>
        <w:rPr/>
      </w:pPr>
      <w:r>
        <w:rPr/>
        <w:t xml:space="preserve">“</w:t>
      </w:r>
      <w:r>
        <w:rPr/>
        <w:t xml:space="preserve">And you, O tower of the flock, hill of the daughter of Zion,… the kingdom of the daughter of Jerusalem.” (verse 8)</w:t>
      </w:r>
    </w:p>
    <w:p>
      <w:pPr>
        <w:pStyle w:val="Normal"/>
        <w:rPr/>
      </w:pPr>
      <w:r>
        <w:rPr/>
        <w:t xml:space="preserve">Bethlehem, humility, smallness:</w:t>
      </w:r>
    </w:p>
    <w:p>
      <w:pPr>
        <w:pStyle w:val="Normal"/>
        <w:rPr/>
      </w:pPr>
      <w:r>
        <w:rPr/>
        <w:t xml:space="preserve">“</w:t>
      </w:r>
      <w:r>
        <w:rPr/>
        <w:t xml:space="preserve">But you, O Bethlehem Ephrathah, who are little to be among the clans of Judah.” (verse 2)</w:t>
      </w:r>
    </w:p>
    <w:p>
      <w:pPr>
        <w:pStyle w:val="Normal"/>
        <w:rPr/>
      </w:pPr>
      <w:r>
        <w:rPr/>
        <w:t xml:space="preserve">The Theme of Ancient Days and Dominion</w:t>
      </w:r>
    </w:p>
    <w:p>
      <w:pPr>
        <w:pStyle w:val="Normal"/>
        <w:rPr/>
      </w:pPr>
      <w:r>
        <w:rPr/>
        <w:t xml:space="preserve">In the end:</w:t>
      </w:r>
    </w:p>
    <w:p>
      <w:pPr>
        <w:pStyle w:val="Normal"/>
        <w:rPr/>
      </w:pPr>
      <w:r>
        <w:rPr/>
        <w:t xml:space="preserve">“</w:t>
      </w:r>
      <w:r>
        <w:rPr/>
        <w:t xml:space="preserve">To you shall it come, the former dominion shall come.” (verse 8)</w:t>
      </w:r>
    </w:p>
    <w:p>
      <w:pPr>
        <w:pStyle w:val="Normal"/>
        <w:rPr/>
      </w:pPr>
      <w:r>
        <w:rPr/>
        <w:t xml:space="preserve">In the beginning:</w:t>
      </w:r>
    </w:p>
    <w:p>
      <w:pPr>
        <w:pStyle w:val="Normal"/>
        <w:rPr/>
      </w:pPr>
      <w:r>
        <w:rPr/>
        <w:t xml:space="preserve">“</w:t>
      </w:r>
      <w:r>
        <w:rPr/>
        <w:t xml:space="preserve">From you shall come forth for me one who is to be ruler in Israel, whose origin is from of old, from ancient days.” (verse 2)</w:t>
      </w:r>
    </w:p>
    <w:p>
      <w:pPr>
        <w:pStyle w:val="Normal"/>
        <w:rPr/>
      </w:pPr>
      <w:r>
        <w:rPr/>
        <w:t xml:space="preserve">The Theme of Childbirth</w:t>
      </w:r>
    </w:p>
    <w:p>
      <w:pPr>
        <w:pStyle w:val="Normal"/>
        <w:rPr/>
      </w:pPr>
      <w:r>
        <w:rPr/>
        <w:t xml:space="preserve">Birth pains, anguish, and captivity:</w:t>
      </w:r>
    </w:p>
    <w:p>
      <w:pPr>
        <w:pStyle w:val="Normal"/>
        <w:rPr/>
      </w:pPr>
      <w:r>
        <w:rPr/>
        <w:t xml:space="preserve">“</w:t>
      </w:r>
      <w:r>
        <w:rPr/>
        <w:t xml:space="preserve">Now why do you cry aloud?… Has your counselor perished, that pangs have seized you like a woman in travail? Writhe and groan, O daughter of Zion, like a woman in travail; for now you shall go forth from the city…; you shall go to Babylon.” (verses 9, 10)</w:t>
      </w:r>
    </w:p>
    <w:p>
      <w:pPr>
        <w:pStyle w:val="Normal"/>
        <w:rPr/>
      </w:pPr>
      <w:r>
        <w:rPr/>
        <w:t xml:space="preserve">Birth, deliverance, and return:</w:t>
      </w:r>
    </w:p>
    <w:p>
      <w:pPr>
        <w:pStyle w:val="Normal"/>
        <w:rPr/>
      </w:pPr>
      <w:r>
        <w:rPr/>
        <w:t xml:space="preserve">“</w:t>
      </w:r>
      <w:r>
        <w:rPr/>
        <w:t xml:space="preserve">Therefore he shall give them up until the time when she who is in travail has brought forth; then the rest of his brethren shall return to the people of Israel.” (verse 3)</w:t>
      </w:r>
    </w:p>
    <w:p>
      <w:pPr>
        <w:pStyle w:val="Normal"/>
        <w:rPr/>
      </w:pPr>
      <w:r>
        <w:rPr/>
        <w:t xml:space="preserve">The Theme of Divine Salvation</w:t>
      </w:r>
    </w:p>
    <w:p>
      <w:pPr>
        <w:pStyle w:val="Normal"/>
        <w:rPr/>
      </w:pPr>
      <w:r>
        <w:rPr/>
        <w:t xml:space="preserve">At war:</w:t>
      </w:r>
    </w:p>
    <w:p>
      <w:pPr>
        <w:pStyle w:val="Normal"/>
        <w:rPr/>
      </w:pPr>
      <w:r>
        <w:rPr/>
        <w:t xml:space="preserve">“</w:t>
      </w:r>
      <w:r>
        <w:rPr/>
        <w:t xml:space="preserve">There you shall be rescued, there the Lord will redeem you from the hand of your enemies. Now many nations are assembled against you…. I will make your horn iron and your hoofs bronze; you shall beat in pieces many peoples.” (verses 10-13)</w:t>
      </w:r>
    </w:p>
    <w:p>
      <w:pPr>
        <w:pStyle w:val="Normal"/>
        <w:rPr/>
      </w:pPr>
      <w:r>
        <w:rPr/>
        <w:t xml:space="preserve">At peace:</w:t>
      </w:r>
    </w:p>
    <w:p>
      <w:pPr>
        <w:pStyle w:val="Normal"/>
        <w:rPr/>
      </w:pPr>
      <w:r>
        <w:rPr/>
        <w:t xml:space="preserve">“</w:t>
      </w:r>
      <w:r>
        <w:rPr/>
        <w:t xml:space="preserve">He shall stand and feed his flock in the strength of the Lord, in the majesty of the name of the Lord his God. And they shall dwell secure…. And this shall be peace.” (verses 4, 5)</w:t>
      </w:r>
    </w:p>
    <w:p>
      <w:pPr>
        <w:pStyle w:val="Normal"/>
        <w:rPr/>
      </w:pPr>
      <w:r>
        <w:rPr/>
        <w:t xml:space="preserve">The Theme on Israel’s Leader (The Messiah)</w:t>
      </w:r>
    </w:p>
    <w:p>
      <w:pPr>
        <w:pStyle w:val="Normal"/>
        <w:rPr/>
      </w:pPr>
      <w:r>
        <w:rPr/>
        <w:t xml:space="preserve">In humiliation:</w:t>
      </w:r>
    </w:p>
    <w:p>
      <w:pPr>
        <w:pStyle w:val="Normal"/>
        <w:rPr/>
      </w:pPr>
      <w:r>
        <w:rPr/>
        <w:t xml:space="preserve">“</w:t>
      </w:r>
      <w:r>
        <w:rPr/>
        <w:t xml:space="preserve">With a rod they strike upon the cheek the ruler of Israel.” (chapter 5:1)</w:t>
      </w:r>
    </w:p>
    <w:p>
      <w:pPr>
        <w:pStyle w:val="Normal"/>
        <w:rPr/>
      </w:pPr>
      <w:r>
        <w:rPr/>
        <w:t xml:space="preserve">In glory:</w:t>
      </w:r>
    </w:p>
    <w:p>
      <w:pPr>
        <w:pStyle w:val="Normal"/>
        <w:rPr/>
      </w:pPr>
      <w:r>
        <w:rPr/>
        <w:t xml:space="preserve">“</w:t>
      </w:r>
      <w:r>
        <w:rPr/>
        <w:t xml:space="preserve">Now he shall he great to the ends of the earth, (verse 4)</w:t>
      </w:r>
    </w:p>
    <w:p>
      <w:pPr>
        <w:pStyle w:val="Normal"/>
        <w:rPr/>
      </w:pPr>
      <w:r>
        <w:rP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rPr/>
      </w:pPr>
      <w:r>
        <w:rPr/>
        <w:t xml:space="preserve">Jerusalem, glory, might (4:8)</w:t>
      </w:r>
    </w:p>
    <w:p>
      <w:pPr>
        <w:pStyle w:val="Normal"/>
        <w:rPr/>
      </w:pPr>
      <w:r>
        <w:rPr/>
        <w:t xml:space="preserve">Bethlehem, humility (5:2)</w:t>
      </w:r>
    </w:p>
    <w:p>
      <w:pPr>
        <w:pStyle w:val="Normal"/>
        <w:rPr/>
      </w:pPr>
      <w:r>
        <w:rPr/>
        <w:t xml:space="preserve">Humiliation of Messiah (5:1)</w:t>
      </w:r>
    </w:p>
    <w:p>
      <w:pPr>
        <w:pStyle w:val="Normal"/>
        <w:rPr/>
      </w:pPr>
      <w:r>
        <w:rPr/>
        <w:t xml:space="preserve">Glorification of Messiah (5:4)</w:t>
      </w:r>
    </w:p>
    <w:p>
      <w:pPr>
        <w:pStyle w:val="Normal"/>
        <w:rPr/>
      </w:pPr>
      <w:r>
        <w:rPr/>
        <w:t xml:space="preserve">Such parallelism is of the chiastic type, so called because of its relationship (as pictured) to the Greek letter X (chi).</w:t>
      </w:r>
    </w:p>
    <w:p>
      <w:pPr>
        <w:pStyle w:val="Normal"/>
        <w:rPr/>
      </w:pPr>
      <w:r>
        <w:rPr/>
        <w:t xml:space="preserve">We chose these two chapters from Micah chiefly because of their Messianic character; Jewish tradition did not fail to see in them a clear allusion to the Messiah.</w:t>
      </w:r>
    </w:p>
    <w:p>
      <w:pPr>
        <w:pStyle w:val="Normal"/>
        <w:rPr/>
      </w:pPr>
      <w:r>
        <w:rPr/>
        <w:t xml:space="preserve">Thus, in Micah 5:2 the rabbis of the Talmud concluded that the Messiah would come from Bethlehem.147</w:t>
      </w:r>
    </w:p>
    <w:p>
      <w:pPr>
        <w:pStyle w:val="Normal"/>
        <w:rPr/>
      </w:pPr>
      <w:r>
        <w:rPr/>
        <w:t xml:space="preserve">Similarly, the judge (or ruler) mentioned by Micah (chapter 4:3 and chapter 5:1) is seen by the Midrash to be the Messiah.148</w:t>
      </w:r>
    </w:p>
    <w:p>
      <w:pPr>
        <w:pStyle w:val="Normal"/>
        <w:rPr/>
      </w:pPr>
      <w:r>
        <w:rPr/>
        <w:t xml:space="preserve">As for the Targums, the translation makes it clear that the Messiah is meant in both cases.149</w:t>
      </w:r>
    </w:p>
    <w:p>
      <w:pPr>
        <w:pStyle w:val="Normal"/>
        <w:rPr/>
      </w:pPr>
      <w:r>
        <w:rPr/>
        <w:t xml:space="preserve">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rPr/>
      </w:pPr>
      <w:bookmarkStart w:id="17" w:name="Chapter_6"/>
      <w:bookmarkStart w:id="18" w:name="Top_of_part0011_xhtml"/>
      <w:bookmarkEnd w:id="17"/>
      <w:bookmarkEnd w:id="18"/>
      <w:r>
        <w:rPr/>
        <w:t xml:space="preserve">Capítulo 6</w:t>
      </w:r>
    </w:p>
    <w:p>
      <w:pPr>
        <w:pStyle w:val="Para04"/>
        <w:rPr/>
      </w:pPr>
      <w:r>
        <w:rPr/>
        <w:t xml:space="preserve">Jerusalem - The Message of the Name</w:t>
      </w:r>
    </w:p>
    <w:p>
      <w:pPr>
        <w:pStyle w:val="Para03"/>
        <w:rPr/>
      </w:pPr>
      <w:r>
        <w:rP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rPr/>
      </w:pPr>
      <w:r>
        <w:rP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rPr/>
      </w:pPr>
      <w:r>
        <w:rPr/>
        <w:t xml:space="preserve">W hat these two men wrote is correct, but there is much more. An analysis of the name of Jerusalem reveals a number of remarkable theological ideas.</w:t>
      </w:r>
    </w:p>
    <w:p>
      <w:pPr>
        <w:pStyle w:val="Normal"/>
        <w:rPr/>
      </w:pPr>
      <w:r>
        <w:rP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rPr/>
      </w:pPr>
      <w:r>
        <w:rPr/>
        <w:t xml:space="preserve">Significantly, Moriah appears in the Bible in only these two instances. It would seem that the Bible wanted to attach firmly to this site the idea of the saving intervention of God.</w:t>
      </w:r>
    </w:p>
    <w:p>
      <w:pPr>
        <w:pStyle w:val="Normal"/>
        <w:rPr/>
      </w:pPr>
      <w:r>
        <w:rPr/>
        <w:t xml:space="preserve">By choosing Moriah as the place where the Levitical rites would be performed, David indicated that a close correlation existed between the saving act of God and the ritual service in the sanctuary.</w:t>
      </w:r>
    </w:p>
    <w:p>
      <w:pPr>
        <w:pStyle w:val="Normal"/>
        <w:rPr/>
      </w:pPr>
      <w:r>
        <w:rP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rPr/>
      </w:pPr>
      <w:r>
        <w:rP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rPr/>
      </w:pPr>
      <w:r>
        <w:rP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rPr/>
      </w:pPr>
      <w:r>
        <w:rPr/>
        <w:t xml:space="preserve">Under the influence of these verses from Jeremiah, John, in the book of Revelation, associated the New Jerusalem and “my [God’s] own new name.” Revelation 3:12. Jerusalem and the Messiah, in their names, share a common message.</w:t>
      </w:r>
    </w:p>
    <w:p>
      <w:pPr>
        <w:pStyle w:val="Normal"/>
        <w:rPr/>
      </w:pPr>
      <w:r>
        <w:rP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rPr/>
      </w:pPr>
      <w:r>
        <w:rP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rPr/>
      </w:pPr>
      <w:r>
        <w:rP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rPr/>
      </w:pPr>
      <w:r>
        <w:rP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rPr/>
      </w:pPr>
      <w:r>
        <w:rP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rPr/>
      </w:pPr>
      <w:r>
        <w:rP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rPr/>
      </w:pPr>
      <w:r>
        <w:rP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rPr/>
      </w:pPr>
      <w:r>
        <w:rP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rPr/>
      </w:pPr>
      <w:r>
        <w:rP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rPr/>
      </w:pPr>
      <w:r>
        <w:rP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rPr/>
      </w:pPr>
      <w:r>
        <w:rP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rPr/>
      </w:pPr>
      <w:r>
        <w:rPr/>
        <w:t xml:space="preserve">The second coming is beyond our intelligence. It is bigger than man’s puny thinking. It belongs to God’s time. It therefore can never be determined or realized through any human calculation.</w:t>
      </w:r>
    </w:p>
    <w:p>
      <w:pPr>
        <w:pStyle w:val="Normal"/>
        <w:rPr/>
      </w:pPr>
      <w:r>
        <w:rPr/>
        <w:t xml:space="preserve">The first coming, on the contrary, belongs to our history, fits our times and our measurements. One can readily understand that, belonging to the human order of things, this first coming can be situated in history.</w:t>
      </w:r>
    </w:p>
    <w:p>
      <w:pPr>
        <w:pStyle w:val="Normal"/>
        <w:rPr/>
      </w:pPr>
      <w:r>
        <w:rPr/>
        <w:t xml:space="preserve">A Coming On Time</w:t>
      </w:r>
    </w:p>
    <w:p>
      <w:pPr>
        <w:pStyle w:val="Normal"/>
        <w:rPr/>
      </w:pPr>
      <w:r>
        <w:rP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rPr/>
      </w:pPr>
      <w:r>
        <w:rPr/>
        <w:t xml:space="preserve">The coming of a Messiah whose tragic destiny involved suffering and death implies necessarily a period of waiting in history.</w:t>
      </w:r>
    </w:p>
    <w:p>
      <w:pPr>
        <w:pStyle w:val="Normal"/>
        <w:rPr/>
      </w:pPr>
      <w:r>
        <w:rP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rPr/>
      </w:pPr>
      <w:r>
        <w:rPr/>
        <w:t xml:space="preserve">“</w:t>
      </w:r>
      <w:r>
        <w:rP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rPr/>
      </w:pPr>
      <w:r>
        <w:rP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rPr/>
      </w:pPr>
      <w:r>
        <w:rP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rPr/>
      </w:pPr>
      <w:r>
        <w:rP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rPr/>
      </w:pPr>
      <w:r>
        <w:rPr/>
        <w:t xml:space="preserve">Daniel therefore cries to God, asking Him in mercy to intervene and forgive. He pleads that Jerusalem - and thus the sanctuary - be restored to its former glory and significance. (Compare verses 17-19.)</w:t>
      </w:r>
    </w:p>
    <w:p>
      <w:pPr>
        <w:pStyle w:val="Normal"/>
        <w:rPr/>
      </w:pPr>
      <w:r>
        <w:rPr/>
        <w:t xml:space="preserve">In answer to this prayer of “confessing my sin and the sin of my people Israel, and presenting my supplication” (verse 20), God sent an answer by the angel Gabriel.</w:t>
      </w:r>
    </w:p>
    <w:p>
      <w:pPr>
        <w:pStyle w:val="Normal"/>
        <w:rPr/>
      </w:pPr>
      <w:r>
        <w:rPr/>
        <w:t xml:space="preserve">“</w:t>
      </w:r>
      <w:r>
        <w:rPr/>
        <w:t xml:space="preserve">At the beginning of your supplications a word went forth, and I have come to tell it to you, for you are greatly beloved.” Verse 23.</w:t>
      </w:r>
    </w:p>
    <w:p>
      <w:pPr>
        <w:pStyle w:val="Normal"/>
        <w:rPr/>
      </w:pPr>
      <w:r>
        <w:rPr/>
        <w:t xml:space="preserve">So Daniel’s concerns and preoccupations became the points on which God answered him.</w:t>
      </w:r>
    </w:p>
    <w:p>
      <w:pPr>
        <w:pStyle w:val="Normal"/>
        <w:rPr/>
      </w:pPr>
      <w:r>
        <w:rPr/>
        <w:t xml:space="preserve">Was Daniel preoccupied by the sin of the people? God’s answer was that in time sin would be expiated once and for all and eternal justice made secure. Verse 24.</w:t>
      </w:r>
    </w:p>
    <w:p>
      <w:pPr>
        <w:pStyle w:val="Normal"/>
        <w:rPr/>
      </w:pPr>
      <w:r>
        <w:rPr/>
        <w:t xml:space="preserve">Was Daniel concerned for the destiny of Jerusalem? God answers that in time a decree will be promulgated favoring the reconstruction of the city; yet, in later times, Jerusalem would be again devastated and destroyed. Verses 5, 26.</w:t>
      </w:r>
    </w:p>
    <w:p>
      <w:pPr>
        <w:pStyle w:val="Normal"/>
        <w:rPr/>
      </w:pPr>
      <w:r>
        <w:rPr/>
        <w:t xml:space="preserve">If in this same vision one sees the announcement of the coming Messiah, it lies in God’s two answers.</w:t>
      </w:r>
    </w:p>
    <w:p>
      <w:pPr>
        <w:pStyle w:val="Normal"/>
        <w:rPr/>
      </w:pPr>
      <w:r>
        <w:rP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rPr/>
      </w:pPr>
      <w:r>
        <w:rPr/>
        <w:t xml:space="preserve">Then we must establish a point in history from which to calculate the time period leading to the coming and the death of the Messiah. Details relating to the destiny of Jerusalem will reveal that point. Verses 4, 25, 26.</w:t>
      </w:r>
    </w:p>
    <w:p>
      <w:pPr>
        <w:pStyle w:val="Normal"/>
        <w:rPr/>
      </w:pPr>
      <w:r>
        <w:rP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rPr/>
      </w:pPr>
      <w:r>
        <w:rPr/>
        <w:t xml:space="preserve">Daniel’s prayer was in behalf of his people and of Jerusalem. It was to be expected that Gabriel’s message, speaking for God, would deal with these two items.</w:t>
      </w:r>
    </w:p>
    <w:p>
      <w:pPr>
        <w:pStyle w:val="Normal"/>
        <w:rPr/>
      </w:pPr>
      <w:r>
        <w:rP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rPr/>
      </w:pPr>
      <w:r>
        <w:rPr/>
        <w:t xml:space="preserve">A Full Seventy Weeks Decreed</w:t>
      </w:r>
    </w:p>
    <w:p>
      <w:pPr>
        <w:pStyle w:val="Normal"/>
        <w:rPr/>
      </w:pPr>
      <w:r>
        <w:rPr/>
        <w:t xml:space="preserve">Concerning Your People</w:t>
      </w:r>
    </w:p>
    <w:p>
      <w:pPr>
        <w:pStyle w:val="Normal"/>
        <w:rPr/>
      </w:pPr>
      <w:r>
        <w:rPr/>
        <w:t xml:space="preserve">To finish the transgression</w:t>
      </w:r>
    </w:p>
    <w:p>
      <w:pPr>
        <w:pStyle w:val="Normal"/>
        <w:rPr/>
      </w:pPr>
      <w:r>
        <w:rPr/>
        <w:t xml:space="preserve">To put an end to sin</w:t>
      </w:r>
    </w:p>
    <w:p>
      <w:pPr>
        <w:pStyle w:val="Normal"/>
        <w:rPr/>
      </w:pPr>
      <w:r>
        <w:rPr/>
        <w:t xml:space="preserve">To atone for iniquity</w:t>
      </w:r>
    </w:p>
    <w:p>
      <w:pPr>
        <w:pStyle w:val="Normal"/>
        <w:rPr/>
      </w:pPr>
      <w:r>
        <w:rPr/>
        <w:t xml:space="preserve">And Your Holy City</w:t>
      </w:r>
    </w:p>
    <w:p>
      <w:pPr>
        <w:pStyle w:val="Normal"/>
        <w:rPr/>
      </w:pPr>
      <w:r>
        <w:rPr/>
        <w:t xml:space="preserve">To bring in everlasting righteousness</w:t>
      </w:r>
    </w:p>
    <w:p>
      <w:pPr>
        <w:pStyle w:val="Normal"/>
        <w:rPr/>
      </w:pPr>
      <w:r>
        <w:rPr/>
        <w:t xml:space="preserve">To seal both vision and prophet</w:t>
      </w:r>
    </w:p>
    <w:p>
      <w:pPr>
        <w:pStyle w:val="Normal"/>
        <w:rPr/>
      </w:pPr>
      <w:r>
        <w:rPr/>
        <w:t xml:space="preserve">To anoint a most holy place (verse 24)</w:t>
      </w:r>
    </w:p>
    <w:p>
      <w:pPr>
        <w:pStyle w:val="Normal"/>
        <w:rPr/>
      </w:pPr>
      <w:r>
        <w:rPr/>
        <w:t xml:space="preserve">The two subjects of Gabriel’s response to Daniel are announced in advance: “your people and your holy city.”</w:t>
      </w:r>
    </w:p>
    <w:p>
      <w:pPr>
        <w:pStyle w:val="Normal"/>
        <w:rPr/>
      </w:pPr>
      <w:r>
        <w:rP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rPr>
        <w:t xml:space="preserve">etc.</w:t>
      </w:r>
    </w:p>
    <w:p>
      <w:pPr>
        <w:pStyle w:val="Normal"/>
        <w:rPr/>
      </w:pPr>
      <w:r>
        <w:rPr/>
        <w:t xml:space="preserve">Then, a further parallelism exists between the verses themselves: the second element extends and completes the first:</w:t>
      </w:r>
    </w:p>
    <w:p>
      <w:pPr>
        <w:pStyle w:val="Normal"/>
        <w:rPr/>
      </w:pPr>
      <w:r>
        <w:rPr/>
        <w:t xml:space="preserve">“</w:t>
      </w:r>
      <w:r>
        <w:rPr/>
        <w:t xml:space="preserve">To finish transgression” is parallel to “to bring in everlasting righteousness.” The end of transgression results in the reign of righteousness, or justice.</w:t>
      </w:r>
    </w:p>
    <w:p>
      <w:pPr>
        <w:pStyle w:val="Normal"/>
        <w:rPr/>
      </w:pPr>
      <w:r>
        <w:rPr/>
        <w:t xml:space="preserve">“</w:t>
      </w:r>
      <w:r>
        <w:rP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rPr/>
      </w:pPr>
      <w:r>
        <w:rPr/>
        <w:t xml:space="preserve">“</w:t>
      </w:r>
      <w:r>
        <w:rP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rPr/>
      </w:pPr>
      <w:r>
        <w:rP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rPr/>
      </w:pPr>
      <w:r>
        <w:rPr/>
        <w:t xml:space="preserve">A1 (verse 25a) From the going forth of the word to restore and build Jerusalem to the Anointed One, a prince seven weeks and sixty-two weeks</w:t>
      </w:r>
    </w:p>
    <w:p>
      <w:pPr>
        <w:pStyle w:val="Normal"/>
        <w:rPr/>
      </w:pPr>
      <w:r>
        <w:rPr/>
        <w:t xml:space="preserve">A2 (verse 26a) After the sixty-two weeks the Anointed One will be cut off and and have nothing: no one at His side168</w:t>
      </w:r>
    </w:p>
    <w:p>
      <w:pPr>
        <w:pStyle w:val="Normal"/>
        <w:rPr/>
      </w:pPr>
      <w:r>
        <w:rPr/>
        <w:t xml:space="preserve">A3 (verse 27a) And he shall make a strong covenant with many for one week; and for half (in the midst) of the week he shall cause sacrifice and offering to cease.</w:t>
      </w:r>
    </w:p>
    <w:p>
      <w:pPr>
        <w:pStyle w:val="Normal"/>
        <w:rPr/>
      </w:pPr>
      <w:r>
        <w:rPr/>
        <w:t xml:space="preserve">B1 (verse 25b) Restoration and construction with squares and moat in a troubled time</w:t>
      </w:r>
    </w:p>
    <w:p>
      <w:pPr>
        <w:pStyle w:val="Normal"/>
        <w:rPr/>
      </w:pPr>
      <w:r>
        <w:rPr/>
        <w:t xml:space="preserve">B2 (verse 26b) People of the prince will destroy city and sanctuary in flood, war and desolation, according to what was cut off</w:t>
      </w:r>
    </w:p>
    <w:p>
      <w:pPr>
        <w:pStyle w:val="Normal"/>
        <w:rPr/>
      </w:pPr>
      <w:r>
        <w:rPr/>
        <w:t xml:space="preserve">B3 (verse 27b) Upon the wing of abominations shall come one who makes desolate until the One cut off is poured out on the desolater.</w:t>
      </w:r>
    </w:p>
    <w:p>
      <w:pPr>
        <w:pStyle w:val="Normal"/>
        <w:rPr/>
      </w:pPr>
      <w:r>
        <w:rP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rPr/>
      </w:pPr>
      <w:r>
        <w:rPr/>
        <w:t xml:space="preserve">This paralleling of two themes is not an artificial device. It grows out of the double current that runs through the chapter: people - sin; Jerusalem - sanctuary.</w:t>
      </w:r>
    </w:p>
    <w:p>
      <w:pPr>
        <w:pStyle w:val="Normal"/>
        <w:rPr/>
      </w:pPr>
      <w:r>
        <w:rP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rPr/>
      </w:pPr>
      <w:r>
        <w:rP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rPr/>
      </w:pPr>
      <w:r>
        <w:rPr/>
        <w:t xml:space="preserve">The two themes of Messiah and Jerusalem are used alternately, which gives the verses their intertwining configuration:</w:t>
      </w:r>
    </w:p>
    <w:p>
      <w:pPr>
        <w:pStyle w:val="Normal"/>
        <w:rPr/>
      </w:pPr>
      <w:r>
        <w:rPr/>
        <w:t xml:space="preserve">A1 Messiah-B1 Jerusalem</w:t>
      </w:r>
    </w:p>
    <w:p>
      <w:pPr>
        <w:pStyle w:val="Normal"/>
        <w:rPr/>
      </w:pPr>
      <w:r>
        <w:rPr/>
        <w:t xml:space="preserve">A2 Messiah-B2 Jerusalem</w:t>
      </w:r>
    </w:p>
    <w:p>
      <w:pPr>
        <w:pStyle w:val="Normal"/>
        <w:rPr/>
      </w:pPr>
      <w:r>
        <w:rPr/>
        <w:t xml:space="preserve">A3 Messiah (implied and understood)171-B3 Jerusalem</w:t>
      </w:r>
    </w:p>
    <w:p>
      <w:pPr>
        <w:pStyle w:val="Normal"/>
        <w:rPr/>
      </w:pPr>
      <w:r>
        <w:rPr/>
        <w:t xml:space="preserve">Lateral parallelism also can be seen between A1 and B1, A2 and B2, A3 and B3:</w:t>
      </w:r>
    </w:p>
    <w:p>
      <w:pPr>
        <w:pStyle w:val="Normal"/>
        <w:rPr/>
      </w:pPr>
      <w:r>
        <w:rPr/>
        <w:t xml:space="preserve">A1 goes with B1 by the repeated use of the two words “restore” and “construct.”</w:t>
      </w:r>
    </w:p>
    <w:p>
      <w:pPr>
        <w:pStyle w:val="Normal"/>
        <w:rPr/>
      </w:pPr>
      <w:r>
        <w:rPr/>
        <w:t xml:space="preserve">A2 goes with B2 in their common theme on destruction and death.</w:t>
      </w:r>
    </w:p>
    <w:p>
      <w:pPr>
        <w:pStyle w:val="Normal"/>
        <w:rPr/>
      </w:pPr>
      <w:r>
        <w:rPr/>
        <w:t xml:space="preserve">A3 and B3 are together in their references to temple affairs.</w:t>
      </w:r>
    </w:p>
    <w:p>
      <w:pPr>
        <w:pStyle w:val="Normal"/>
        <w:rPr/>
      </w:pPr>
      <w:r>
        <w:rP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rPr/>
      </w:pPr>
      <w:r>
        <w:rP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rPr/>
      </w:pPr>
      <w:r>
        <w:rP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rPr/>
      </w:pPr>
      <w:r>
        <w:rPr/>
        <w:t xml:space="preserve">The intent of Daniel 9 is for the reader to understand that the Messiah is destined to be a sacrificial victim. The phenomenon of expiation requires the Messiah to be stricken so that the sins of the people might be atoned for.</w:t>
      </w:r>
    </w:p>
    <w:p>
      <w:pPr>
        <w:pStyle w:val="Normal"/>
        <w:rPr/>
      </w:pPr>
      <w:r>
        <w:rPr/>
        <w:t xml:space="preserve">Yet, beyond theological abstraction, this mystical truth will break into the tortured flesh of humanity (1’Histoire). In order to recognize how and when the Messiah became a reality one must focus on the history of Jerusalem.</w:t>
      </w:r>
    </w:p>
    <w:p>
      <w:pPr>
        <w:pStyle w:val="Normal"/>
        <w:rPr/>
      </w:pPr>
      <w:r>
        <w:rPr/>
        <w:t xml:space="preserve">The Interpretation in Reality</w:t>
      </w:r>
    </w:p>
    <w:p>
      <w:pPr>
        <w:pStyle w:val="Normal"/>
        <w:rPr/>
      </w:pPr>
      <w:r>
        <w:rP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rPr/>
      </w:pPr>
      <w:r>
        <w:rPr/>
        <w:t xml:space="preserve">I. The seventy weeks. What is to be understood by this expression? Are these literal weeks, or “weeks” to be interpreted by a special key?</w:t>
      </w:r>
    </w:p>
    <w:p>
      <w:pPr>
        <w:pStyle w:val="Normal"/>
        <w:rPr/>
      </w:pPr>
      <w:r>
        <w:rP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rPr/>
      </w:pPr>
      <w:r>
        <w:rPr/>
        <w:t xml:space="preserve">In Ezekiel’s as in Daniel’s time, the divine oracle included the fixing of a definite time period. In Ezekiel’s case the time was evaluated in days; and the prophet immediately gave the conversion factor: one day equals one year. See Ezekiel 4:4-7.</w:t>
      </w:r>
    </w:p>
    <w:p>
      <w:pPr>
        <w:pStyle w:val="Normal"/>
        <w:rPr/>
      </w:pPr>
      <w:r>
        <w:rP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rPr/>
      </w:pPr>
      <w:r>
        <w:rP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rPr/>
      </w:pPr>
      <w:r>
        <w:rPr/>
        <w:t xml:space="preserve">Elsewhere the Talmud is most precise: “A week in Daniel 9 means a week of years.“174</w:t>
      </w:r>
    </w:p>
    <w:p>
      <w:pPr>
        <w:pStyle w:val="Normal"/>
        <w:rPr/>
      </w:pPr>
      <w:r>
        <w:rPr/>
        <w:t xml:space="preserve">The Midrash Rabbah follows this same line of interpretation. In explaining the verse “He shall make a strong covenant with many for one week” (Daniel 9:27), he says: “A week represents a period of seven years. 173</w:t>
      </w:r>
    </w:p>
    <w:p>
      <w:pPr>
        <w:pStyle w:val="Normal"/>
        <w:rPr/>
      </w:pPr>
      <w:r>
        <w:rPr/>
        <w:t xml:space="preserve">Since then the Jews have remained faithful to this reading; and the most famous of the exegetes, such as Saadia, Raschi, and Ibn Ezra, adopted it unanimously.</w:t>
      </w:r>
    </w:p>
    <w:p>
      <w:pPr>
        <w:pStyle w:val="Normal"/>
        <w:rPr/>
      </w:pPr>
      <w:r>
        <w:rP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rPr/>
      </w:pPr>
      <w:r>
        <w:rP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rPr/>
      </w:pPr>
      <w:r>
        <w:rPr/>
        <w:t xml:space="preserve">Knowing the nature of this prophetic period, we still must determine the starting point.</w:t>
      </w:r>
    </w:p>
    <w:p>
      <w:pPr>
        <w:pStyle w:val="Normal"/>
        <w:rPr/>
      </w:pPr>
      <w:r>
        <w:rPr/>
        <w:t xml:space="preserve">II. The Decree. “From the going forth of the word to restore and build Jerusalem” Daniel 9:25.</w:t>
      </w:r>
    </w:p>
    <w:p>
      <w:pPr>
        <w:pStyle w:val="Normal"/>
        <w:rPr/>
      </w:pPr>
      <w:r>
        <w:rPr/>
        <w:t xml:space="preserve">In this connection, the book of Ezra tells us that Jerusalem and its temple were reestablished following a succession of decrees issued by Cyrus, Darius, and Artaxerxes (see Ezra 6:14).</w:t>
      </w:r>
    </w:p>
    <w:p>
      <w:pPr>
        <w:pStyle w:val="Normal"/>
        <w:rPr/>
      </w:pPr>
      <w:r>
        <w:rP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rPr/>
      </w:pPr>
      <w:r>
        <w:rP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rPr/>
      </w:pPr>
      <w:r>
        <w:rPr/>
        <w:t xml:space="preserve">Artaxerxes issued this decree in the seventh year of his reign, which was in the autumn of 457 B.C.178</w:t>
      </w:r>
    </w:p>
    <w:p>
      <w:pPr>
        <w:pStyle w:val="Normal"/>
        <w:rPr/>
      </w:pPr>
      <w:r>
        <w:rPr/>
        <w:t xml:space="preserve">Sixty-nine weeks - that is, 483 years later - according to the prophecy, a Messiah (an Anointed One) prince was to appear. That year would be A. D. 27.</w:t>
      </w:r>
    </w:p>
    <w:p>
      <w:pPr>
        <w:pStyle w:val="Normal"/>
        <w:rPr/>
      </w:pPr>
      <w:r>
        <w:rP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rPr/>
      </w:pPr>
      <w:r>
        <w:rP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rPr/>
      </w:pPr>
      <w:r>
        <w:rP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rPr/>
      </w:pPr>
      <w:r>
        <w:rPr/>
        <w:t xml:space="preserve">On the same occasion, the historian attests the value of such a book for the Jews of his time181 (the first century of our era): “Our nation still reads his writings today, and this reading proves how much God revealed Himself to Daniel.“182</w:t>
      </w:r>
    </w:p>
    <w:p>
      <w:pPr>
        <w:pStyle w:val="Normal"/>
        <w:rPr/>
      </w:pPr>
      <w:r>
        <w:rPr/>
        <w:t xml:space="preserve">Proofs Abundant</w:t>
      </w:r>
    </w:p>
    <w:p>
      <w:pPr>
        <w:pStyle w:val="Normal"/>
        <w:rPr/>
      </w:pPr>
      <w:r>
        <w:rP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rPr/>
      </w:pPr>
      <w:r>
        <w:rP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rPr/>
      </w:pPr>
      <w:r>
        <w:rP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rPr/>
      </w:pPr>
      <w:r>
        <w:rP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rPr/>
      </w:pPr>
      <w:r>
        <w:rP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rPr/>
      </w:pPr>
      <w:r>
        <w:rP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rPr/>
      </w:pPr>
      <w:r>
        <w:rPr/>
        <w:t xml:space="preserve">Lastly, no one could overlook that the Messiah known as Jeshua had been executed approximately three and a half years after the beginning of His public ministry,188 in the year A.D. 31, even as Daniel had predicted.</w:t>
      </w:r>
    </w:p>
    <w:p>
      <w:pPr>
        <w:pStyle w:val="Normal"/>
        <w:rPr/>
      </w:pPr>
      <w:r>
        <w:rPr/>
        <w:t xml:space="preserve">That Jeshua of Nazareth seemed to correspond in all points to the messianic portrait outlined in the Scriptures became inescapable to a growing number in the Jewish community.</w:t>
      </w:r>
    </w:p>
    <w:p>
      <w:pPr>
        <w:pStyle w:val="Normal"/>
        <w:rPr/>
      </w:pPr>
      <w:r>
        <w:rP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rPr/>
      </w:pPr>
      <w:r>
        <w:rP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rPr/>
      </w:pPr>
      <w:r>
        <w:rP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rPr/>
      </w:pPr>
      <w:r>
        <w:rP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rPr/>
      </w:pPr>
      <w:r>
        <w:rP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rPr/>
      </w:pPr>
      <w:r>
        <w:rP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rPr/>
      </w:pPr>
      <w:r>
        <w:rP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rPr/>
      </w:pPr>
      <w:r>
        <w:rPr/>
        <w:t xml:space="preserve">“</w:t>
      </w:r>
      <w:r>
        <w:rP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rPr/>
      </w:pPr>
      <w:r>
        <w:rP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rPr/>
      </w:pPr>
      <w:r>
        <w:rPr/>
        <w:t xml:space="preserve">Such Christians run the risk of someday falling into intolerance. Desirous of demonstrating at any price their truth, they end up forgetting that their life alone is the argument par excellence in favor of it.</w:t>
      </w:r>
    </w:p>
    <w:p>
      <w:pPr>
        <w:pStyle w:val="Normal"/>
        <w:rPr/>
      </w:pPr>
      <w:r>
        <w:rP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rPr/>
      </w:pPr>
      <w:r>
        <w:rP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rPr/>
      </w:pPr>
      <w:r>
        <w:rP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rPr/>
      </w:pPr>
      <w:r>
        <w:rP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rPr/>
      </w:pPr>
      <w:r>
        <w:rP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rPr/>
      </w:pPr>
      <w:bookmarkStart w:id="19" w:name="Top_of_part0012_xhtml"/>
      <w:bookmarkStart w:id="20" w:name="Chapter_7"/>
      <w:bookmarkEnd w:id="19"/>
      <w:bookmarkEnd w:id="20"/>
      <w:r>
        <w:rPr/>
        <w:t xml:space="preserve">Capítulo 7</w:t>
      </w:r>
    </w:p>
    <w:p>
      <w:pPr>
        <w:pStyle w:val="Para04"/>
        <w:rPr/>
      </w:pPr>
      <w:r>
        <w:rPr/>
        <w:t xml:space="preserve">Rebirth of a Covenant</w:t>
      </w:r>
    </w:p>
    <w:p>
      <w:pPr>
        <w:pStyle w:val="Para03"/>
        <w:rPr/>
      </w:pPr>
      <w:r>
        <w:rPr/>
        <w:t xml:space="preserve">“</w:t>
      </w:r>
      <w:r>
        <w:rPr/>
        <w:t xml:space="preserve">The great sin of the Christian world, whatever the grandeur of their faith, would be their rejection of the law of God.” - Ellen Gould White.</w:t>
      </w:r>
    </w:p>
    <w:p>
      <w:pPr>
        <w:pStyle w:val="Normal"/>
        <w:rPr/>
      </w:pPr>
      <w:r>
        <w:rPr/>
        <w:t xml:space="preserve">Only Jeremiah in the Old Testament uses the words “a covenant.” Jeremiah 31:31.</w:t>
      </w:r>
    </w:p>
    <w:p>
      <w:pPr>
        <w:pStyle w:val="Normal"/>
        <w:rPr/>
      </w:pPr>
      <w:r>
        <w:rP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rPr/>
      </w:pPr>
      <w:r>
        <w:rP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rPr/>
      </w:pPr>
      <w:r>
        <w:rPr/>
        <w:t xml:space="preserve">Same Law</w:t>
      </w:r>
    </w:p>
    <w:p>
      <w:pPr>
        <w:pStyle w:val="Normal"/>
        <w:rPr/>
      </w:pPr>
      <w:r>
        <w:rP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rPr/>
      </w:pPr>
      <w:r>
        <w:rP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rPr/>
      </w:pPr>
      <w:r>
        <w:rP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rPr/>
      </w:pPr>
      <w:r>
        <w:rPr/>
        <w:t xml:space="preserve">The New Covenant is a deepening internalizing of the Old.</w:t>
      </w:r>
    </w:p>
    <w:p>
      <w:pPr>
        <w:pStyle w:val="Normal"/>
        <w:rPr/>
      </w:pPr>
      <w:r>
        <w:rP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rPr/>
      </w:pPr>
      <w:r>
        <w:rPr/>
        <w:t xml:space="preserve">Do not stop at the halfway point in your obedience of God, said Jesus. Do not be satisfied with a legalistic observance. Go much further! And in the verses that follow, Jesus takes up the practical application of this attitude:</w:t>
      </w:r>
    </w:p>
    <w:p>
      <w:pPr>
        <w:pStyle w:val="Normal"/>
        <w:rPr/>
      </w:pPr>
      <w:r>
        <w:rPr/>
        <w:t xml:space="preserve">“</w:t>
      </w:r>
      <w:r>
        <w:rP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rPr/>
      </w:pPr>
      <w:r>
        <w:rPr/>
        <w:t xml:space="preserve">“</w:t>
      </w:r>
      <w:r>
        <w:rPr/>
        <w:t xml:space="preserve">You have learned that they were told, ‘Do not commit adultery.’ But what I tell you is this: If a man looks on a woman with a lustful eye, he has already committed adultery with her in his heart.” Matthew 5:27, 28, N.E.B.</w:t>
      </w:r>
    </w:p>
    <w:p>
      <w:pPr>
        <w:pStyle w:val="Normal"/>
        <w:rPr/>
      </w:pPr>
      <w:r>
        <w:rPr/>
        <w:t xml:space="preserve">The Law written in people’s hearts becomes much more demanding than the Law written in stone. When the Law is internalized, the whole person is involved, including the most intimate motivations - even the subconscious.</w:t>
      </w:r>
    </w:p>
    <w:p>
      <w:pPr>
        <w:pStyle w:val="Normal"/>
        <w:rPr/>
      </w:pPr>
      <w:r>
        <w:rP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rPr/>
      </w:pPr>
      <w:r>
        <w:rP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rPr/>
      </w:pPr>
      <w:r>
        <w:rPr/>
        <w:t xml:space="preserve">He really did not. In his relationship to the Sabbath, as with the other precepts of the Decalogue, Jeshua really asked for a more complete obedience, a more serious compliance.</w:t>
      </w:r>
    </w:p>
    <w:p>
      <w:pPr>
        <w:pStyle w:val="Normal"/>
        <w:rPr/>
      </w:pPr>
      <w:r>
        <w:rP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rPr/>
      </w:pPr>
      <w:r>
        <w:rPr/>
        <w:t xml:space="preserve">For this reason Jeshua strongly exhorted His disciples in His apocalyptic discourse: “Pray that your flight may not be in winter or on a sabbath.” Matthew 24:20.</w:t>
      </w:r>
    </w:p>
    <w:p>
      <w:pPr>
        <w:pStyle w:val="Normal"/>
        <w:rPr/>
      </w:pPr>
      <w:r>
        <w:rP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rPr/>
      </w:pPr>
      <w:r>
        <w:rP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rPr/>
      </w:pPr>
      <w:r>
        <w:rP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rPr/>
      </w:pPr>
      <w:r>
        <w:rP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rPr/>
      </w:pPr>
      <w:r>
        <w:rP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rPr/>
      </w:pPr>
      <w:r>
        <w:rPr/>
        <w:t xml:space="preserve">“</w:t>
      </w:r>
      <w:r>
        <w:rPr/>
        <w:t xml:space="preserve">The sacrifice of the wicked is an abomination to the Lord. ” Proverbs 15:8; cf. Proverbs 21:3; Isaiah 1:10, 11.</w:t>
      </w:r>
    </w:p>
    <w:p>
      <w:pPr>
        <w:pStyle w:val="Normal"/>
        <w:rPr/>
      </w:pPr>
      <w:r>
        <w:rPr/>
        <w:t xml:space="preserve">Sacrifices, circumcision, and all other rites instituted by God are useless unless they proceed from heart worship.</w:t>
      </w:r>
    </w:p>
    <w:p>
      <w:pPr>
        <w:pStyle w:val="Normal"/>
        <w:rPr/>
      </w:pPr>
      <w:r>
        <w:rP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rPr/>
      </w:pPr>
      <w:r>
        <w:rPr/>
        <w:t xml:space="preserve">The revelation at Sinai taught that the Sabbath was a day of holiness, not just a day to stop work. The Sabbath was to be a day when people could renew their relationship with God that may have weakened or broken down during days of labor.</w:t>
      </w:r>
    </w:p>
    <w:p>
      <w:pPr>
        <w:pStyle w:val="Normal"/>
        <w:rPr/>
      </w:pPr>
      <w:r>
        <w:rPr/>
        <w:t xml:space="preserve">“</w:t>
      </w:r>
      <w:r>
        <w:rP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rPr/>
      </w:pPr>
      <w:r>
        <w:rPr/>
        <w:t xml:space="preserve">The warning Jesus gave against the dangers of compromise and legalism which lie in wait for all believers can only emphasize His requirements for a service in depth: heart worship - a service of love.</w:t>
      </w:r>
    </w:p>
    <w:p>
      <w:pPr>
        <w:pStyle w:val="Normal"/>
        <w:rPr/>
      </w:pPr>
      <w:r>
        <w:rP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rPr/>
      </w:pPr>
      <w:r>
        <w:rP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rPr/>
      </w:pPr>
      <w:r>
        <w:rPr/>
        <w:t xml:space="preserve">If the Law is written in the heart, in harmony with the terms of the New Covenant, one will not observe it unwillingly, as if by outward, painful constraint.</w:t>
      </w:r>
    </w:p>
    <w:p>
      <w:pPr>
        <w:pStyle w:val="Normal"/>
        <w:rPr/>
      </w:pPr>
      <w:r>
        <w:rPr/>
        <w:t xml:space="preserve">Christianity traditionally has seen in Jesus a reformer bent on abolishing the Jewish Law. But Jesus actually had no thought of casting aside the commandments of God.200</w:t>
      </w:r>
    </w:p>
    <w:p>
      <w:pPr>
        <w:pStyle w:val="Normal"/>
        <w:rPr/>
      </w:pPr>
      <w:r>
        <w:rPr/>
        <w:t xml:space="preserve">Not only was the Law unchanged under the New Covenant, it called for a new spirit - for a profound, authentic obedience - for even greater willingness and happy submission.</w:t>
      </w:r>
    </w:p>
    <w:p>
      <w:pPr>
        <w:pStyle w:val="Normal"/>
        <w:rPr/>
      </w:pPr>
      <w:r>
        <w:rPr/>
        <w:t xml:space="preserve">Paul understood it this way: “But now we are discharged from the law, dead to that which held us captive, so that we serve not under the old written code but in the new life of the Spirit.” Romans 7:6.</w:t>
      </w:r>
    </w:p>
    <w:p>
      <w:pPr>
        <w:pStyle w:val="Normal"/>
        <w:rPr/>
      </w:pPr>
      <w:r>
        <w:rPr/>
        <w:t xml:space="preserve">The examples of covetousness and adultery chosen by the apostle in Romans 7 (verses 22, 25) show that he was thinking of the Decalogue. He then goes on to explain the importance of that Law and the role it plays in the redemptive process.</w:t>
      </w:r>
    </w:p>
    <w:p>
      <w:pPr>
        <w:pStyle w:val="Normal"/>
        <w:rPr/>
      </w:pPr>
      <w:r>
        <w:rPr/>
        <w:t xml:space="preserve">Thanks to this Law, man is provided with special discernment regarding good and evil. By contact with the Law , he can know what is good and what is evil and thus can become conscious of his guilt and of the death sentence that hangs over him.</w:t>
      </w:r>
    </w:p>
    <w:p>
      <w:pPr>
        <w:pStyle w:val="Normal"/>
        <w:rPr/>
      </w:pPr>
      <w:r>
        <w:rPr/>
        <w:t xml:space="preserve">Like a mirror (James 1:23-25) that reflects one’s physical characteristics, the Law is able to reflect one’s moral characteristics and thus the destiny that awaits lawbreakers.</w:t>
      </w:r>
    </w:p>
    <w:p>
      <w:pPr>
        <w:pStyle w:val="Normal"/>
        <w:rPr/>
      </w:pPr>
      <w:r>
        <w:rPr/>
        <w:t xml:space="preserve">With this awareness, and beset therefore by legitimate despair, a human being can only then turn to God and ask for mercy. God’s answer can be interpreted only as an act of unmerited salvation, a free gift of life.</w:t>
      </w:r>
    </w:p>
    <w:p>
      <w:pPr>
        <w:pStyle w:val="Normal"/>
        <w:rPr/>
      </w:pPr>
      <w:r>
        <w:rPr/>
        <w:t xml:space="preserve">The Law of itself produces death; but, in another sense, the Law brings life because it forces one to recognize his insufficiency. The Law drives the lost one to cry to God for mercy and grace.</w:t>
      </w:r>
    </w:p>
    <w:p>
      <w:pPr>
        <w:pStyle w:val="Normal"/>
        <w:rPr/>
      </w:pPr>
      <w:r>
        <w:rP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rPr/>
      </w:pPr>
      <w:r>
        <w:rP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rPr/>
      </w:pPr>
      <w:r>
        <w:rP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rPr/>
      </w:pPr>
      <w:r>
        <w:rP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rPr/>
      </w:pPr>
      <w:r>
        <w:rPr/>
        <w:t xml:space="preserve">But could not this view of salvation possibly be dangerous? If salvation is a free gift, if it comes from God (Romans 3:24), it must be sure. If my effort is futile and useless, I am free to do as I please!</w:t>
      </w:r>
    </w:p>
    <w:p>
      <w:pPr>
        <w:pStyle w:val="Normal"/>
        <w:rPr/>
      </w:pPr>
      <w:r>
        <w:rP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rPr/>
      </w:pPr>
      <w:r>
        <w:rP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rPr/>
      </w:pPr>
      <w:r>
        <w:rPr/>
        <w:t xml:space="preserve">To summarize, Paul’s experience was in three phases:</w:t>
      </w:r>
    </w:p>
    <w:p>
      <w:pPr>
        <w:pStyle w:val="Normal"/>
        <w:rPr/>
      </w:pPr>
      <w:r>
        <w:rPr/>
        <w:t xml:space="preserve">1. The Law given at Sinai in the form of the Ten Commandments can evoke in the heart a feeling of personal failure and weakness, of sin and its condemnation. Eternal death becomes a stark reality.</w:t>
      </w:r>
    </w:p>
    <w:p>
      <w:pPr>
        <w:pStyle w:val="Normal"/>
        <w:rPr/>
      </w:pPr>
      <w:r>
        <w:rP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rPr/>
      </w:pPr>
      <w:r>
        <w:rP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rPr/>
      </w:pPr>
      <w:r>
        <w:rPr/>
        <w:t xml:space="preserve">In other words, obedience to the Law is the expression of our salvation and not the means by which it is attained.</w:t>
      </w:r>
    </w:p>
    <w:p>
      <w:pPr>
        <w:pStyle w:val="Normal"/>
        <w:rPr/>
      </w:pPr>
      <w:r>
        <w:rPr/>
        <w:t xml:space="preserve">Evidently the apostle Paul applied these three principles in his own life.</w:t>
      </w:r>
    </w:p>
    <w:p>
      <w:pPr>
        <w:pStyle w:val="Normal"/>
        <w:rPr/>
      </w:pPr>
      <w:r>
        <w:rP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rPr/>
      </w:pPr>
      <w:r>
        <w:rP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rPr/>
      </w:pPr>
      <w:r>
        <w:rPr/>
        <w:t xml:space="preserve">In any case, reasons the same apostle, we are not to “judge the law,” for “there is one lawgiver and judge, he who is able to save and to destroy.” James 4:11, 12.</w:t>
      </w:r>
    </w:p>
    <w:p>
      <w:pPr>
        <w:pStyle w:val="Normal"/>
        <w:rPr/>
      </w:pPr>
      <w:r>
        <w:rP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rPr/>
      </w:pPr>
      <w:r>
        <w:rP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rPr/>
      </w:pPr>
      <w:r>
        <w:rPr/>
        <w:t xml:space="preserve">Thus the New Covenant brings a deeper, truer obedience. Such obedience, rather than abolishing the Law, establishes it. Exclaimed the apostle Paul: “Do we then overthrow the law by this faith? By no means! On the contrary, we uphold the law.” Romans 3:31.</w:t>
      </w:r>
    </w:p>
    <w:p>
      <w:pPr>
        <w:pStyle w:val="Normal"/>
        <w:rPr/>
      </w:pPr>
      <w:r>
        <w:rPr/>
        <w:t xml:space="preserve">The Two Laws</w:t>
      </w:r>
    </w:p>
    <w:p>
      <w:pPr>
        <w:pStyle w:val="Normal"/>
        <w:rPr/>
      </w:pPr>
      <w:r>
        <w:rP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rPr/>
      </w:pPr>
      <w:r>
        <w:rPr/>
        <w:t xml:space="preserve">The New Testament story makes only one allusion to a time when “shadow” met “substance,” and that was in connection with the crucifixion: “And behold, the curtain of the temple was torn in two, from top to bottom.” Matthew 27:51.</w:t>
      </w:r>
    </w:p>
    <w:p>
      <w:pPr>
        <w:pStyle w:val="Normal"/>
        <w:rPr/>
      </w:pPr>
      <w:r>
        <w:rP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rPr/>
      </w:pPr>
      <w:r>
        <w:rPr/>
        <w:t xml:space="preserve">Had not the prophet Daniel predicted this development? The death of the Messiah was to cause sacrifices and offerings to cease. See Daniel 9:27.</w:t>
      </w:r>
    </w:p>
    <w:p>
      <w:pPr>
        <w:pStyle w:val="Normal"/>
        <w:rPr/>
      </w:pPr>
      <w:r>
        <w:rP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rPr/>
      </w:pPr>
      <w:r>
        <w:rP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rPr/>
      </w:pPr>
      <w:r>
        <w:rPr/>
        <w:t xml:space="preserve">The Law that was abolished, then, was the law that related to the sacrifices. Paul says this again in different terms: “by abolishing in his [Christ’s] flesh the law of commandments and ordinances.” Ephesians 2:15.</w:t>
      </w:r>
    </w:p>
    <w:p>
      <w:pPr>
        <w:pStyle w:val="Normal"/>
        <w:rPr/>
      </w:pPr>
      <w:r>
        <w:rPr/>
        <w:t xml:space="preserve">Therefore, two very different sets of laws existed in Israel: the ceremonial law, with a transitory, relative character; and the moral law, with an abiding validity, serving as an absolute standard.</w:t>
      </w:r>
    </w:p>
    <w:p>
      <w:pPr>
        <w:pStyle w:val="Normal"/>
        <w:rPr/>
      </w:pPr>
      <w:r>
        <w:rPr/>
        <w:t xml:space="preserve">Thus, if in the writings of Paul one gathers the impression that at times the law is abolished and, at other times, the Law is maintained, one is not to see a contradiction, but rather the existence of two very distinct laws.202</w:t>
      </w:r>
    </w:p>
    <w:p>
      <w:pPr>
        <w:pStyle w:val="Normal"/>
        <w:rPr/>
      </w:pPr>
      <w:r>
        <w:rP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rPr/>
      </w:pPr>
      <w:r>
        <w:rPr/>
        <w:t xml:space="preserve">1. The Decalogue had been written by God (Deuteronomy 10:4), while the ceremonial law was outlined by Moses (Deuteronomy 31:9, 24).</w:t>
      </w:r>
    </w:p>
    <w:p>
      <w:pPr>
        <w:pStyle w:val="Normal"/>
        <w:rPr/>
      </w:pPr>
      <w:r>
        <w:rPr/>
        <w:t xml:space="preserve">2. The Decalogue was graven on tables of stone - an imperishable material (Deuteronomy 10:3), while the ceremonial law had been written in a book - a perishable material (Deuteronomy 31:24).</w:t>
      </w:r>
    </w:p>
    <w:p>
      <w:pPr>
        <w:pStyle w:val="Normal"/>
        <w:rPr/>
      </w:pPr>
      <w:r>
        <w:rPr/>
        <w:t xml:space="preserve">3. The Decalogue was entrusted by God to Moses, who himself placed it in the ark (Deuteronomy 10:5), while the ceremonial law was entrusted by Moses to the priests, who, in turn, placed it alongside the ark (Deuteronomy 31:26).</w:t>
      </w:r>
    </w:p>
    <w:p>
      <w:pPr>
        <w:pStyle w:val="Normal"/>
        <w:rPr/>
      </w:pPr>
      <w:r>
        <w:rPr/>
        <w:t xml:space="preserve">The ceremonial law, temporary and relative, was in contrast with the Law of the Ten Commandments, which was eternal and absolute.</w:t>
      </w:r>
    </w:p>
    <w:p>
      <w:pPr>
        <w:pStyle w:val="Normal"/>
        <w:rPr/>
      </w:pPr>
      <w:r>
        <w:rP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rPr/>
      </w:pPr>
      <w:r>
        <w:rP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rPr/>
      </w:pPr>
      <w:r>
        <w:rP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rPr/>
      </w:pPr>
      <w:r>
        <w:rP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rPr/>
      </w:pPr>
      <w:r>
        <w:rPr/>
        <w:t xml:space="preserve">In any case, the future seemed to justify the majority, since, with the destruction of the temple, Judaism was obliged to adapt its worship forms to changed circumstances. For instance, a prayer could correspond to the sacrifice of an animal.205</w:t>
      </w:r>
    </w:p>
    <w:p>
      <w:pPr>
        <w:pStyle w:val="Normal"/>
        <w:rPr/>
      </w:pPr>
      <w:r>
        <w:rP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rPr/>
      </w:pPr>
      <w:r>
        <w:rP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rPr/>
      </w:pPr>
      <w:r>
        <w:rP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rPr/>
      </w:pPr>
      <w:r>
        <w:rP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rPr/>
      </w:pPr>
      <w:bookmarkStart w:id="21" w:name="Top_of_part0013_xhtml"/>
      <w:bookmarkStart w:id="22" w:name="Chapter_8"/>
      <w:bookmarkEnd w:id="21"/>
      <w:bookmarkEnd w:id="22"/>
      <w:r>
        <w:rPr/>
        <w:t xml:space="preserve">Epilogo 8</w:t>
      </w:r>
    </w:p>
    <w:p>
      <w:pPr>
        <w:pStyle w:val="Para04"/>
        <w:rPr/>
      </w:pPr>
      <w:r>
        <w:rPr/>
        <w:t xml:space="preserve">The Misunderstanding of the Crucifixion</w:t>
      </w:r>
    </w:p>
    <w:p>
      <w:pPr>
        <w:pStyle w:val="Para03"/>
        <w:rPr/>
      </w:pPr>
      <w:r>
        <w:rPr/>
        <w:t xml:space="preserve">“</w:t>
      </w:r>
      <w:r>
        <w:rPr/>
        <w:t xml:space="preserve">We need constantly to exorcize our history.” - Andre Chamson.</w:t>
      </w:r>
    </w:p>
    <w:p>
      <w:pPr>
        <w:pStyle w:val="Normal"/>
        <w:rPr/>
      </w:pPr>
      <w:r>
        <w:rP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rPr/>
      </w:pPr>
      <w:r>
        <w:rP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rPr/>
      </w:pPr>
      <w:r>
        <w:rPr/>
        <w:t xml:space="preserve">“</w:t>
      </w:r>
      <w:r>
        <w:rPr/>
        <w:t xml:space="preserve">He [Jesus] left there and went to the region of Judea and beyond the Jordan, and crowds gathered to him again; and again, as his custom was, he taught them.” Mark 10:1.</w:t>
      </w:r>
    </w:p>
    <w:p>
      <w:pPr>
        <w:pStyle w:val="Normal"/>
        <w:rPr/>
      </w:pPr>
      <w:r>
        <w:rPr/>
        <w:t xml:space="preserve">“</w:t>
      </w:r>
      <w:r>
        <w:rPr/>
        <w:t xml:space="preserve">All the people [in Judea] hung upon his words.” Luke 19:48.</w:t>
      </w:r>
    </w:p>
    <w:p>
      <w:pPr>
        <w:pStyle w:val="Normal"/>
        <w:rPr/>
      </w:pPr>
      <w:r>
        <w:rP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rPr/>
      </w:pPr>
      <w:r>
        <w:rPr/>
        <w:t xml:space="preserve">Father Lagrange recognizes this: “Right up to the Passion week, the esteem of the crowd for Jesus never failed. ‘208</w:t>
      </w:r>
    </w:p>
    <w:p>
      <w:pPr>
        <w:pStyle w:val="Normal"/>
        <w:rPr/>
      </w:pPr>
      <w:r>
        <w:rP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rPr/>
      </w:pPr>
      <w:r>
        <w:rP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rPr/>
      </w:pPr>
      <w:r>
        <w:rP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rPr/>
      </w:pPr>
      <w:r>
        <w:rPr/>
        <w:t xml:space="preserve">Now, if the priests felt compelled to resort to such subterfuge, it was due to their fear of the people, whose fondness for Jesus was evident and had to be taken into account.</w:t>
      </w:r>
    </w:p>
    <w:p>
      <w:pPr>
        <w:pStyle w:val="Normal"/>
        <w:rPr/>
      </w:pPr>
      <w:r>
        <w:rPr/>
        <w:t xml:space="preserve">Consequently, those who shouted “Crucify Him!” could not have been, barring a few exceptions, the same people as those feared by the priests.</w:t>
      </w:r>
    </w:p>
    <w:p>
      <w:pPr>
        <w:pStyle w:val="Normal"/>
        <w:rPr/>
      </w:pPr>
      <w:r>
        <w:rPr/>
        <w:t xml:space="preserve">But who, then, could have made up the throng that crowded into the praetorium?</w:t>
      </w:r>
    </w:p>
    <w:p>
      <w:pPr>
        <w:pStyle w:val="Normal"/>
        <w:rPr/>
      </w:pPr>
      <w:r>
        <w:rPr/>
        <w:t xml:space="preserve">Who Did the Shouting?</w:t>
      </w:r>
    </w:p>
    <w:p>
      <w:pPr>
        <w:pStyle w:val="Normal"/>
        <w:rPr/>
      </w:pPr>
      <w:r>
        <w:rP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rPr/>
      </w:pPr>
      <w:r>
        <w:rP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rPr/>
      </w:pPr>
      <w:r>
        <w:rPr/>
        <w:t xml:space="preserve">Unconsciously or with cowardice, indifferent or without an opinion, the people who assembled followed the suggestions spoken by the priests; these leaders knew what they were doing and what they wanted.</w:t>
      </w:r>
    </w:p>
    <w:p>
      <w:pPr>
        <w:pStyle w:val="Normal"/>
        <w:rPr/>
      </w:pPr>
      <w:r>
        <w:rPr/>
        <w:t xml:space="preserve">The Priests. Indeed, the priests led out in this whole matter. They arrested Jesus and incited the people to shout “Crucify him!” Mark 15:11.</w:t>
      </w:r>
    </w:p>
    <w:p>
      <w:pPr>
        <w:pStyle w:val="Normal"/>
        <w:rPr/>
      </w:pPr>
      <w:r>
        <w:rPr/>
        <w:t xml:space="preserve">According to the apostle John, who was present at the event, the call to “crucify him” came only from the priests. Wrote John: “When the chief priests and the officers saw him, they cried out, ‘Crucify him, crucify him!’ “211</w:t>
      </w:r>
    </w:p>
    <w:p>
      <w:pPr>
        <w:pStyle w:val="Normal"/>
        <w:rPr/>
      </w:pPr>
      <w:r>
        <w:rP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rPr/>
      </w:pPr>
      <w:r>
        <w:rP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rPr/>
      </w:pPr>
      <w:r>
        <w:rP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rPr/>
      </w:pPr>
      <w:r>
        <w:rP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rPr/>
      </w:pPr>
      <w:r>
        <w:rP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rPr/>
      </w:pPr>
      <w:r>
        <w:rP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rPr/>
      </w:pPr>
      <w:r>
        <w:rP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rPr/>
      </w:pPr>
      <w:r>
        <w:rP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rPr/>
      </w:pPr>
      <w:r>
        <w:rP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rPr/>
      </w:pPr>
      <w:r>
        <w:rPr/>
        <w:t xml:space="preserve">Who Is Responsible?</w:t>
      </w:r>
    </w:p>
    <w:p>
      <w:pPr>
        <w:pStyle w:val="Normal"/>
        <w:rPr/>
      </w:pPr>
      <w:r>
        <w:rP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rPr/>
      </w:pPr>
      <w:r>
        <w:rPr/>
        <w:t xml:space="preserve">All this was easier to do because the only favorable testimony given to the accused was offered by the blood-thirsty Pontius Pilate, whose word had absolutely no credence.217</w:t>
      </w:r>
    </w:p>
    <w:p>
      <w:pPr>
        <w:pStyle w:val="Normal"/>
        <w:rPr/>
      </w:pPr>
      <w:r>
        <w:rP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rPr/>
      </w:pPr>
      <w:r>
        <w:rP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rPr/>
      </w:pPr>
      <w:r>
        <w:rP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rPr/>
      </w:pPr>
      <w:r>
        <w:rPr/>
        <w:t xml:space="preserve">The Christians knew the stark facts of the situation, but they remained silent. Were they not, in a sense, more guilty than all the others?</w:t>
      </w:r>
    </w:p>
    <w:p>
      <w:pPr>
        <w:pStyle w:val="Normal"/>
        <w:rPr/>
      </w:pPr>
      <w:r>
        <w:rPr/>
        <w:t xml:space="preserve">Yet, can one really hold this against them? What would we have done in their place? They, too, were overrun by fast-moving events. Confused, they decided to be prudent at all costs.</w:t>
      </w:r>
    </w:p>
    <w:p>
      <w:pPr>
        <w:pStyle w:val="Normal"/>
        <w:rPr/>
      </w:pPr>
      <w:r>
        <w:rPr/>
        <w:t xml:space="preserve">Be that as it may, their silence, however rationalized, certainly cost the life of Jesus.</w:t>
      </w:r>
    </w:p>
    <w:p>
      <w:pPr>
        <w:pStyle w:val="Normal"/>
        <w:rPr/>
      </w:pPr>
      <w:r>
        <w:rPr/>
        <w:t xml:space="preserve">The Passersby. Still others must be assigned a part in this fatal guilt: the many Romans and Jews, civilians and soldiers, who passed by that day.</w:t>
      </w:r>
    </w:p>
    <w:p>
      <w:pPr>
        <w:pStyle w:val="Normal"/>
        <w:rPr/>
      </w:pPr>
      <w:r>
        <w:rP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rPr/>
      </w:pPr>
      <w:r>
        <w:rPr/>
        <w:t xml:space="preserve">A Misunderstanding. Even they who clamored for the death penalty cannot be seriously incriminated. Here we encounter yet another misunderstanding, appearing when a choice is offered between the release of Barabbas and that of Jesus.</w:t>
      </w:r>
    </w:p>
    <w:p>
      <w:pPr>
        <w:pStyle w:val="Normal"/>
        <w:rPr/>
      </w:pPr>
      <w:r>
        <w:rP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rPr/>
      </w:pPr>
      <w:r>
        <w:rP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rPr/>
      </w:pPr>
      <w:r>
        <w:rPr/>
        <w:t xml:space="preserve">Mark records this: “The chief priests and the scribes heard it and sought a way to destroy him; for they feared him, because all the multitude was astonished at his teaching.” Mark 11:18.</w:t>
      </w:r>
    </w:p>
    <w:p>
      <w:pPr>
        <w:pStyle w:val="Normal"/>
        <w:rPr/>
      </w:pPr>
      <w:r>
        <w:rP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rPr/>
      </w:pPr>
      <w:r>
        <w:rP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rPr/>
      </w:pPr>
      <w:r>
        <w:rPr/>
        <w:t xml:space="preserve">But all this cunning in argument must not fool anyone. It remained a cover-up for vile baseness, of which the record says, “He [Pilate] perceived that it was out of envy that the chief priests had delivered him up. ” Mark 15:10, R.S.V. cf. Matthew 27:18.</w:t>
      </w:r>
    </w:p>
    <w:p>
      <w:pPr>
        <w:pStyle w:val="Normal"/>
        <w:rPr/>
      </w:pPr>
      <w:r>
        <w:rPr/>
        <w:t xml:space="preserve">The priests alone worked actively to insure the crucifixion of Jesus. The multitude was either passive or ignorant.</w:t>
      </w:r>
    </w:p>
    <w:p>
      <w:pPr>
        <w:pStyle w:val="Normal"/>
        <w:rPr/>
      </w:pPr>
      <w:r>
        <w:rP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rPr/>
      </w:pPr>
      <w:r>
        <w:rPr/>
        <w:t xml:space="preserve">Even the lowest-ranked soldier of Rome at the scene could hardly claim innocence. The duty to obey does not justify a crime. And war crimes are still crimes - even the worst kind - for they are committed with a clear conscience.</w:t>
      </w:r>
    </w:p>
    <w:p>
      <w:pPr>
        <w:pStyle w:val="Normal"/>
        <w:rPr/>
      </w:pPr>
      <w:r>
        <w:rPr/>
        <w:t xml:space="preserve">In fact, some historians see in the crucifixion of Jesus capital punishment in the name of Roman obedience. The manner in which Jesus was mishandled, put to death, and buried shows that the case was chiefly of Rome’s jurisdiction.220</w:t>
      </w:r>
    </w:p>
    <w:p>
      <w:pPr>
        <w:pStyle w:val="Normal"/>
        <w:rPr/>
      </w:pPr>
      <w:r>
        <w:rPr/>
        <w:t xml:space="preserve">The Gospel of History</w:t>
      </w:r>
    </w:p>
    <w:p>
      <w:pPr>
        <w:pStyle w:val="Normal"/>
        <w:rPr/>
      </w:pPr>
      <w:r>
        <w:rP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rPr/>
      </w:pPr>
      <w:r>
        <w:rPr/>
        <w:t xml:space="preserve">Would it not be well, then, to conclude our ridiculous inquest regarding the possible guilt or innocence of all these participants? The crucifixion tragedy involves too many misunderstandings for anyone to be totally absolved.</w:t>
      </w:r>
    </w:p>
    <w:p>
      <w:pPr>
        <w:pStyle w:val="Normal"/>
        <w:rPr/>
      </w:pPr>
      <w:r>
        <w:rP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rPr/>
      </w:pPr>
      <w:r>
        <w:rP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rPr/>
      </w:pPr>
      <w:r>
        <w:rP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rPr/>
      </w:pPr>
      <w:r>
        <w:rPr/>
        <w:t xml:space="preserve">We - all of us - are responsible for the death of Christ.</w:t>
      </w:r>
      <w:r>
        <w:br w:type="page"/>
      </w:r>
    </w:p>
    <w:p>
      <w:pPr>
        <w:pStyle w:val="Para01"/>
        <w:rPr/>
      </w:pPr>
      <w:bookmarkStart w:id="23" w:name="Chapter_9"/>
      <w:bookmarkStart w:id="24" w:name="Top_of_part0014_xhtml"/>
      <w:bookmarkEnd w:id="23"/>
      <w:bookmarkEnd w:id="24"/>
      <w:r>
        <w:rPr/>
        <w:t xml:space="preserve">Capítulo 9</w:t>
      </w:r>
    </w:p>
    <w:p>
      <w:pPr>
        <w:pStyle w:val="Para04"/>
        <w:rPr/>
      </w:pPr>
      <w:r>
        <w:rPr/>
        <w:t xml:space="preserve">Betrayal and Conversion</w:t>
      </w:r>
    </w:p>
    <w:p>
      <w:pPr>
        <w:pStyle w:val="Para03"/>
        <w:rPr/>
      </w:pPr>
      <w:r>
        <w:rPr/>
        <w:t xml:space="preserve">“</w:t>
      </w:r>
      <w:r>
        <w:rPr/>
        <w:t xml:space="preserve">Christians set themselves between the Messiah and the Jews, hiding from the latter the authentic image of the Savior.” - Nicolai Berdyaev.</w:t>
      </w:r>
    </w:p>
    <w:p>
      <w:pPr>
        <w:pStyle w:val="Normal"/>
        <w:rPr/>
      </w:pPr>
      <w:r>
        <w:rP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rPr/>
      </w:pPr>
      <w:r>
        <w:rP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rPr/>
      </w:pPr>
      <w:r>
        <w:rP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rPr/>
      </w:pPr>
      <w:r>
        <w:rP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rPr/>
      </w:pPr>
      <w:r>
        <w:rP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rPr/>
      </w:pPr>
      <w:r>
        <w:rP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rPr/>
      </w:pPr>
      <w:r>
        <w:rPr/>
        <w:t xml:space="preserve">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rPr/>
      </w:pPr>
      <w:r>
        <w:rP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rPr/>
      </w:pPr>
      <w:r>
        <w:rP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rPr/>
      </w:pPr>
      <w:r>
        <w:rP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rPr/>
      </w:pPr>
      <w:r>
        <w:rPr/>
        <w:t xml:space="preserve">Did the Jews rest on the Sabbath? Sunday was chosen to replace it. An attempt was even made to change the date of Passover (Easter) so that the Christian celebration would not coincide with the Jewish.</w:t>
      </w:r>
    </w:p>
    <w:p>
      <w:pPr>
        <w:pStyle w:val="Normal"/>
        <w:rPr/>
      </w:pPr>
      <w:r>
        <w:rP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rPr/>
      </w:pPr>
      <w:r>
        <w:rP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rPr/>
      </w:pPr>
      <w:r>
        <w:rP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rPr/>
      </w:pPr>
      <w:r>
        <w:rP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rPr/>
      </w:pPr>
      <w:r>
        <w:rP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rPr/>
      </w:pPr>
      <w:r>
        <w:rPr/>
        <w:t xml:space="preserve">After all that, to ask a Jew today to be converted to Christianity really means to ask him to deny his identity, to betray his own people and his God.</w:t>
      </w:r>
    </w:p>
    <w:p>
      <w:pPr>
        <w:pStyle w:val="Normal"/>
        <w:rPr/>
      </w:pPr>
      <w:r>
        <w:rP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rPr/>
      </w:pPr>
      <w:r>
        <w:rPr/>
        <w:t xml:space="preserve">But times changed. Christianity rid itself of everything that might recall its Jewish origins; in so doing, it lost its true identity.</w:t>
      </w:r>
    </w:p>
    <w:p>
      <w:pPr>
        <w:pStyle w:val="Normal"/>
        <w:rPr/>
      </w:pPr>
      <w:r>
        <w:rPr/>
        <w:t xml:space="preserve">In fact, whenever Christianity undertakes to exorcize everything Jewish about its origins and its doctrine, the danger must be seen that the flower of Israel, Jesus Christ Himself, will also disappear. But what is Christianity without the Christ?</w:t>
      </w:r>
    </w:p>
    <w:p>
      <w:pPr>
        <w:pStyle w:val="Normal"/>
        <w:rPr/>
      </w:pPr>
      <w:r>
        <w:rP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rPr/>
      </w:pPr>
      <w:r>
        <w:rPr/>
        <w:t xml:space="preserve">Do Christians read the Bible? Then the Jew will emphasize the tradition - its Talmud.</w:t>
      </w:r>
    </w:p>
    <w:p>
      <w:pPr>
        <w:pStyle w:val="Normal"/>
        <w:rPr/>
      </w:pPr>
      <w:r>
        <w:rP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rPr/>
      </w:pPr>
      <w:r>
        <w:rP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rPr/>
      </w:pPr>
      <w:r>
        <w:rP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rPr/>
      </w:pPr>
      <w:r>
        <w:rP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rPr/>
      </w:pPr>
      <w:r>
        <w:rPr/>
        <w:t xml:space="preserve">Hemmed in by suffering and humiliation, the Jew has cast himself in the role of a reactor. This became his state of being, though little has he realized to what extent he thereby has risked the loss of liberty and his own real identity.</w:t>
      </w:r>
    </w:p>
    <w:p>
      <w:pPr>
        <w:pStyle w:val="Normal"/>
        <w:rPr/>
      </w:pPr>
      <w:r>
        <w:rP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rPr/>
      </w:pPr>
      <w:r>
        <w:rP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rPr/>
      </w:pPr>
      <w:r>
        <w:rP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rPr/>
      </w:pPr>
      <w:r>
        <w:rP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rPr/>
      </w:pPr>
      <w:r>
        <w:rPr/>
        <w:t xml:space="preserve">Such a dream seems almost a fantasy.</w:t>
      </w:r>
    </w:p>
    <w:p>
      <w:pPr>
        <w:pStyle w:val="Normal"/>
        <w:rPr/>
      </w:pPr>
      <w:r>
        <w:rP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rPr/>
      </w:pPr>
      <w:r>
        <w:rP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rPr/>
      </w:pPr>
      <w:bookmarkStart w:id="25" w:name="Top_of_part0015_xhtml"/>
      <w:bookmarkStart w:id="26" w:name="Chapter_10"/>
      <w:bookmarkEnd w:id="25"/>
      <w:bookmarkEnd w:id="26"/>
      <w:r>
        <w:rPr/>
        <w:t xml:space="preserve">Capítulo 10</w:t>
      </w:r>
    </w:p>
    <w:p>
      <w:pPr>
        <w:pStyle w:val="Para04"/>
        <w:rPr/>
      </w:pPr>
      <w:r>
        <w:rPr/>
        <w:t xml:space="preserve">Bebendo nas Fontes</w:t>
      </w:r>
    </w:p>
    <w:p>
      <w:pPr>
        <w:pStyle w:val="Para03"/>
        <w:rPr/>
      </w:pPr>
      <w:r>
        <w:rPr/>
        <w:t xml:space="preserve">Today more than ever we have need of a norm centered outside ourselves. Pressed from all sides, people are bewildered, hardly knowing to what saint to pray - if any!</w:t>
      </w:r>
    </w:p>
    <w:p>
      <w:pPr>
        <w:pStyle w:val="Normal"/>
        <w:rPr/>
      </w:pPr>
      <w:r>
        <w:rPr/>
        <w:t xml:space="preserve">Charlatans and quacks abound, while age-old superstitions, paradoxically, are gaining ground among so-called advanced and open-minded people. Psychics in growing numbers offer their services to a credulous, unsuspecting public.</w:t>
      </w:r>
    </w:p>
    <w:p>
      <w:pPr>
        <w:pStyle w:val="Normal"/>
        <w:rPr/>
      </w:pPr>
      <w:r>
        <w:rPr/>
        <w:t xml:space="preserve">New religions appear regularly in the religious marketplace, all claiming to possess the one and only “truth.”</w:t>
      </w:r>
    </w:p>
    <w:p>
      <w:pPr>
        <w:pStyle w:val="Normal"/>
        <w:rPr/>
      </w:pPr>
      <w:r>
        <w:rP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rPr/>
      </w:pPr>
      <w:r>
        <w:rPr/>
        <w:t xml:space="preserve">Some self-styled Christ occasionally appears, claiming to be a reincarnation of Jesus of Nazareth. All of them proclaim, of course, with endless arguments and fire in their voices, that they alone are God’s true messengers.</w:t>
      </w:r>
    </w:p>
    <w:p>
      <w:pPr>
        <w:pStyle w:val="Normal"/>
        <w:rPr/>
      </w:pPr>
      <w:r>
        <w:rPr/>
        <w:t xml:space="preserve">On the other hand, certain humanistic philosophies are set forth, such as socialism, Marxism, and existentialism. Here, they say, at long last, is found the key to happiness and the solution to our problems.</w:t>
      </w:r>
    </w:p>
    <w:p>
      <w:pPr>
        <w:pStyle w:val="Normal"/>
        <w:rPr/>
      </w:pPr>
      <w:r>
        <w:rP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rPr/>
      </w:pPr>
      <w:r>
        <w:rPr/>
        <w:t xml:space="preserve">It is not astonishing, then, that truth today can charm so many pretenders for her hand, and that so much confusion troubles people’s minds.</w:t>
      </w:r>
    </w:p>
    <w:p>
      <w:pPr>
        <w:pStyle w:val="Normal"/>
        <w:rPr/>
      </w:pPr>
      <w:r>
        <w:rP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rPr/>
      </w:pPr>
      <w:r>
        <w:rP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rPr/>
      </w:pPr>
      <w:r>
        <w:rP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rPr/>
      </w:pPr>
      <w:r>
        <w:rP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rPr/>
      </w:pPr>
      <w:r>
        <w:rPr/>
        <w:t xml:space="preserve">But what about that vast concourse of people who, without spiritual preoccupations, think only of material success, amusement, and food? Such have set up a life-style in their ignorance; they have lost the truly human outlook.</w:t>
      </w:r>
    </w:p>
    <w:p>
      <w:pPr>
        <w:pStyle w:val="Normal"/>
        <w:rPr/>
      </w:pPr>
      <w:r>
        <w:rP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rPr/>
      </w:pPr>
      <w:r>
        <w:rP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rPr/>
      </w:pPr>
      <w:r>
        <w:rPr/>
        <w:t xml:space="preserve">Bitter Water</w:t>
      </w:r>
    </w:p>
    <w:p>
      <w:pPr>
        <w:pStyle w:val="Normal"/>
        <w:rPr/>
      </w:pPr>
      <w:r>
        <w:rPr/>
        <w:t xml:space="preserve">“</w:t>
      </w:r>
      <w:r>
        <w:rP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rPr/>
      </w:pPr>
      <w:r>
        <w:rPr/>
        <w:t xml:space="preserve">One must not run, then, the risk of missing the point by the use of diplomatic, vague words. With a view to edifying and to getting results, one must be categorically clear.</w:t>
      </w:r>
    </w:p>
    <w:p>
      <w:pPr>
        <w:pStyle w:val="Normal"/>
        <w:rPr/>
      </w:pPr>
      <w:r>
        <w:rPr/>
        <w:t xml:space="preserve">Of course, a presentation such as this cannot hope to be exhaustive. Only a starting point can be indicated, from which the reader can go on to a personal judgment.</w:t>
      </w:r>
    </w:p>
    <w:p>
      <w:pPr>
        <w:pStyle w:val="Normal"/>
        <w:rPr/>
      </w:pPr>
      <w:r>
        <w:rPr/>
        <w:t xml:space="preserve">The Duty of the Christian. First of all, the honest Christian is duty-bound to recognize the existence and the horror of antiSemitism and to measure the weight of its dire consequences.</w:t>
      </w:r>
    </w:p>
    <w:p>
      <w:pPr>
        <w:pStyle w:val="Normal"/>
        <w:rPr/>
      </w:pPr>
      <w:r>
        <w:rP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rPr/>
      </w:pPr>
      <w:r>
        <w:rPr/>
        <w:t xml:space="preserve">The Christian must be sure, too, not to mask the nature of his feelings toward Israel after all, when they take on a political hue. It is not fashionable today, after Auschwitz, to be anti-Semitic.</w:t>
      </w:r>
    </w:p>
    <w:p>
      <w:pPr>
        <w:pStyle w:val="Normal"/>
        <w:rPr/>
      </w:pPr>
      <w:r>
        <w:rPr/>
        <w:t xml:space="preserve">Basically, the Christian must begin with a goodwill effort, Admission of a personal and historical problem is halfway to success.</w:t>
      </w:r>
    </w:p>
    <w:p>
      <w:pPr>
        <w:pStyle w:val="Normal"/>
        <w:rPr/>
      </w:pPr>
      <w:r>
        <w:rP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rPr/>
      </w:pPr>
      <w:r>
        <w:rP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rPr/>
      </w:pPr>
      <w:r>
        <w:rP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rPr/>
      </w:pPr>
      <w:r>
        <w:rP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rPr/>
      </w:pPr>
      <w:r>
        <w:rP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rPr/>
      </w:pPr>
      <w:r>
        <w:rP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rPr/>
      </w:pPr>
      <w:r>
        <w:rPr/>
        <w:t xml:space="preserve">Christians must recognize once and for all, as did Vatican II, that it is “a theological, historical, and juridical error to hold the Jewish people responsible for the suffering and death of Jesus Christ.“231</w:t>
      </w:r>
    </w:p>
    <w:p>
      <w:pPr>
        <w:pStyle w:val="Normal"/>
        <w:rPr/>
      </w:pPr>
      <w:r>
        <w:rP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rPr/>
      </w:pPr>
      <w:r>
        <w:rPr/>
        <w:t xml:space="preserve">The Duty of the Jew. Two dangers lie in wait for the Jew.</w:t>
      </w:r>
    </w:p>
    <w:p>
      <w:pPr>
        <w:pStyle w:val="Normal"/>
        <w:rPr/>
      </w:pPr>
      <w:r>
        <w:rP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rPr/>
      </w:pPr>
      <w:r>
        <w:rP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rPr/>
      </w:pPr>
      <w:r>
        <w:rP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rPr/>
      </w:pPr>
      <w:r>
        <w:rPr/>
        <w:t xml:space="preserve">On the other hand, deliberately to join his persecutors in perpetuating hatred and disdain is to opt for the easy exit, to hide a frustrating complex, and, in any case, to be lacking in objectivity.</w:t>
      </w:r>
    </w:p>
    <w:p>
      <w:pPr>
        <w:pStyle w:val="Normal"/>
        <w:rPr/>
      </w:pPr>
      <w:r>
        <w:rPr/>
        <w:t xml:space="preserve">When the Jew refuses to be ashamed of being a Jew and is no longer content to remain ignorant regarding his own culture, only then will he fully appreciate its value and particular genius; only then will he be proud of being a Jew.</w:t>
      </w:r>
    </w:p>
    <w:p>
      <w:pPr>
        <w:pStyle w:val="Normal"/>
        <w:rPr/>
      </w:pPr>
      <w:r>
        <w:rP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rPr/>
      </w:pPr>
      <w:r>
        <w:rP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rPr/>
      </w:pPr>
      <w:r>
        <w:rP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rPr/>
      </w:pPr>
      <w:r>
        <w:rPr/>
        <w:t xml:space="preserve">The Jew must not allow himself to be carried off by blind reaction; rather the wise do well to take advantage of values wherever found, despite any distaste that might be inspired by the truth-bearer.</w:t>
      </w:r>
    </w:p>
    <w:p>
      <w:pPr>
        <w:pStyle w:val="Normal"/>
        <w:rPr/>
      </w:pPr>
      <w:r>
        <w:rP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rPr/>
      </w:pPr>
      <w:r>
        <w:rPr/>
        <w:t xml:space="preserve">In Search of a Dialogue</w:t>
      </w:r>
    </w:p>
    <w:p>
      <w:pPr>
        <w:pStyle w:val="Normal"/>
        <w:rPr/>
      </w:pPr>
      <w:r>
        <w:rPr/>
        <w:t xml:space="preserve">When one becomes aware of all the obstacles, one is tempted to settle for pessimism or for a superficial, noncommittal encounter. And this is why we must now stake out a path toward authentic dialogue.234</w:t>
      </w:r>
    </w:p>
    <w:p>
      <w:pPr>
        <w:pStyle w:val="Normal"/>
        <w:rPr/>
      </w:pPr>
      <w:r>
        <w:rP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rPr/>
      </w:pPr>
      <w:r>
        <w:rP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rPr/>
      </w:pPr>
      <w:r>
        <w:rPr/>
        <w:t xml:space="preserve">He who pretends to be rich and in need of nothing is condemned in prophetic terms to be “wretched, pitiable, poor, blind, and naked. ” Revelation 3:17.</w:t>
      </w:r>
    </w:p>
    <w:p>
      <w:pPr>
        <w:pStyle w:val="Normal"/>
        <w:rPr/>
      </w:pPr>
      <w:r>
        <w:rP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rPr/>
      </w:pPr>
      <w:r>
        <w:rP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rPr/>
      </w:pPr>
      <w:r>
        <w:rPr/>
        <w:t xml:space="preserve">For our purposes, that norm would be spiritual in character, implying the element of divine revelation. Is not the purpose of the vertical relationship to make more effective this horizontal relationship?</w:t>
      </w:r>
    </w:p>
    <w:p>
      <w:pPr>
        <w:pStyle w:val="Normal"/>
        <w:rPr/>
      </w:pPr>
      <w:r>
        <w:rP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rPr/>
      </w:pPr>
      <w:bookmarkStart w:id="27" w:name="Chapter_11"/>
      <w:bookmarkStart w:id="28" w:name="Top_of_part0016_xhtml"/>
      <w:bookmarkEnd w:id="27"/>
      <w:bookmarkEnd w:id="28"/>
      <w:r>
        <w:rPr/>
        <w:t xml:space="preserve">Capítulo 11</w:t>
      </w:r>
    </w:p>
    <w:p>
      <w:pPr>
        <w:pStyle w:val="Para04"/>
        <w:rPr/>
      </w:pPr>
      <w:r>
        <w:rPr/>
        <w:t xml:space="preserve">Mixed Waters</w:t>
      </w:r>
    </w:p>
    <w:p>
      <w:pPr>
        <w:pStyle w:val="Para03"/>
        <w:rPr/>
      </w:pPr>
      <w:r>
        <w:rPr/>
        <w:t xml:space="preserve">“</w:t>
      </w:r>
      <w:r>
        <w:rPr/>
        <w:t xml:space="preserve">What do you gain by going to Egypt, to drink the waters of the Nile? Or what do you gain by going to Assyria, to drink the waters of the Euphrates?” Jeremiah 2:18.</w:t>
      </w:r>
    </w:p>
    <w:p>
      <w:pPr>
        <w:pStyle w:val="Normal"/>
        <w:rPr/>
      </w:pPr>
      <w:r>
        <w:rPr/>
        <w:t xml:space="preserve">It is very simple to take a forthright position regarding the empoisoned beverage known as racism (in all its forms). But to determine one’s attitude on that amazing and tortuous stream the centuries have come to call “tradition” is another matter.</w:t>
      </w:r>
    </w:p>
    <w:p>
      <w:pPr>
        <w:pStyle w:val="Normal"/>
        <w:rPr/>
      </w:pPr>
      <w:r>
        <w:rPr/>
        <w:t xml:space="preserve">Yet tradition gives character and grace to the countryside. To tradition we owe the genius of cultures. To ignore tradition is to sacrifice some very essential values.</w:t>
      </w:r>
    </w:p>
    <w:p>
      <w:pPr>
        <w:pStyle w:val="Normal"/>
        <w:rPr/>
      </w:pPr>
      <w:r>
        <w:rPr/>
        <w:t xml:space="preserve">Indeed, the study of tradition reveals profound wisdom and genuine piety. It must be consulted if we are to understand revealed truth with its historical and prophetic implications.</w:t>
      </w:r>
    </w:p>
    <w:p>
      <w:pPr>
        <w:pStyle w:val="Normal"/>
        <w:rPr/>
      </w:pPr>
      <w:r>
        <w:rP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rPr/>
      </w:pPr>
      <w:r>
        <w:rP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rPr/>
      </w:pPr>
      <w:r>
        <w:rPr/>
        <w:t xml:space="preserve">Tradition by Itself</w:t>
      </w:r>
    </w:p>
    <w:p>
      <w:pPr>
        <w:pStyle w:val="Normal"/>
        <w:rPr/>
      </w:pPr>
      <w:r>
        <w:rPr/>
        <w:t xml:space="preserve">The rabbis, like the Church fathers, have referred to a double tradition: written and oral, both complementing each other.</w:t>
      </w:r>
    </w:p>
    <w:p>
      <w:pPr>
        <w:pStyle w:val="Normal"/>
        <w:rPr/>
      </w:pPr>
      <w:r>
        <w:rP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rPr/>
      </w:pPr>
      <w:r>
        <w:rP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rPr/>
      </w:pPr>
      <w:r>
        <w:rP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rPr/>
      </w:pPr>
      <w:r>
        <w:rP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rPr/>
      </w:pPr>
      <w:r>
        <w:rP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rPr/>
      </w:pPr>
      <w:r>
        <w:rP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rPr/>
      </w:pPr>
      <w:r>
        <w:rPr/>
        <w:t xml:space="preserve">Tradition certainly deserves our respect and attention; but to what extent can it be considered a norm of reference, since it recognizes itself to be essentially of human inspiration?</w:t>
      </w:r>
    </w:p>
    <w:p>
      <w:pPr>
        <w:pStyle w:val="Normal"/>
        <w:rPr/>
      </w:pPr>
      <w:r>
        <w:rPr/>
        <w:t xml:space="preserve">A Normative Example</w:t>
      </w:r>
    </w:p>
    <w:p>
      <w:pPr>
        <w:pStyle w:val="Normal"/>
        <w:rPr/>
      </w:pPr>
      <w:r>
        <w:rP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rPr/>
      </w:pPr>
      <w:r>
        <w:rPr/>
        <w:t xml:space="preserve">“</w:t>
      </w:r>
      <w:r>
        <w:rP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rPr/>
      </w:pPr>
      <w:r>
        <w:rPr/>
        <w:t xml:space="preserve">“</w:t>
      </w:r>
      <w:r>
        <w:rPr/>
        <w:t xml:space="preserve">The dead do not praise the Lord, nor do any that go down into silence.” Psalm 115:17. “The… Lord of lords… alone has immortality.” 1 Timothy 6:15, 16.</w:t>
      </w:r>
    </w:p>
    <w:p>
      <w:pPr>
        <w:pStyle w:val="Normal"/>
        <w:rPr/>
      </w:pPr>
      <w:r>
        <w:rP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rPr/>
      </w:pPr>
      <w:r>
        <w:rPr/>
        <w:t xml:space="preserve">The Christian theologian R. de Pury is just as categorical: “The Bible, on which must be based our preaching, has nowhere the smallest trace of a belief in the immortality of the soul.“243</w:t>
      </w:r>
    </w:p>
    <w:p>
      <w:pPr>
        <w:pStyle w:val="Normal"/>
        <w:rPr/>
      </w:pPr>
      <w:r>
        <w:rPr/>
        <w:t xml:space="preserve">How is it, then, that this idea came to exist in most Bible-based religions?</w:t>
      </w:r>
    </w:p>
    <w:p>
      <w:pPr>
        <w:pStyle w:val="Normal"/>
        <w:rPr/>
      </w:pPr>
      <w:r>
        <w:rPr/>
        <w:t xml:space="preserve">For the Jewish Encyclopedia there is no doubt: “Belief in the immortality of the soul came to the Jews after their contact with Greek thought, particularly through Plato’s philosophy, its principal representative.“244</w:t>
      </w:r>
    </w:p>
    <w:p>
      <w:pPr>
        <w:pStyle w:val="Normal"/>
        <w:rPr/>
      </w:pPr>
      <w:r>
        <w:rPr/>
        <w:t xml:space="preserve">The Christian theologian Andre Lamorte echoes this same opinion. Denying the biblical origin of this doctrine, he calls the concept of the immortality of the soul “a pagan idea and more exactly Platonian.“245</w:t>
      </w:r>
    </w:p>
    <w:p>
      <w:pPr>
        <w:pStyle w:val="Normal"/>
        <w:rPr/>
      </w:pPr>
      <w:r>
        <w:rPr/>
        <w:t xml:space="preserve">A new belief was thus added to the creed of many religions. Do we find</w:t>
      </w:r>
    </w:p>
    <w:p>
      <w:pPr>
        <w:pStyle w:val="Normal"/>
        <w:rPr/>
      </w:pPr>
      <w:r>
        <w:rP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rPr/>
      </w:pPr>
      <w:r>
        <w:rP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rPr/>
      </w:pPr>
      <w:r>
        <w:rP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rPr/>
      </w:pPr>
      <w:r>
        <w:rP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rPr/>
      </w:pPr>
      <w:r>
        <w:rP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rPr/>
      </w:pPr>
      <w:r>
        <w:rP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rPr/>
      </w:pPr>
      <w:r>
        <w:rPr/>
        <w:t xml:space="preserve">“</w:t>
      </w:r>
      <w:r>
        <w:rPr/>
        <w:t xml:space="preserve">A house divided against itself cannot survive.” Let each one decide, then, for himself.</w:t>
      </w:r>
    </w:p>
    <w:p>
      <w:pPr>
        <w:pStyle w:val="Normal"/>
        <w:rPr/>
      </w:pPr>
      <w:r>
        <w:rPr/>
        <w:t xml:space="preserve">The Lessons</w:t>
      </w:r>
    </w:p>
    <w:p>
      <w:pPr>
        <w:pStyle w:val="Normal"/>
        <w:rPr/>
      </w:pPr>
      <w:r>
        <w:rP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rPr/>
      </w:pPr>
      <w:r>
        <w:rP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rPr/>
      </w:pPr>
      <w:r>
        <w:rPr/>
        <w:t xml:space="preserve">Therefore, when one takes into account, as one must, the nature of tradition, one must place it in such a way that it may be critically examined under the strong lights of Holy Scripture.</w:t>
      </w:r>
    </w:p>
    <w:p>
      <w:pPr>
        <w:pStyle w:val="Normal"/>
        <w:rPr/>
      </w:pPr>
      <w:r>
        <w:rP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rPr/>
      </w:pPr>
      <w:r>
        <w:rP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rPr/>
      </w:pPr>
      <w:r>
        <w:rPr/>
        <w:t xml:space="preserve">Rain From Above</w:t>
      </w:r>
    </w:p>
    <w:p>
      <w:pPr>
        <w:pStyle w:val="Normal"/>
        <w:rPr/>
      </w:pPr>
      <w:r>
        <w:rPr/>
        <w:t xml:space="preserve">“</w:t>
      </w:r>
      <w:r>
        <w:rP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rPr/>
      </w:pPr>
      <w:r>
        <w:rP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rPr/>
      </w:pPr>
      <w:r>
        <w:rP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rPr/>
      </w:pPr>
      <w:r>
        <w:rP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rPr/>
      </w:pPr>
      <w:r>
        <w:rP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rPr/>
      </w:pPr>
      <w:r>
        <w:rPr/>
        <w:t xml:space="preserve">Yet, for our time, for this very situation, an ancient message is waiting to be heard, clearing a stony path, announcing a new kingdom. Man has forgotten, perhaps, that God has spoken, that God has revealed the way, that He has promised to come!</w:t>
      </w:r>
    </w:p>
    <w:p>
      <w:pPr>
        <w:pStyle w:val="Normal"/>
        <w:rPr/>
      </w:pPr>
      <w:r>
        <w:rPr/>
        <w:t xml:space="preserve">So God Spoke</w:t>
      </w:r>
    </w:p>
    <w:p>
      <w:pPr>
        <w:pStyle w:val="Normal"/>
        <w:rPr/>
      </w:pPr>
      <w:r>
        <w:rPr/>
        <w:t xml:space="preserve">Once upon a time a people undertook a seemingly impossible adventure, marched into an unknown future with an unseen Guide, and struggled with One whom they could not see - that people was Israel.</w:t>
      </w:r>
    </w:p>
    <w:p>
      <w:pPr>
        <w:pStyle w:val="Normal"/>
        <w:rPr/>
      </w:pPr>
      <w:r>
        <w:rPr/>
        <w:t xml:space="preserve">This unusual encounter began an unusual history, from which was to emerge a very special Book. In those days God entered time and the words of men. Because God spoke, we believe in Him.</w:t>
      </w:r>
    </w:p>
    <w:p>
      <w:pPr>
        <w:pStyle w:val="Normal"/>
        <w:rPr/>
      </w:pPr>
      <w:r>
        <w:rP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rPr/>
      </w:pPr>
      <w:r>
        <w:rP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rPr/>
      </w:pPr>
      <w:r>
        <w:rP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rPr/>
      </w:pPr>
      <w:r>
        <w:rP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rPr/>
      </w:pPr>
      <w:r>
        <w:rP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rPr/>
      </w:pPr>
      <w:r>
        <w:rP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rPr/>
      </w:pPr>
      <w:r>
        <w:rPr/>
        <w:t xml:space="preserve">Paul remembers: “I heard a voice saying to me in the Hebrew language, ‘Saul, Saul,… It hurts you to kick against the goads.’ ” Acts 26:15.</w:t>
      </w:r>
    </w:p>
    <w:p>
      <w:pPr>
        <w:pStyle w:val="Normal"/>
        <w:rPr/>
      </w:pPr>
      <w:r>
        <w:rPr/>
        <w:t xml:space="preserve">The Hebrew prophet spoke because obligation was placed upon him to do so. The initiative was from the Spirit, which “pushed” him to deliver a message.254</w:t>
      </w:r>
    </w:p>
    <w:p>
      <w:pPr>
        <w:pStyle w:val="Normal"/>
        <w:rPr/>
      </w:pPr>
      <w:r>
        <w:rP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rPr/>
      </w:pPr>
      <w:r>
        <w:rP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rPr/>
      </w:pPr>
      <w:r>
        <w:rPr/>
        <w:t xml:space="preserve">Hananiah spoke first, and his words were appreciated. He purred soothingly about peace and happiness. Everybody was reassured.</w:t>
      </w:r>
    </w:p>
    <w:p>
      <w:pPr>
        <w:pStyle w:val="Normal"/>
        <w:rPr/>
      </w:pPr>
      <w:r>
        <w:rP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rPr/>
      </w:pPr>
      <w:r>
        <w:rP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rPr/>
      </w:pPr>
      <w:r>
        <w:rP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rPr/>
      </w:pPr>
      <w:r>
        <w:rPr/>
        <w:t xml:space="preserve">The Fear of God</w:t>
      </w:r>
    </w:p>
    <w:p>
      <w:pPr>
        <w:pStyle w:val="Normal"/>
        <w:rPr/>
      </w:pPr>
      <w:r>
        <w:rP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rPr/>
      </w:pPr>
      <w:r>
        <w:rP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rPr/>
      </w:pPr>
      <w:r>
        <w:rP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rPr/>
      </w:pPr>
      <w:r>
        <w:rP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rPr/>
      </w:pPr>
      <w:r>
        <w:rP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rPr/>
      </w:pPr>
      <w:r>
        <w:rP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rPr/>
      </w:pPr>
      <w:r>
        <w:rP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rPr/>
      </w:pPr>
      <w:r>
        <w:rP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rPr/>
      </w:pPr>
      <w:r>
        <w:rP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rPr/>
      </w:pPr>
      <w:r>
        <w:rP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rPr/>
      </w:pPr>
      <w:r>
        <w:rP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rPr/>
      </w:pPr>
      <w:r>
        <w:rPr/>
        <w:t xml:space="preserve">The “fear of God” - a feeling that one is being seen - marks life with a religious dimension and a sensitivity for the sacred. It constrains one to make an effort, to respect self and also to respect others.</w:t>
      </w:r>
    </w:p>
    <w:p>
      <w:pPr>
        <w:pStyle w:val="Normal"/>
        <w:rPr/>
      </w:pPr>
      <w:r>
        <w:rP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rPr/>
      </w:pPr>
      <w:r>
        <w:rPr/>
        <w:t xml:space="preserve">Honor will be recovered only when man stands up and follows, though walking against the current, the commandments from above. Then he will resume his stately destiny: that of a religious being - upright and capable of finding again his God.</w:t>
      </w:r>
    </w:p>
    <w:p>
      <w:pPr>
        <w:pStyle w:val="Normal"/>
        <w:rPr/>
      </w:pPr>
      <w:r>
        <w:rPr/>
        <w:t xml:space="preserve">Between the Alpha and the Omega</w:t>
      </w:r>
    </w:p>
    <w:p>
      <w:pPr>
        <w:pStyle w:val="Normal"/>
        <w:rPr/>
      </w:pPr>
      <w:r>
        <w:rP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rPr/>
      </w:pPr>
      <w:r>
        <w:rP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rPr/>
      </w:pPr>
      <w:r>
        <w:rPr/>
        <w:t xml:space="preserve">John probably was thinking of this fact when he began his Gospel by mentioning the creative Word at the beginning (John 1.1-3) and concluded the Revelation, the last book of the New Testament, by invoking the kingdom of the Messiah (Revelation 22:20).</w:t>
      </w:r>
    </w:p>
    <w:p>
      <w:pPr>
        <w:pStyle w:val="Normal"/>
        <w:rPr/>
      </w:pPr>
      <w:r>
        <w:rP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rPr/>
      </w:pPr>
      <w:r>
        <w:rPr/>
        <w:t xml:space="preserve">Note well that the angel’s injunction to fear the God who made heaven and earth calls forth immediately the observance of the commandment which expresses that faith; that is, the Sabbath commandment.</w:t>
      </w:r>
    </w:p>
    <w:p>
      <w:pPr>
        <w:pStyle w:val="Normal"/>
        <w:rPr/>
      </w:pPr>
      <w:r>
        <w:rPr/>
        <w:t xml:space="preserve">“</w:t>
      </w:r>
      <w:r>
        <w:rPr/>
        <w:t xml:space="preserve">Remember the sabbath day, to keep it holy [set apart}…; for in six days the Lord made heaven and earth, the sea, and all that is in them, and rested the seventh day; therefore the Lord blessed the sabbath day and hallowed it [set it apart].” Exodus 20:8-11.</w:t>
      </w:r>
    </w:p>
    <w:p>
      <w:pPr>
        <w:pStyle w:val="Normal"/>
        <w:rPr/>
      </w:pPr>
      <w:r>
        <w:rP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rPr/>
      </w:pPr>
      <w:r>
        <w:rPr/>
        <w:t xml:space="preserve">The passages in Malachi and the Revelation appear to echo each other. Both include the intervention of an angel (or messenger)264 just before the day of God’s judgment. Both passages are concerned with the great day of God’s appearance or coming.</w:t>
      </w:r>
    </w:p>
    <w:p>
      <w:pPr>
        <w:pStyle w:val="Normal"/>
        <w:rPr/>
      </w:pPr>
      <w:r>
        <w:rPr/>
        <w:t xml:space="preserve">Both convey precise exhortation. The Malachi text asks that the Law of Moses handed down at Sinai be remembered; the Revelation text encourages fear of the Creator God.</w:t>
      </w:r>
    </w:p>
    <w:p>
      <w:pPr>
        <w:pStyle w:val="Normal"/>
        <w:rPr/>
      </w:pPr>
      <w:r>
        <w:rP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rPr/>
      </w:pPr>
      <w:r>
        <w:rPr/>
        <w:t xml:space="preserve">In Malachi’s text (1) the word remember recalls the remember of the Sabbath commandment;265 (2) the “Law of Moses” that Moses proclaimed at Sinai recalls the Decalogue.</w:t>
      </w:r>
    </w:p>
    <w:p>
      <w:pPr>
        <w:pStyle w:val="Normal"/>
        <w:rPr/>
      </w:pPr>
      <w:r>
        <w:rPr/>
        <w:t xml:space="preserve">In the Revelation passage, (1) the “fear of God” recalls the observance of the commandments;266 (2) the mention of Creation recalls the Sabbath which was to memorialize it.</w:t>
      </w:r>
    </w:p>
    <w:p>
      <w:pPr>
        <w:pStyle w:val="Normal"/>
        <w:rPr/>
      </w:pPr>
      <w:r>
        <w:rP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rPr/>
      </w:pPr>
      <w:r>
        <w:rPr/>
        <w:t xml:space="preserve">That these two “truths” - the Sabbath and the coming of the Lord - should be together in both the Old and New Testaments is not in the least astonishing; they simply express the same faith.</w:t>
      </w:r>
    </w:p>
    <w:p>
      <w:pPr>
        <w:pStyle w:val="Normal"/>
        <w:rPr/>
      </w:pPr>
      <w:r>
        <w:rP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rPr/>
      </w:pPr>
      <w:r>
        <w:rP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rPr/>
      </w:pPr>
      <w:r>
        <w:rP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rPr/>
      </w:pPr>
      <w:r>
        <w:rP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rPr/>
      </w:pPr>
      <w:r>
        <w:rP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rPr/>
      </w:pPr>
      <w:r>
        <w:rPr/>
        <w:t xml:space="preserve">Conversion Without Treason</w:t>
      </w:r>
    </w:p>
    <w:p>
      <w:pPr>
        <w:pStyle w:val="Normal"/>
        <w:rPr/>
      </w:pPr>
      <w:r>
        <w:rPr/>
        <w:t xml:space="preserve">Lekh lekha! Go!-God to Abraham.</w:t>
      </w:r>
    </w:p>
    <w:p>
      <w:pPr>
        <w:pStyle w:val="Normal"/>
        <w:rPr/>
      </w:pPr>
      <w:r>
        <w:rP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rPr/>
      </w:pPr>
      <w:r>
        <w:rP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rPr/>
      </w:pPr>
      <w:r>
        <w:rPr/>
        <w:t xml:space="preserve">The pilgrim must continue his travel. He walks, walks farther -</w:t>
      </w:r>
    </w:p>
    <w:p>
      <w:pPr>
        <w:pStyle w:val="Normal"/>
        <w:rPr/>
      </w:pPr>
      <w:r>
        <w:rP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rPr/>
      </w:pPr>
      <w:r>
        <w:rP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rPr/>
      </w:pPr>
      <w:r>
        <w:rP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rPr/>
      </w:pPr>
      <w:r>
        <w:rP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rPr/>
      </w:pPr>
      <w:r>
        <w:rP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rPr/>
      </w:pPr>
      <w:r>
        <w:rP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rPr/>
      </w:pPr>
      <w:r>
        <w:rP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rPr/>
      </w:pPr>
      <w:r>
        <w:rP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rPr/>
      </w:pPr>
      <w:r>
        <w:rP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rPr/>
      </w:pPr>
      <w:r>
        <w:rP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rPr/>
      </w:pPr>
      <w:r>
        <w:rP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rPr/>
      </w:pPr>
      <w:r>
        <w:rPr/>
        <w:t xml:space="preserve">“</w:t>
      </w:r>
      <w:r>
        <w:rPr/>
        <w:t xml:space="preserve">He will turn the hearts of fathers to their children and the hearts of children to their fathers.” Malachi 4:6 (3:24 in the Hebrew Bible).</w:t>
      </w:r>
      <w:r>
        <w:br w:type="page"/>
      </w:r>
    </w:p>
    <w:p>
      <w:pPr>
        <w:pStyle w:val="Para01"/>
        <w:rPr/>
      </w:pPr>
      <w:bookmarkStart w:id="29" w:name="Top_of_part0017_xhtml"/>
      <w:bookmarkStart w:id="30" w:name="Epilogue"/>
      <w:bookmarkEnd w:id="29"/>
      <w:bookmarkEnd w:id="30"/>
      <w:r>
        <w:rPr/>
        <w:t xml:space="preserve">Epílogo</w:t>
      </w:r>
    </w:p>
    <w:p>
      <w:pPr>
        <w:pStyle w:val="Para08"/>
        <w:rPr/>
      </w:pPr>
      <w:r>
        <w:rPr/>
        <w:t xml:space="preserve">The Spirit Blows</w:t>
      </w:r>
    </w:p>
    <w:p>
      <w:pPr>
        <w:pStyle w:val="Para03"/>
        <w:rPr/>
      </w:pPr>
      <w:r>
        <w:rPr/>
        <w:t xml:space="preserve">Now that we have come to the end, we suddenly find that a doubt has invaded our thoughts - a feeling that perhaps we have run in vain.</w:t>
      </w:r>
    </w:p>
    <w:p>
      <w:pPr>
        <w:pStyle w:val="Normal"/>
        <w:rPr/>
      </w:pPr>
      <w:r>
        <w:rP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rPr/>
      </w:pPr>
      <w:r>
        <w:rPr/>
        <w:t xml:space="preserve">So in despair one would be tempted to pray.</w:t>
      </w:r>
    </w:p>
    <w:p>
      <w:pPr>
        <w:pStyle w:val="Normal"/>
        <w:rPr/>
      </w:pPr>
      <w:r>
        <w:rPr/>
        <w:t xml:space="preserve">Of course, prayer is not in popular usage today. But we are not primarily concerned with an affair of fashion in keeping with times and cultures. The Spirit “blows where it wills” and when it wills. John 3:8.</w:t>
      </w:r>
    </w:p>
    <w:p>
      <w:pPr>
        <w:pStyle w:val="Normal"/>
        <w:rPr/>
      </w:pPr>
      <w:r>
        <w:rPr/>
        <w:t xml:space="preserve">So let the Spirit blow!</w:t>
      </w:r>
    </w:p>
    <w:p>
      <w:pPr>
        <w:pStyle w:val="Normal"/>
        <w:rPr/>
      </w:pPr>
      <w:r>
        <w:rPr/>
        <w:t xml:space="preserve">Chapter Notes to Drinking At the Sources</w:t>
      </w:r>
    </w:p>
    <w:p>
      <w:pPr>
        <w:pStyle w:val="Normal"/>
        <w:rPr/>
      </w:pPr>
      <w:r>
        <w:rPr/>
        <w:t xml:space="preserve">1. Samuel Joseph Agnon (1888-1970) is one of the greatest Hebrew writers of our time. His numerous works have won him international fame, confirmed by the Nobel Prize in literature in 1966.</w:t>
      </w:r>
    </w:p>
    <w:p>
      <w:pPr>
        <w:pStyle w:val="Normal"/>
        <w:rPr/>
      </w:pPr>
      <w:r>
        <w:rPr/>
        <w:t xml:space="preserve">2. “Le chien Balak” (French translation of Tmol Chilchom), p. 275.</w:t>
      </w:r>
    </w:p>
    <w:p>
      <w:pPr>
        <w:pStyle w:val="Normal"/>
        <w:rPr/>
      </w:pPr>
      <w:r>
        <w:rPr/>
        <w:t xml:space="preserve">3. Jules Isaac, Genese de l’Antisemitisme, p. 148.</w:t>
      </w:r>
    </w:p>
    <w:p>
      <w:pPr>
        <w:pStyle w:val="Normal"/>
        <w:rPr/>
      </w:pPr>
      <w:r>
        <w:rPr/>
        <w:t xml:space="preserve">4. It is especially necessary to note the influence of the Jewish rebellions against the Roman Empire and the resulting persecutions of Judaism by the Roman emperors. Cf. Samuele Bacchiocchi, Anti-Judaism and the Origin of Sundax (Rome: 1975), pp. 37-39.</w:t>
      </w:r>
    </w:p>
    <w:p>
      <w:pPr>
        <w:pStyle w:val="Normal"/>
        <w:rPr/>
      </w:pPr>
      <w:r>
        <w:rPr/>
        <w:t xml:space="preserve">5. Marcel Simon, Verus Israel, p. 361, n. 4; F. Lovsky, Antisemitisme et Mystere d’Israel, p. 140.</w:t>
      </w:r>
    </w:p>
    <w:p>
      <w:pPr>
        <w:pStyle w:val="Normal"/>
        <w:rPr/>
      </w:pPr>
      <w:r>
        <w:rP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rPr/>
      </w:pPr>
      <w:r>
        <w:rPr/>
        <w:t xml:space="preserve">7. Cf. Tertullian, Against Marcion 4.12.7.</w:t>
      </w:r>
    </w:p>
    <w:p>
      <w:pPr>
        <w:pStyle w:val="Normal"/>
        <w:rPr/>
      </w:pPr>
      <w:r>
        <w:rPr/>
        <w:t xml:space="preserve">8. Victorinus, On the Creation of the World 5 (The Ante-Nicene Fathers 7:342).</w:t>
      </w:r>
    </w:p>
    <w:p>
      <w:pPr>
        <w:pStyle w:val="Normal"/>
        <w:rPr/>
      </w:pPr>
      <w:r>
        <w:rP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rPr/>
      </w:pPr>
      <w:r>
        <w:rPr/>
        <w:t xml:space="preserve">10. Canon 29 of the Council of Laodicea. See Joannes Dominicus Mansi, ed., Sacrorum Conciliorum Nova et Amplissima Collectio, II, pp. 569-570.</w:t>
      </w:r>
    </w:p>
    <w:p>
      <w:pPr>
        <w:pStyle w:val="Normal"/>
        <w:rPr/>
      </w:pPr>
      <w:r>
        <w:rP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rPr/>
      </w:pPr>
      <w:r>
        <w:rP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rPr/>
      </w:pPr>
      <w:r>
        <w:rPr/>
        <w:t xml:space="preserve">13. Pesiqta Rabbati 20.</w:t>
      </w:r>
    </w:p>
    <w:p>
      <w:pPr>
        <w:pStyle w:val="Normal"/>
        <w:rPr/>
      </w:pPr>
      <w:r>
        <w:rPr/>
        <w:t xml:space="preserve">14. Babylonian Talmud, Shabbath 88a.</w:t>
      </w:r>
    </w:p>
    <w:p>
      <w:pPr>
        <w:pStyle w:val="Normal"/>
        <w:rPr/>
      </w:pPr>
      <w:r>
        <w:rPr/>
        <w:t xml:space="preserve">15. On this question see Marcel Simon, op. cit., p. 214 ff. and R. Travers Herford, Christianity in Talmud and Midrash.</w:t>
      </w:r>
    </w:p>
    <w:p>
      <w:pPr>
        <w:pStyle w:val="Normal"/>
        <w:rPr/>
      </w:pPr>
      <w:r>
        <w:rPr/>
        <w:t xml:space="preserve">16. Jules Isaac, op. cit., p. 147.</w:t>
      </w:r>
    </w:p>
    <w:p>
      <w:pPr>
        <w:pStyle w:val="Normal"/>
        <w:rPr/>
      </w:pPr>
      <w:r>
        <w:rPr/>
        <w:t xml:space="preserve">17. Cf. in this connection Harnack’s work, Die Altercatio Simonis Judaei et Theophili Christiani, nebst Untersuchungen iiber die antijiidische Poletnik in der alten Kirche, Texte und Untersuchungen, 1, 3 (1883).</w:t>
      </w:r>
    </w:p>
    <w:p>
      <w:pPr>
        <w:pStyle w:val="Normal"/>
        <w:rPr/>
      </w:pPr>
      <w:r>
        <w:rPr/>
        <w:t xml:space="preserve">18. Marcel Simon, op. cit., p. 437.</w:t>
      </w:r>
    </w:p>
    <w:p>
      <w:pPr>
        <w:pStyle w:val="Normal"/>
        <w:rPr/>
      </w:pPr>
      <w:r>
        <w:rPr/>
        <w:t xml:space="preserve">19. A. Neher, L’Existence juive, p. 236.</w:t>
      </w:r>
    </w:p>
    <w:p>
      <w:pPr>
        <w:pStyle w:val="Normal"/>
        <w:rPr/>
      </w:pPr>
      <w:r>
        <w:rPr/>
        <w:t xml:space="preserve">20. Idem.</w:t>
      </w:r>
    </w:p>
    <w:p>
      <w:pPr>
        <w:pStyle w:val="Normal"/>
        <w:rPr/>
      </w:pPr>
      <w:r>
        <w:rP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rPr/>
      </w:pPr>
      <w:r>
        <w:rPr/>
        <w:t xml:space="preserve">22. Op. cit., p. 203; cf. p. 96.</w:t>
      </w:r>
    </w:p>
    <w:p>
      <w:pPr>
        <w:pStyle w:val="Normal"/>
        <w:rPr/>
      </w:pPr>
      <w:r>
        <w:rP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rPr/>
      </w:pPr>
      <w:r>
        <w:rPr/>
        <w:t xml:space="preserve">24. From Episcopal Orientation on Relations With Judaism (IV, a).</w:t>
      </w:r>
    </w:p>
    <w:p>
      <w:pPr>
        <w:pStyle w:val="Normal"/>
        <w:rPr/>
      </w:pPr>
      <w:r>
        <w:rPr/>
        <w:t xml:space="preserve">25. Jean-Paul Sartre, Anti-Semite and Jew, p. 78.</w:t>
      </w:r>
    </w:p>
    <w:p>
      <w:pPr>
        <w:pStyle w:val="Normal"/>
        <w:rPr/>
      </w:pPr>
      <w:r>
        <w:rPr/>
        <w:t xml:space="preserve">26. On this, see Charles Herbert Stember and others, Jews in the Mind of America, pp. 48-59, and J.P. Sartre, op. cit., pp. 63, 64.</w:t>
      </w:r>
    </w:p>
    <w:p>
      <w:pPr>
        <w:pStyle w:val="Normal"/>
        <w:rPr/>
      </w:pPr>
      <w:r>
        <w:rPr/>
        <w:t xml:space="preserve">27. Cf. the UNESCO report on the question, “Le racisme devant la Science” (Paris, 1973).</w:t>
      </w:r>
    </w:p>
    <w:p>
      <w:pPr>
        <w:pStyle w:val="Normal"/>
        <w:rPr/>
      </w:pPr>
      <w:r>
        <w:rPr/>
        <w:t xml:space="preserve">28. J.-P. Sartre, op. cit., p. 23.</w:t>
      </w:r>
    </w:p>
    <w:p>
      <w:pPr>
        <w:pStyle w:val="Normal"/>
        <w:rPr/>
      </w:pPr>
      <w:r>
        <w:rPr/>
        <w:t xml:space="preserve">29. Albert Memmi, Portrait d’un juif p. 203.</w:t>
      </w:r>
    </w:p>
    <w:p>
      <w:pPr>
        <w:pStyle w:val="Normal"/>
        <w:rPr/>
      </w:pPr>
      <w:r>
        <w:rPr/>
        <w:t xml:space="preserve">30. Ibid., p. 154.</w:t>
      </w:r>
    </w:p>
    <w:p>
      <w:pPr>
        <w:pStyle w:val="Normal"/>
        <w:rPr/>
      </w:pPr>
      <w:r>
        <w:rPr/>
        <w:t xml:space="preserve">31. Cited by A. Memmi, op. cit., p. 213.</w:t>
      </w:r>
    </w:p>
    <w:p>
      <w:pPr>
        <w:pStyle w:val="Normal"/>
        <w:rPr/>
      </w:pPr>
      <w:r>
        <w:rP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rPr/>
      </w:pPr>
      <w:r>
        <w:rPr/>
        <w:t xml:space="preserve">33. J. Isaac, op. cit., p. 172.</w:t>
      </w:r>
    </w:p>
    <w:p>
      <w:pPr>
        <w:pStyle w:val="Normal"/>
        <w:rPr/>
      </w:pPr>
      <w:r>
        <w:rPr/>
        <w:t xml:space="preserve">34. Jules Isaac, Jesus et Israel, p. 558.</w:t>
      </w:r>
    </w:p>
    <w:p>
      <w:pPr>
        <w:pStyle w:val="Normal"/>
        <w:rPr/>
      </w:pPr>
      <w:r>
        <w:rPr/>
        <w:t xml:space="preserve">35. Albert Memmi, La liberation du juif, p. 215.</w:t>
      </w:r>
    </w:p>
    <w:p>
      <w:pPr>
        <w:pStyle w:val="Normal"/>
        <w:rPr/>
      </w:pPr>
      <w:r>
        <w:rPr/>
        <w:t xml:space="preserve">36. Ibid.</w:t>
      </w:r>
    </w:p>
    <w:p>
      <w:pPr>
        <w:pStyle w:val="Normal"/>
        <w:rPr/>
      </w:pPr>
      <w:r>
        <w:rP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rPr/>
      </w:pPr>
      <w:r>
        <w:rP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rPr/>
      </w:pPr>
      <w:r>
        <w:rPr/>
        <w:t xml:space="preserve">38. The Jewishness of Jesus has recently been pointed out by the Catholic theologian C. Tresmontant in L’enseignement de leshoua de Nazareth. Cf. also J. Klausner, Jesus of Nazareth (New York: Macmillan, 1942).</w:t>
      </w:r>
    </w:p>
    <w:p>
      <w:pPr>
        <w:pStyle w:val="Normal"/>
        <w:rPr/>
      </w:pPr>
      <w:r>
        <w:rP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rPr/>
      </w:pPr>
      <w:r>
        <w:rPr/>
        <w:t xml:space="preserve">40. Cf. Genese de l’Antisemitisme.</w:t>
      </w:r>
    </w:p>
    <w:p>
      <w:pPr>
        <w:pStyle w:val="Normal"/>
        <w:rPr/>
      </w:pPr>
      <w:r>
        <w:rPr/>
        <w:t xml:space="preserve">41. That author had devoted a whole collection of works on The History of AntiSemitism (English translation by Richard Howard, 1965): I. From the Time of Christ to the Court Jews; II. From Mahomet to the Marranos; III. From Voltaire to Wagner.</w:t>
      </w:r>
    </w:p>
    <w:p>
      <w:pPr>
        <w:pStyle w:val="Normal"/>
        <w:rPr/>
      </w:pPr>
      <w:r>
        <w:rPr/>
        <w:t xml:space="preserve">42. Cf. his two books, Antisemitisme et mystere d’lsrael and La dechirure de Iabsence.</w:t>
      </w:r>
    </w:p>
    <w:p>
      <w:pPr>
        <w:pStyle w:val="Normal"/>
        <w:rPr/>
      </w:pPr>
      <w:r>
        <w:rP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rPr/>
      </w:pPr>
      <w:r>
        <w:rPr/>
        <w:t xml:space="preserve">44. Pierre de Labriolle, La Reaction paienne, p. 194.</w:t>
      </w:r>
    </w:p>
    <w:p>
      <w:pPr>
        <w:pStyle w:val="Normal"/>
        <w:rPr/>
      </w:pPr>
      <w:r>
        <w:rPr/>
        <w:t xml:space="preserve">45. Staehelin, Der Antisemitismus des Altertums, p. 54.</w:t>
      </w:r>
    </w:p>
    <w:p>
      <w:pPr>
        <w:pStyle w:val="Normal"/>
        <w:rPr/>
      </w:pPr>
      <w:r>
        <w:rPr/>
        <w:t xml:space="preserve">46. In the Jewish review L’Amandier fleuri (October 1949), 9.</w:t>
      </w:r>
    </w:p>
    <w:p>
      <w:pPr>
        <w:pStyle w:val="Normal"/>
        <w:rPr/>
      </w:pPr>
      <w:r>
        <w:rPr/>
        <w:t xml:space="preserve">47. “Dimensionsde fantisemitisme,” in Foilet Vie (September-October 1949), 447, 448.</w:t>
      </w:r>
    </w:p>
    <w:p>
      <w:pPr>
        <w:pStyle w:val="Normal"/>
        <w:rPr/>
      </w:pPr>
      <w:r>
        <w:rPr/>
        <w:t xml:space="preserve">48. J. Isaac, Gen&amp;se de lAntisemitisme, p. 129.</w:t>
      </w:r>
    </w:p>
    <w:p>
      <w:pPr>
        <w:pStyle w:val="Normal"/>
        <w:rPr/>
      </w:pPr>
      <w:r>
        <w:rPr/>
        <w:t xml:space="preserve">49. Cf. Verus Israel, p. 263.</w:t>
      </w:r>
    </w:p>
    <w:p>
      <w:pPr>
        <w:pStyle w:val="Normal"/>
        <w:rPr/>
      </w:pPr>
      <w:r>
        <w:rPr/>
        <w:t xml:space="preserve">50. F. Lovsky, Antisemitisme et mystere d’lsrael, p. 157.</w:t>
      </w:r>
    </w:p>
    <w:p>
      <w:pPr>
        <w:pStyle w:val="Normal"/>
        <w:rPr/>
      </w:pPr>
      <w:r>
        <w:rPr/>
        <w:t xml:space="preserve">51. M. Simon, op. cit., p. 16.</w:t>
      </w:r>
    </w:p>
    <w:p>
      <w:pPr>
        <w:pStyle w:val="Normal"/>
        <w:rPr/>
      </w:pPr>
      <w:r>
        <w:rPr/>
        <w:t xml:space="preserve">52. J. Isaac, op. cit., p. 133.</w:t>
      </w:r>
    </w:p>
    <w:p>
      <w:pPr>
        <w:pStyle w:val="Normal"/>
        <w:rPr/>
      </w:pPr>
      <w:r>
        <w:rP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rPr/>
      </w:pPr>
      <w:r>
        <w:rP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rPr/>
      </w:pPr>
      <w:r>
        <w:rPr/>
        <w:t xml:space="preserve">55. Cf. A. Neubauer and M. Stern, Hebrew Reports of the Persecutions of the Jews during the Crusades (in Hebrew); German translation by S. Baer, Hebraische Berichte uber die judenverfolgungen wdhrend der Kreuzzuge, p. 88.</w:t>
      </w:r>
    </w:p>
    <w:p>
      <w:pPr>
        <w:pStyle w:val="Normal"/>
        <w:rPr/>
      </w:pPr>
      <w:r>
        <w:rP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rPr/>
      </w:pPr>
      <w:r>
        <w:rPr/>
        <w:t xml:space="preserve">57. L. Poliakov, op. cit., p. 74.</w:t>
      </w:r>
    </w:p>
    <w:p>
      <w:pPr>
        <w:pStyle w:val="Normal"/>
        <w:rPr/>
      </w:pPr>
      <w:r>
        <w:rPr/>
        <w:t xml:space="preserve">58. See James Parkes, The Jew in the Medieval Community (London, 1938), p. 341. Cf. Evidences (May 1954), 22.</w:t>
      </w:r>
    </w:p>
    <w:p>
      <w:pPr>
        <w:pStyle w:val="Normal"/>
        <w:rPr/>
      </w:pPr>
      <w:r>
        <w:rPr/>
        <w:t xml:space="preserve">59. J. Parkes, op. cit., pp. 340-341. Cf. J. Bernfeld, “Das Zinsverbot bei den Juden nach talmudisch-rabbinisch Recht,” in Das Licht, No. 8.</w:t>
      </w:r>
    </w:p>
    <w:p>
      <w:pPr>
        <w:pStyle w:val="Normal"/>
        <w:rPr/>
      </w:pPr>
      <w:r>
        <w:rPr/>
        <w:t xml:space="preserve">60. F. Lovsky, op, cit., p. 233.</w:t>
      </w:r>
    </w:p>
    <w:p>
      <w:pPr>
        <w:pStyle w:val="Normal"/>
        <w:rPr/>
      </w:pPr>
      <w:r>
        <w:rP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rPr>
        <w:t xml:space="preserve">etc.</w:t>
      </w:r>
    </w:p>
    <w:p>
      <w:pPr>
        <w:pStyle w:val="Normal"/>
        <w:rPr/>
      </w:pPr>
      <w:r>
        <w:rPr/>
        <w:t xml:space="preserve">The Hebrew Chronicles have been published by A. Neubauer and M. Stern, op. cit.</w:t>
      </w:r>
    </w:p>
    <w:p>
      <w:pPr>
        <w:pStyle w:val="Normal"/>
        <w:rPr/>
      </w:pPr>
      <w:r>
        <w:rPr/>
        <w:t xml:space="preserve">63. It was the Lateran Council of 1215 which, by defining the status of the Jew as that of one outside the law, determined the formation of the ghetto. The phenomenon did not exist previously. It became obligatory from that moment on.</w:t>
      </w:r>
    </w:p>
    <w:p>
      <w:pPr>
        <w:pStyle w:val="Normal"/>
        <w:rPr/>
      </w:pPr>
      <w:r>
        <w:rPr/>
        <w:t xml:space="preserve">64. The Jew was considered the incarnation of evil, and he was held responsible for all evils (plague, etc.), and he would be identified with the devil, especially in the fourteenth century.</w:t>
      </w:r>
    </w:p>
    <w:p>
      <w:pPr>
        <w:pStyle w:val="Normal"/>
        <w:rPr/>
      </w:pPr>
      <w:r>
        <w:rP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rPr/>
      </w:pPr>
      <w:r>
        <w:rPr/>
        <w:t xml:space="preserve">“</w:t>
      </w:r>
      <w:r>
        <w:rP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rPr/>
      </w:pPr>
      <w:r>
        <w:rPr/>
        <w:t xml:space="preserve">In several passages, finally, Luther lamentably lets himself go into the most obscene buffoonery and gross vulgarities in lambasting the Jews, and he passes it all off as his most Christian sentiments.</w:t>
      </w:r>
    </w:p>
    <w:p>
      <w:pPr>
        <w:pStyle w:val="Normal"/>
        <w:rPr/>
      </w:pPr>
      <w:r>
        <w:rP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rPr/>
      </w:pPr>
      <w:r>
        <w:rPr/>
        <w:t xml:space="preserve">67. As early as the Fourth Lateran Council it had been “decided that the Jews must distinguish themselves from the Christians by their dress.” (Cf. Fourth Lateran Council, canons 67-70, in Mansi 22, pp. 1054 ff.)</w:t>
      </w:r>
    </w:p>
    <w:p>
      <w:pPr>
        <w:pStyle w:val="Normal"/>
        <w:rPr/>
      </w:pPr>
      <w:r>
        <w:rPr/>
        <w:t xml:space="preserve">68. See L. Poliakov, The History of AntiSemitism, vol. Ill: From Voltaire to Wagner.</w:t>
      </w:r>
    </w:p>
    <w:p>
      <w:pPr>
        <w:pStyle w:val="Normal"/>
        <w:rPr/>
      </w:pPr>
      <w:r>
        <w:rPr/>
        <w:t xml:space="preserve">69. Cf. A. M. Rose, L’origine des prejuges, in the publications of the UNESCO, Paris, 1951, p. 15.</w:t>
      </w:r>
    </w:p>
    <w:p>
      <w:pPr>
        <w:pStyle w:val="Normal"/>
        <w:rPr/>
      </w:pPr>
      <w:r>
        <w:rPr/>
        <w:t xml:space="preserve">70 d.C. Cf. Ch. Lassen, Indische Altertumskunde, the conclusions of which were adopted by Ernest Renan. On this issue see the warning of Heinrich Coudenhove-Kadergi, AntiSemitism Throughout the Ages, pp. 59-61.</w:t>
      </w:r>
    </w:p>
    <w:p>
      <w:pPr>
        <w:pStyle w:val="Normal"/>
        <w:rPr/>
      </w:pPr>
      <w:r>
        <w:rP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rPr/>
      </w:pPr>
      <w:r>
        <w:rP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rPr/>
      </w:pPr>
      <w:r>
        <w:rPr/>
        <w:t xml:space="preserve">73. H. Chamberlain, La Genese du XIXe siecle, p. 362.</w:t>
      </w:r>
    </w:p>
    <w:p>
      <w:pPr>
        <w:pStyle w:val="Normal"/>
        <w:rPr/>
      </w:pPr>
      <w:r>
        <w:rPr/>
        <w:t xml:space="preserve">74. Cf. Die Nibelungen, Allgemeine Geschichte drawn from legend.</w:t>
      </w:r>
    </w:p>
    <w:p>
      <w:pPr>
        <w:pStyle w:val="Normal"/>
        <w:rPr/>
      </w:pPr>
      <w:r>
        <w:rPr/>
        <w:t xml:space="preserve">75. Oeuvres en prose de Richard Wagner, vol. II, pp. 44, 45, 56.</w:t>
      </w:r>
    </w:p>
    <w:p>
      <w:pPr>
        <w:pStyle w:val="Normal"/>
        <w:rPr/>
      </w:pPr>
      <w:r>
        <w:rPr/>
        <w:t xml:space="preserve">76. These sentiments echo the jibe of Luther’s: “If I find a Jew to baptize, I shall lead him to the Elbe bridge, hang a stone around his neck, and push him into the water, baptizing him with the name of Abraham!” (Cited by L. Poliakov, op. cit., I, p. 223.)</w:t>
      </w:r>
    </w:p>
    <w:p>
      <w:pPr>
        <w:pStyle w:val="Normal"/>
        <w:rPr/>
      </w:pPr>
      <w:r>
        <w:rPr/>
        <w:t xml:space="preserve">77. F. Lovsky, La dechirure de I ‘absence, p. 13.</w:t>
      </w:r>
    </w:p>
    <w:p>
      <w:pPr>
        <w:pStyle w:val="Normal"/>
        <w:rPr/>
      </w:pPr>
      <w:r>
        <w:rPr/>
        <w:t xml:space="preserve">78. Julian Green, journal, in Revue de Paris, June 1949.</w:t>
      </w:r>
    </w:p>
    <w:p>
      <w:pPr>
        <w:pStyle w:val="Normal"/>
        <w:rPr/>
      </w:pPr>
      <w:r>
        <w:rPr/>
        <w:t xml:space="preserve">79. Cf. Psalm 119:105. Torah (law) and Or (light) come from the same Hebrew root.</w:t>
      </w:r>
    </w:p>
    <w:p>
      <w:pPr>
        <w:pStyle w:val="Normal"/>
        <w:rPr/>
      </w:pPr>
      <w:r>
        <w:rP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rPr/>
      </w:pPr>
      <w:r>
        <w:rP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rPr/>
      </w:pPr>
      <w:r>
        <w:rPr/>
        <w:t xml:space="preserve">81. A. Memmi, Liberation du Juif, p. 73.</w:t>
      </w:r>
    </w:p>
    <w:p>
      <w:pPr>
        <w:pStyle w:val="Normal"/>
        <w:rPr/>
      </w:pPr>
      <w:r>
        <w:rP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rPr/>
      </w:pPr>
      <w:r>
        <w:rP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rPr/>
      </w:pPr>
      <w:r>
        <w:rPr/>
        <w:t xml:space="preserve">84. Isaac Bashevi Singer, cited by A. Memmi in La liberation du Juif, p. 73.</w:t>
      </w:r>
    </w:p>
    <w:p>
      <w:pPr>
        <w:pStyle w:val="Normal"/>
        <w:rPr/>
      </w:pPr>
      <w:r>
        <w:rPr/>
        <w:t xml:space="preserve">85. Ibid., p. 71.</w:t>
      </w:r>
    </w:p>
    <w:p>
      <w:pPr>
        <w:pStyle w:val="Normal"/>
        <w:rPr/>
      </w:pPr>
      <w:r>
        <w:rPr/>
        <w:t xml:space="preserve">86. Cf. Colossians 2:14. We shall study this question in greater depth in a later chapter (cf. p. 74 ff.).</w:t>
      </w:r>
    </w:p>
    <w:p>
      <w:pPr>
        <w:pStyle w:val="Normal"/>
        <w:rPr/>
      </w:pPr>
      <w:r>
        <w:rP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rPr/>
      </w:pPr>
      <w:r>
        <w:rPr/>
        <w:t xml:space="preserve">88. Genesis 3:15. This is our translation, intended to reflect the wordplay on the verb shuf.</w:t>
      </w:r>
    </w:p>
    <w:p>
      <w:pPr>
        <w:pStyle w:val="Normal"/>
        <w:rPr/>
      </w:pPr>
      <w:r>
        <w:rPr/>
        <w:t xml:space="preserve">89. Wisdom of Solomon 2:24.</w:t>
      </w:r>
    </w:p>
    <w:p>
      <w:pPr>
        <w:pStyle w:val="Normal"/>
        <w:rPr/>
      </w:pPr>
      <w:r>
        <w:rPr/>
        <w:t xml:space="preserve">90. Cassuto, A Commentary on the Book of Genesis, vol. I, pp. 142, 160.</w:t>
      </w:r>
    </w:p>
    <w:p>
      <w:pPr>
        <w:pStyle w:val="Normal"/>
        <w:rPr/>
      </w:pPr>
      <w:r>
        <w:rP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rPr/>
      </w:pPr>
      <w:r>
        <w:rPr/>
        <w:t xml:space="preserve">92. This Greek version is the oldest Jewish translation still extant. It dates from the third century B.C.E.</w:t>
      </w:r>
    </w:p>
    <w:p>
      <w:pPr>
        <w:pStyle w:val="Normal"/>
        <w:rPr/>
      </w:pPr>
      <w:r>
        <w:rP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rPr/>
      </w:pPr>
      <w:r>
        <w:rPr/>
        <w:t xml:space="preserve">94. Even some modern commentaries do not hesitate to interpret this verse in a Messianic sense (cf. Marc Breuer, Thora commentee, p. 15).</w:t>
      </w:r>
    </w:p>
    <w:p>
      <w:pPr>
        <w:pStyle w:val="Normal"/>
        <w:rPr/>
      </w:pPr>
      <w:r>
        <w:rPr/>
        <w:t xml:space="preserve">95. The Targums are ancient paraphrastic translations of the Scriptures into Aramaic.</w:t>
      </w:r>
    </w:p>
    <w:p>
      <w:pPr>
        <w:pStyle w:val="Normal"/>
        <w:rPr/>
      </w:pPr>
      <w:r>
        <w:rP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rPr/>
      </w:pPr>
      <w:r>
        <w:rPr/>
        <w:t xml:space="preserve">96. See its commentary on Genesis 3:15.</w:t>
      </w:r>
    </w:p>
    <w:p>
      <w:pPr>
        <w:pStyle w:val="Normal"/>
        <w:rPr/>
      </w:pPr>
      <w:r>
        <w:rP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rPr/>
      </w:pPr>
      <w:r>
        <w:rPr/>
        <w:t xml:space="preserve">98. This work was formerly attributed to Rabbi Simeon ben Yohai, a Palestinian rabbi of the second century. It is now known that it was written in Spain in the thirteenth century. It constitutes the masterwork of Jewish mysticism, the Kabbalah.</w:t>
      </w:r>
    </w:p>
    <w:p>
      <w:pPr>
        <w:pStyle w:val="Normal"/>
        <w:rPr/>
      </w:pPr>
      <w:r>
        <w:rPr/>
        <w:t xml:space="preserve">99. Zohar. vol. II, folio 120b.</w:t>
      </w:r>
    </w:p>
    <w:p>
      <w:pPr>
        <w:pStyle w:val="Normal"/>
        <w:rPr/>
      </w:pPr>
      <w:r>
        <w:rPr/>
        <w:t xml:space="preserve">100. Gematria was a haggadic method of interpretation based on the numerical value of the letters.</w:t>
      </w:r>
    </w:p>
    <w:p>
      <w:pPr>
        <w:pStyle w:val="Normal"/>
        <w:rPr/>
      </w:pPr>
      <w:r>
        <w:rPr/>
        <w:t xml:space="preserve">101. Cf. Isaiah 52:13 with chapter 53.</w:t>
      </w:r>
    </w:p>
    <w:p>
      <w:pPr>
        <w:pStyle w:val="Normal"/>
        <w:rPr/>
      </w:pPr>
      <w:r>
        <w:rPr/>
        <w:t xml:space="preserve">102. The Talmud is a compilation of debates, interpretations, and scriptural commentaries covering roughly the period from the fourth century B.C.E. to the fifth century C.E.</w:t>
      </w:r>
    </w:p>
    <w:p>
      <w:pPr>
        <w:pStyle w:val="Normal"/>
        <w:rPr/>
      </w:pPr>
      <w:r>
        <w:rPr/>
        <w:t xml:space="preserve">The Talmud consists of a basic text, the Mishnah (teachings transmitted orally since the fourth century B.C.E. and put into writing in the second century C.E.) and the commentary upon it, the Gemara.</w:t>
      </w:r>
    </w:p>
    <w:p>
      <w:pPr>
        <w:pStyle w:val="Normal"/>
        <w:rPr/>
      </w:pPr>
      <w:r>
        <w:rPr/>
        <w:t xml:space="preserve">In this way, and in this format, there came into being two Talmuds: the Gemara of the Babylonian Rabbis gave birth to the Babylonian Talmud, and the Gemara of the Palestinian Rabbis produced the Jerusalem Talmud.</w:t>
      </w:r>
    </w:p>
    <w:p>
      <w:pPr>
        <w:pStyle w:val="Normal"/>
        <w:rPr/>
      </w:pPr>
      <w:r>
        <w:rPr/>
        <w:t xml:space="preserve">The Babylonian Talmud is by far the most important. It is for that reason that we generally mean that Talmud when we refer to the “Talmud.” When we refer to the Jerusalem Talmud it will be specifically indicated by the abbreviation T. J.</w:t>
      </w:r>
    </w:p>
    <w:p>
      <w:pPr>
        <w:pStyle w:val="Normal"/>
        <w:rPr/>
      </w:pPr>
      <w:r>
        <w:rP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rPr/>
      </w:pPr>
      <w:r>
        <w:rP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rPr/>
      </w:pPr>
      <w:r>
        <w:rPr/>
        <w:t xml:space="preserve">105. Pesiqta Rabbati, Pisqa 37.</w:t>
      </w:r>
    </w:p>
    <w:p>
      <w:pPr>
        <w:pStyle w:val="Normal"/>
        <w:rPr/>
      </w:pPr>
      <w:r>
        <w:rPr/>
        <w:t xml:space="preserve">106. Bereshith Rabbati of Moshe Hadarshan, on Genesis 24:67.</w:t>
      </w:r>
    </w:p>
    <w:p>
      <w:pPr>
        <w:pStyle w:val="Normal"/>
        <w:rPr/>
      </w:pPr>
      <w:r>
        <w:rP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rPr/>
      </w:pPr>
      <w:r>
        <w:rP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rPr/>
      </w:pPr>
      <w:r>
        <w:rP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rPr/>
      </w:pPr>
      <w:r>
        <w:rPr/>
        <w:t xml:space="preserve">One encounters the same association between hakrib and nagash in Leviticus 21:21, which employs the verb hakrib in the sense of “sacrifice.”</w:t>
      </w:r>
    </w:p>
    <w:p>
      <w:pPr>
        <w:pStyle w:val="Normal"/>
        <w:rPr/>
      </w:pPr>
      <w:r>
        <w:rPr/>
        <w:t xml:space="preserve">The verse in Jeremiah could therefore be rendered thus: “I will sacrifice him and one will thus have access to me” (the second verb is impersonal).</w:t>
      </w:r>
    </w:p>
    <w:p>
      <w:pPr>
        <w:pStyle w:val="Normal"/>
        <w:rPr/>
      </w:pPr>
      <w:r>
        <w:rPr/>
        <w:t xml:space="preserve">This translation has the merit of taking account of the words which follow: “For who would dare of himself to approach Me?” In fact, according to the Levitical theology only sacrifice makes God accessible to man (cf. Genesis 4:4; Leviticus 4).</w:t>
      </w:r>
    </w:p>
    <w:p>
      <w:pPr>
        <w:pStyle w:val="Normal"/>
        <w:rPr/>
      </w:pPr>
      <w:r>
        <w:rPr/>
        <w:t xml:space="preserve">108. Zebahim 44b and Sanhedrin 51b.</w:t>
      </w:r>
    </w:p>
    <w:p>
      <w:pPr>
        <w:pStyle w:val="Normal"/>
        <w:rPr/>
      </w:pPr>
      <w:r>
        <w:rPr/>
        <w:t xml:space="preserve">109. Leviticus 4:31.</w:t>
      </w:r>
    </w:p>
    <w:p>
      <w:pPr>
        <w:pStyle w:val="Normal"/>
        <w:rPr/>
      </w:pPr>
      <w:r>
        <w:rPr/>
        <w:t xml:space="preserve">110. Leviticus 4:34, 35; 16.</w:t>
      </w:r>
    </w:p>
    <w:p>
      <w:pPr>
        <w:pStyle w:val="Normal"/>
        <w:rPr/>
      </w:pPr>
      <w:r>
        <w:rPr/>
        <w:t xml:space="preserve">111. Leviticus 16:32-34.</w:t>
      </w:r>
    </w:p>
    <w:p>
      <w:pPr>
        <w:pStyle w:val="Normal"/>
        <w:rPr/>
      </w:pPr>
      <w:r>
        <w:rPr/>
        <w:t xml:space="preserve">112. Leviticus 16:14.</w:t>
      </w:r>
    </w:p>
    <w:p>
      <w:pPr>
        <w:pStyle w:val="Normal"/>
        <w:rPr/>
      </w:pPr>
      <w:r>
        <w:rPr/>
        <w:t xml:space="preserve">113. Exodus 28:35.</w:t>
      </w:r>
    </w:p>
    <w:p>
      <w:pPr>
        <w:pStyle w:val="Normal"/>
        <w:rPr/>
      </w:pPr>
      <w:r>
        <w:rPr/>
        <w:t xml:space="preserve">114. Aboth de Rabbi Nathan 34.</w:t>
      </w:r>
    </w:p>
    <w:p>
      <w:pPr>
        <w:pStyle w:val="Normal"/>
        <w:rPr/>
      </w:pPr>
      <w:r>
        <w:rPr/>
        <w:t xml:space="preserve">115. Bereshith Rabbati on Genesis 14:18.</w:t>
      </w:r>
    </w:p>
    <w:p>
      <w:pPr>
        <w:pStyle w:val="Normal"/>
        <w:rPr/>
      </w:pPr>
      <w:r>
        <w:rP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rPr/>
      </w:pPr>
      <w:r>
        <w:rPr/>
        <w:t xml:space="preserve">117. Cf. Joseph Klausner, The Messianic Idea in Israel, pp. 129, 400-401.</w:t>
      </w:r>
    </w:p>
    <w:p>
      <w:pPr>
        <w:pStyle w:val="Normal"/>
        <w:rPr/>
      </w:pPr>
      <w:r>
        <w:rPr/>
        <w:t xml:space="preserve">118. Sanhedrin 98b.</w:t>
      </w:r>
    </w:p>
    <w:p>
      <w:pPr>
        <w:pStyle w:val="Normal"/>
        <w:rPr/>
      </w:pPr>
      <w:r>
        <w:rPr/>
        <w:t xml:space="preserve">119. Bereshith Rabbati on Genesis 24:67.</w:t>
      </w:r>
    </w:p>
    <w:p>
      <w:pPr>
        <w:pStyle w:val="Normal"/>
        <w:rPr/>
      </w:pPr>
      <w:r>
        <w:rPr/>
        <w:t xml:space="preserve">120. Bereshith Rabbati on Genesis 19:34; cf. Berakoth 5a, </w:t>
      </w:r>
      <w:r>
        <w:rPr>
          <w:rStyle w:val="0Text"/>
        </w:rPr>
        <w:t xml:space="preserve">etc.</w:t>
      </w:r>
    </w:p>
    <w:p>
      <w:pPr>
        <w:pStyle w:val="Normal"/>
        <w:rPr/>
      </w:pPr>
      <w:r>
        <w:rPr/>
        <w:t xml:space="preserve">121. Pesiqta Rabbati, Pisqa 37.</w:t>
      </w:r>
    </w:p>
    <w:p>
      <w:pPr>
        <w:pStyle w:val="Normal"/>
        <w:rPr/>
      </w:pPr>
      <w:r>
        <w:rPr/>
        <w:t xml:space="preserve">122. Targum on Song of Songs 4:5 and 7:3.</w:t>
      </w:r>
    </w:p>
    <w:p>
      <w:pPr>
        <w:pStyle w:val="Normal"/>
        <w:rPr/>
      </w:pPr>
      <w:r>
        <w:rPr/>
        <w:t xml:space="preserve">123. Sanhedrin 98b.</w:t>
      </w:r>
    </w:p>
    <w:p>
      <w:pPr>
        <w:pStyle w:val="Normal"/>
        <w:rPr/>
      </w:pPr>
      <w:r>
        <w:rPr/>
        <w:t xml:space="preserve">124. Cf. A. Sarsowsky, Die ethisch-religiose Bedeutung der alttestamentlischen Namen nach Talmud, Targum und Midrasch.</w:t>
      </w:r>
    </w:p>
    <w:p>
      <w:pPr>
        <w:pStyle w:val="Normal"/>
        <w:rPr/>
      </w:pPr>
      <w:r>
        <w:rPr/>
        <w:t xml:space="preserve">125. Abraham Joshua Heschel, God in Search of Man, p. 137.</w:t>
      </w:r>
    </w:p>
    <w:p>
      <w:pPr>
        <w:pStyle w:val="Normal"/>
        <w:rPr/>
      </w:pPr>
      <w:r>
        <w:rPr/>
        <w:t xml:space="preserve">126. Ibid., p. 412.</w:t>
      </w:r>
    </w:p>
    <w:p>
      <w:pPr>
        <w:pStyle w:val="Normal"/>
        <w:rPr/>
      </w:pPr>
      <w:r>
        <w:rP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rPr/>
      </w:pPr>
      <w:r>
        <w:rPr/>
        <w:t xml:space="preserve">128. This is the common designation of God in the Rabbinic literature.</w:t>
      </w:r>
    </w:p>
    <w:p>
      <w:pPr>
        <w:pStyle w:val="Normal"/>
        <w:rPr/>
      </w:pPr>
      <w:r>
        <w:rPr/>
        <w:t xml:space="preserve">129. Baba Bathra 75b.</w:t>
      </w:r>
    </w:p>
    <w:p>
      <w:pPr>
        <w:pStyle w:val="Normal"/>
        <w:rPr/>
      </w:pPr>
      <w:r>
        <w:rPr/>
        <w:t xml:space="preserve">130. Lamentations Rabbah 1:1:16; Midrash on Proverbs 19:19-21; Midrash on Psalm 21:1, 2, </w:t>
      </w:r>
      <w:r>
        <w:rPr>
          <w:rStyle w:val="0Text"/>
        </w:rPr>
        <w:t xml:space="preserve">etc.</w:t>
      </w:r>
    </w:p>
    <w:p>
      <w:pPr>
        <w:pStyle w:val="Normal"/>
        <w:rPr/>
      </w:pPr>
      <w:r>
        <w:rPr/>
        <w:t xml:space="preserve">131. Targum on Jeremiah 23:5, 6.</w:t>
      </w:r>
    </w:p>
    <w:p>
      <w:pPr>
        <w:pStyle w:val="Normal"/>
        <w:rPr/>
      </w:pPr>
      <w:r>
        <w:rPr/>
        <w:t xml:space="preserve">132. Pesiqta de Rab Kahana, Pisqa 28.</w:t>
      </w:r>
    </w:p>
    <w:p>
      <w:pPr>
        <w:pStyle w:val="Normal"/>
        <w:rPr/>
      </w:pPr>
      <w:r>
        <w:rPr/>
        <w:t xml:space="preserve">133. Targum on Isaiah 9:5.</w:t>
      </w:r>
    </w:p>
    <w:p>
      <w:pPr>
        <w:pStyle w:val="Normal"/>
        <w:rPr/>
      </w:pPr>
      <w:r>
        <w:rPr/>
        <w:t xml:space="preserve">134. Genesis 49:8-12.</w:t>
      </w:r>
    </w:p>
    <w:p>
      <w:pPr>
        <w:pStyle w:val="Normal"/>
        <w:rPr/>
      </w:pPr>
      <w:r>
        <w:rPr/>
        <w:t xml:space="preserve">135. This probably comes from the word shalwah, which means peace, serenity. Zadok Kahn translates the name “the Peaceful One.”</w:t>
      </w:r>
    </w:p>
    <w:p>
      <w:pPr>
        <w:pStyle w:val="Normal"/>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rPr>
        <w:t xml:space="preserve">i.e.</w:t>
      </w:r>
      <w:r>
        <w:rPr/>
        <w:t xml:space="preserve"> the Messiah.</w:t>
      </w:r>
    </w:p>
    <w:p>
      <w:pPr>
        <w:pStyle w:val="Normal"/>
        <w:rPr/>
      </w:pPr>
      <w:r>
        <w:rPr/>
        <w:t xml:space="preserve">137. Cf. Psalm 2:6-10.</w:t>
      </w:r>
    </w:p>
    <w:p>
      <w:pPr>
        <w:pStyle w:val="Normal"/>
        <w:rPr/>
      </w:pPr>
      <w:r>
        <w:rPr/>
        <w:t xml:space="preserve">138. Sukkah 52a.</w:t>
      </w:r>
    </w:p>
    <w:p>
      <w:pPr>
        <w:pStyle w:val="Normal"/>
        <w:rPr/>
      </w:pPr>
      <w:r>
        <w:rP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rPr/>
      </w:pPr>
      <w:r>
        <w:rPr/>
        <w:t xml:space="preserve">140. Cf. Isaiah 11:1-6.</w:t>
      </w:r>
    </w:p>
    <w:p>
      <w:pPr>
        <w:pStyle w:val="Normal"/>
        <w:rPr/>
      </w:pPr>
      <w:r>
        <w:rPr/>
        <w:t xml:space="preserve">141. Genesis Rabbah 2:4, on Genesis 1:2 (Soncino ed., p. 17).</w:t>
      </w:r>
    </w:p>
    <w:p>
      <w:pPr>
        <w:pStyle w:val="Normal"/>
        <w:rPr/>
      </w:pPr>
      <w:r>
        <w:rP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rPr/>
      </w:pPr>
      <w:r>
        <w:rPr/>
        <w:t xml:space="preserve">143. Bereshith Rabbati, on Genesis 37:22.</w:t>
      </w:r>
    </w:p>
    <w:p>
      <w:pPr>
        <w:pStyle w:val="Normal"/>
        <w:rPr/>
      </w:pPr>
      <w:r>
        <w:rPr/>
        <w:t xml:space="preserve">144. Tehillim Rabbati (Rabbi Mosheh Hadarshan) on Psalm 85.12.</w:t>
      </w:r>
    </w:p>
    <w:p>
      <w:pPr>
        <w:pStyle w:val="Normal"/>
        <w:rPr/>
      </w:pPr>
      <w:r>
        <w:rPr/>
        <w:t xml:space="preserve">145. Parallelism is a literary device which consists of making words, entire phrases, or even chapters correspond to each other in a variable process of reciprocal reference.</w:t>
      </w:r>
    </w:p>
    <w:p>
      <w:pPr>
        <w:pStyle w:val="Normal"/>
        <w:rPr/>
      </w:pPr>
      <w:r>
        <w:rP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rPr/>
      </w:pPr>
      <w:r>
        <w:rPr/>
        <w:t xml:space="preserve">The fact is that it unfolds in a concentric manner and in that way is led to repeat the same theme, to specify it, to develop it, and to compass it in all its aspects.</w:t>
      </w:r>
    </w:p>
    <w:p>
      <w:pPr>
        <w:pStyle w:val="Normal"/>
        <w:rPr/>
      </w:pPr>
      <w:r>
        <w:rP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rPr/>
      </w:pPr>
      <w:r>
        <w:rPr/>
        <w:t xml:space="preserve">(1) The simple method. The second stich repeats the first in synonymous terms (Genesis 4:23); see Isaiah 27:1, above p. 47.</w:t>
      </w:r>
    </w:p>
    <w:p>
      <w:pPr>
        <w:pStyle w:val="Normal"/>
        <w:rPr/>
      </w:pPr>
      <w:r>
        <w:rPr/>
        <w:t xml:space="preserve">(2) The synthetic or complementary’ method. The second stich completes the idea of the first (Psalm 1:2); see Daniel 9:24, pp. 63, 64.</w:t>
      </w:r>
    </w:p>
    <w:p>
      <w:pPr>
        <w:pStyle w:val="Normal"/>
        <w:rPr/>
      </w:pPr>
      <w:r>
        <w:rPr/>
        <w:t xml:space="preserve">(3) The antithetic method. Two contrary expression are placed together in order to make them produce a contrast (Proverbs 10:1); see Micah 4 and 5, on pp. 56, 57.</w:t>
      </w:r>
    </w:p>
    <w:p>
      <w:pPr>
        <w:pStyle w:val="Normal"/>
        <w:rPr/>
      </w:pPr>
      <w:r>
        <w:rPr/>
        <w:t xml:space="preserve">(4) The chiastic or criss-cross method. The two expressions criss-cross each other, suggesting the form of the Greek letter Chi, (Genesis 9:6); see Micah 4:8 and 5:3b; 5:1; 4:14, on pp. 63, 64. Daniel 9:25-27, p. 65.</w:t>
      </w:r>
    </w:p>
    <w:p>
      <w:pPr>
        <w:pStyle w:val="Normal"/>
        <w:rPr/>
      </w:pPr>
      <w:r>
        <w:rPr/>
        <w:t xml:space="preserve">(5) The progressive method. The same thought is expressed in a manner increasingly more and more intense and more specific (Psalm 29:1); see Daniel 9:25, 26, on p. 65.</w:t>
      </w:r>
    </w:p>
    <w:p>
      <w:pPr>
        <w:pStyle w:val="Normal"/>
        <w:rPr/>
      </w:pPr>
      <w:r>
        <w:rP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rPr/>
      </w:pPr>
      <w:r>
        <w:rP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rPr/>
      </w:pPr>
      <w:r>
        <w:rP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rPr/>
      </w:pPr>
      <w:r>
        <w:rPr/>
        <w:t xml:space="preserve">146. This is equally the case with Genesis 1 and 2 (cf. U. Cassuto, La questione della Genesi. p. 258).</w:t>
      </w:r>
    </w:p>
    <w:p>
      <w:pPr>
        <w:pStyle w:val="Normal"/>
        <w:rPr/>
      </w:pPr>
      <w:r>
        <w:rPr/>
        <w:t xml:space="preserve">147. T. J. Berakoth 5a.</w:t>
      </w:r>
    </w:p>
    <w:p>
      <w:pPr>
        <w:pStyle w:val="Normal"/>
        <w:rPr/>
      </w:pPr>
      <w:r>
        <w:rPr/>
        <w:t xml:space="preserve">148. Bereshith Rabbati, on Genesis 49:10.</w:t>
      </w:r>
    </w:p>
    <w:p>
      <w:pPr>
        <w:pStyle w:val="Normal"/>
        <w:rPr/>
      </w:pPr>
      <w:r>
        <w:rPr/>
        <w:t xml:space="preserve">149. Cf. the Targum of Jonathan in its version of the passages - see especially verses 4:7-8 and 5:1.</w:t>
      </w:r>
    </w:p>
    <w:p>
      <w:pPr>
        <w:pStyle w:val="Normal"/>
        <w:rPr/>
      </w:pPr>
      <w:r>
        <w:rPr/>
        <w:t xml:space="preserve">150. Cf. Yoma 10a, Sanhedrin 18b, Sukkah 52b, Song of Songs Rabbah 8, etc.; Targum of Jonathan on Micah 4:7, 8; Micah 5:1; </w:t>
      </w:r>
      <w:r>
        <w:rPr>
          <w:rStyle w:val="0Text"/>
        </w:rPr>
        <w:t xml:space="preserve">etc.</w:t>
      </w:r>
    </w:p>
    <w:p>
      <w:pPr>
        <w:pStyle w:val="Normal"/>
        <w:rPr/>
      </w:pPr>
      <w:r>
        <w:rPr/>
        <w:t xml:space="preserve">151. Genesis Rabbah 56:16; cf. also Midrash on Psalm 126:3.</w:t>
      </w:r>
    </w:p>
    <w:p>
      <w:pPr>
        <w:pStyle w:val="Normal"/>
        <w:rPr/>
      </w:pPr>
      <w:r>
        <w:rPr/>
        <w:t xml:space="preserve">152. A. and R. Neher, Histoire Biblique du Peuple d’lsrael, p. 305.</w:t>
      </w:r>
    </w:p>
    <w:p>
      <w:pPr>
        <w:pStyle w:val="Normal"/>
        <w:rPr/>
      </w:pPr>
      <w:r>
        <w:rPr/>
        <w:t xml:space="preserve">153. Cf. Genesis 22.</w:t>
      </w:r>
    </w:p>
    <w:p>
      <w:pPr>
        <w:pStyle w:val="Normal"/>
        <w:rPr/>
      </w:pPr>
      <w:r>
        <w:rPr/>
        <w:t xml:space="preserve">154. Cf. 1 Chronicles 21:15, 16.</w:t>
      </w:r>
    </w:p>
    <w:p>
      <w:pPr>
        <w:pStyle w:val="Normal"/>
        <w:rPr/>
      </w:pPr>
      <w:r>
        <w:rPr/>
        <w:t xml:space="preserve">155. Cf. 1 Chronicles 21:28 to 22:1.</w:t>
      </w:r>
    </w:p>
    <w:p>
      <w:pPr>
        <w:pStyle w:val="Normal"/>
        <w:rPr/>
      </w:pPr>
      <w:r>
        <w:rPr/>
        <w:t xml:space="preserve">156. Aboth de R. Nathan 34.</w:t>
      </w:r>
    </w:p>
    <w:p>
      <w:pPr>
        <w:pStyle w:val="Normal"/>
        <w:rPr/>
      </w:pPr>
      <w:r>
        <w:rPr/>
        <w:t xml:space="preserve">157. Philo, Legum allegoria, III.79-80 (Loeb ed., vol. I, p. 353).</w:t>
      </w:r>
    </w:p>
    <w:p>
      <w:pPr>
        <w:pStyle w:val="Normal"/>
        <w:rPr/>
      </w:pPr>
      <w:r>
        <w:rPr/>
        <w:t xml:space="preserve">158. Baba Bathra 75b. Cf. Midrash on Psalm 21:1 - “Just as He names the Messiah by His own name, so will He also name Jerusalem by His own name.”</w:t>
      </w:r>
    </w:p>
    <w:p>
      <w:pPr>
        <w:pStyle w:val="Normal"/>
        <w:rPr/>
      </w:pPr>
      <w:r>
        <w:rPr/>
        <w:t xml:space="preserve">159. Cf. 2 Kings 9 and Hosea 1:4.</w:t>
      </w:r>
    </w:p>
    <w:p>
      <w:pPr>
        <w:pStyle w:val="Normal"/>
        <w:rPr/>
      </w:pPr>
      <w:r>
        <w:rPr/>
        <w:t xml:space="preserve">160. For the dialectic between Jerusalem and Bethlehem, see the parallelism in Micah, above on pp. 56, 57.</w:t>
      </w:r>
    </w:p>
    <w:p>
      <w:pPr>
        <w:pStyle w:val="Normal"/>
        <w:rPr/>
      </w:pPr>
      <w:r>
        <w:rPr/>
        <w:t xml:space="preserve">161. Sanhedrin 98a.</w:t>
      </w:r>
    </w:p>
    <w:p>
      <w:pPr>
        <w:pStyle w:val="Normal"/>
        <w:rPr/>
      </w:pPr>
      <w:r>
        <w:rPr/>
        <w:t xml:space="preserve">162. For his coming on the foal of an ass, see Baruch Rab, section 13 on Genesis 32:5; Tanhuma on Genesis 32:5; </w:t>
      </w:r>
      <w:r>
        <w:rPr>
          <w:rStyle w:val="0Text"/>
        </w:rPr>
        <w:t xml:space="preserve">etc.</w:t>
      </w:r>
    </w:p>
    <w:p>
      <w:pPr>
        <w:pStyle w:val="Normal"/>
        <w:rPr/>
      </w:pPr>
      <w:r>
        <w:rPr/>
        <w:t xml:space="preserve">For his coming “on” the clouds, see Numbers Rabbah 13:13-14.</w:t>
      </w:r>
    </w:p>
    <w:p>
      <w:pPr>
        <w:pStyle w:val="Normal"/>
        <w:rPr/>
      </w:pPr>
      <w:r>
        <w:rPr/>
        <w:t xml:space="preserve">163. Cf. note 145 on parallelism.</w:t>
      </w:r>
    </w:p>
    <w:p>
      <w:pPr>
        <w:pStyle w:val="Normal"/>
        <w:rPr/>
      </w:pPr>
      <w:r>
        <w:rP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rPr/>
      </w:pPr>
      <w:r>
        <w:rPr/>
        <w:t xml:space="preserve">165. The holy of holies (qodesh qodashim) is the technical term which in the Hebrew Bible designates this apartment of the Temple (cf. Exodus 26:33, 34).</w:t>
      </w:r>
    </w:p>
    <w:p>
      <w:pPr>
        <w:pStyle w:val="Normal"/>
        <w:rPr/>
      </w:pPr>
      <w:r>
        <w:rPr/>
        <w:t xml:space="preserve">166. This refers to the covering of the Ark of the Covenant, the box or chest containing the tables of the Law (cf. Exodus 4:20; Deuteronomy 10:1-5).</w:t>
      </w:r>
    </w:p>
    <w:p>
      <w:pPr>
        <w:pStyle w:val="Normal"/>
        <w:rPr/>
      </w:pPr>
      <w:r>
        <w:rP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rPr/>
      </w:pPr>
      <w:r>
        <w:rPr/>
        <w:t xml:space="preserve">168. The expression ayn lo appears to be a contraction of the expression which is found elsewhere in the book of Daniel (Daniel 11:45): ayn ozer lo, and which means “no one to help him.”</w:t>
      </w:r>
    </w:p>
    <w:p>
      <w:pPr>
        <w:pStyle w:val="Normal"/>
        <w:rPr/>
      </w:pPr>
      <w:r>
        <w:rPr/>
        <w:t xml:space="preserve">169. This punctuation goes back to the tenth century of our era.</w:t>
      </w:r>
    </w:p>
    <w:p>
      <w:pPr>
        <w:pStyle w:val="Normal"/>
        <w:rPr/>
      </w:pPr>
      <w:r>
        <w:rPr/>
        <w:t xml:space="preserve">170. The Peshitta is a translation in the Syriac language written about the second century A.D.</w:t>
      </w:r>
    </w:p>
    <w:p>
      <w:pPr>
        <w:pStyle w:val="Normal"/>
        <w:rPr/>
      </w:pPr>
      <w:r>
        <w:rP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rPr/>
      </w:pPr>
      <w:r>
        <w:rPr/>
        <w:t xml:space="preserve">172. This mode of interpretation is also found in the Essene writings of the Dead Sea manuscripts. The seventy weeks are in these writings converted to 490 years, a period they also have terminating at the coming of the “Teacher of Righteousness”:</w:t>
      </w:r>
    </w:p>
    <w:p>
      <w:pPr>
        <w:pStyle w:val="Normal"/>
        <w:rPr/>
      </w:pPr>
      <w:r>
        <w:rPr/>
        <w:t xml:space="preserve">“</w:t>
      </w:r>
      <w:r>
        <w:rP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rPr/>
      </w:pPr>
      <w:r>
        <w:rPr/>
        <w:t xml:space="preserve">173. Nazir 32b.</w:t>
      </w:r>
    </w:p>
    <w:p>
      <w:pPr>
        <w:pStyle w:val="Normal"/>
        <w:rPr/>
      </w:pPr>
      <w:r>
        <w:rPr/>
        <w:t xml:space="preserve">174. Yoma 54a.</w:t>
      </w:r>
    </w:p>
    <w:p>
      <w:pPr>
        <w:pStyle w:val="Normal"/>
        <w:rPr/>
      </w:pPr>
      <w:r>
        <w:rPr/>
        <w:t xml:space="preserve">175. Lamentations Rabbah 34.</w:t>
      </w:r>
    </w:p>
    <w:p>
      <w:pPr>
        <w:pStyle w:val="Normal"/>
        <w:rPr/>
      </w:pPr>
      <w:r>
        <w:rP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rPr/>
      </w:pPr>
      <w:r>
        <w:rP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rPr/>
      </w:pPr>
      <w:r>
        <w:rPr/>
        <w:t xml:space="preserve">177. Cf. note 172.</w:t>
      </w:r>
    </w:p>
    <w:p>
      <w:pPr>
        <w:pStyle w:val="Normal"/>
        <w:rPr/>
      </w:pPr>
      <w:r>
        <w:rP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rPr/>
      </w:pPr>
      <w:r>
        <w:rP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rPr/>
      </w:pPr>
      <w:r>
        <w:rP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rPr/>
      </w:pPr>
      <w:r>
        <w:rPr/>
        <w:t xml:space="preserve">For the Mishnah as w ell as the Talmud, the year of reign in the Bible must begin in Tishri (cf. Mishnah, Rosh haShanah 1:1 and T.B. Rosh haShanah 3:72; cf. also the commentary in Hebrew of Hartom-Cassuto on the verse in Nehemiah 1:1).</w:t>
      </w:r>
    </w:p>
    <w:p>
      <w:pPr>
        <w:pStyle w:val="Normal"/>
        <w:rPr/>
      </w:pPr>
      <w:r>
        <w:rP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rPr/>
      </w:pPr>
      <w:r>
        <w:rPr/>
        <w:t xml:space="preserve">179. The use of the verb ykaret is very suggestive in this connection. The verb is regularly used in the Bible to designate the execution of an offender ‘cf. Numbers 15:31; Leviticus 20:17), or, in a broader sense, a massacre f cf. Isaiah 1 1.13, Micah 5:8).</w:t>
      </w:r>
    </w:p>
    <w:p>
      <w:pPr>
        <w:pStyle w:val="Normal"/>
        <w:rPr/>
      </w:pPr>
      <w:r>
        <w:rPr/>
        <w:t xml:space="preserve">180. Flavius Josephus, Jewish Antiquities 10.11.7.</w:t>
      </w:r>
    </w:p>
    <w:p>
      <w:pPr>
        <w:pStyle w:val="Normal"/>
        <w:rPr/>
      </w:pPr>
      <w:r>
        <w:rPr/>
        <w:t xml:space="preserve">181. Flavius Josephus was born A.D. 37.</w:t>
      </w:r>
    </w:p>
    <w:p>
      <w:pPr>
        <w:pStyle w:val="Normal"/>
        <w:rPr/>
      </w:pPr>
      <w:r>
        <w:rPr/>
        <w:t xml:space="preserve">182. Josephus, ibid.</w:t>
      </w:r>
    </w:p>
    <w:p>
      <w:pPr>
        <w:pStyle w:val="Normal"/>
        <w:rPr/>
      </w:pPr>
      <w:r>
        <w:rPr/>
        <w:t xml:space="preserve">183. Berakoth 12b.</w:t>
      </w:r>
    </w:p>
    <w:p>
      <w:pPr>
        <w:pStyle w:val="Normal"/>
        <w:rPr/>
      </w:pPr>
      <w:r>
        <w:rPr/>
        <w:t xml:space="preserve">184. Even circumcision could be interpreted in this sense Subsumed under the idea of sacrifice, it appeared in the Old Testament as having the effect of appeasing the anger of God.</w:t>
      </w:r>
    </w:p>
    <w:p>
      <w:pPr>
        <w:pStyle w:val="Normal"/>
        <w:rPr/>
      </w:pPr>
      <w:r>
        <w:rPr/>
        <w:t xml:space="preserve">This is the explanation of the episode concerning Moses (the bloody husband i. threatened with death by God simply because he had neglected to practice circumcision (cf. Exodus 4:24-26).</w:t>
      </w:r>
    </w:p>
    <w:p>
      <w:pPr>
        <w:pStyle w:val="Normal"/>
        <w:rPr/>
      </w:pPr>
      <w:r>
        <w:rPr/>
        <w:t xml:space="preserve">In that way of thinking we can also explain the relation between circumcision and the Passover lamb - symbol of the grace of God which passes over” ‘ cf. Exodus 12:43-49; Joshua 5:2-9).</w:t>
      </w:r>
    </w:p>
    <w:p>
      <w:pPr>
        <w:pStyle w:val="Normal"/>
        <w:rPr/>
      </w:pPr>
      <w:r>
        <w:rP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rPr/>
      </w:pPr>
      <w:r>
        <w:rPr/>
        <w:t xml:space="preserve">According to this last interpretation, circumcision would be an allusion to the ultimate rending of the Creator, who did not hesitate, in order to save man, to “mutilate His very Self.</w:t>
      </w:r>
    </w:p>
    <w:p>
      <w:pPr>
        <w:pStyle w:val="Normal"/>
        <w:rPr/>
      </w:pPr>
      <w:r>
        <w:rPr/>
        <w:t xml:space="preserve">As a matter of fact, the Hebrew word Berith Milah would already suggest such an interpretation, Berith Milah means the covenant of cutting, “or more precisely the “cutting of cutting, which is a superlative, the cutting par excellence</w:t>
      </w:r>
    </w:p>
    <w:p>
      <w:pPr>
        <w:pStyle w:val="Normal"/>
        <w:rPr/>
      </w:pPr>
      <w:r>
        <w:rPr/>
        <w:t xml:space="preserve">Beyond circumcision we can catch a glimpse of the various aspects of the Messianic ministry sacrifice, rending, covenant, </w:t>
      </w:r>
      <w:r>
        <w:rPr>
          <w:rStyle w:val="0Text"/>
        </w:rPr>
        <w:t xml:space="preserve">etc.</w:t>
      </w:r>
      <w:r>
        <w:rPr/>
        <w:t xml:space="preserve"> at the level of the very Person of the Creator.</w:t>
      </w:r>
    </w:p>
    <w:p>
      <w:pPr>
        <w:pStyle w:val="Normal"/>
        <w:rPr/>
      </w:pPr>
      <w:r>
        <w:rPr/>
        <w:t xml:space="preserve">185. Jewish Antiquities 18.3.3 The passage is considered to be among the most securely authentic by all scholars, whether Jewish or Christian(cf Ch. Guignebert. Jesus, pp. 16-1”, and J Klausner. Jesus of Nazareth. Pp. 55-57).</w:t>
      </w:r>
    </w:p>
    <w:p>
      <w:pPr>
        <w:pStyle w:val="Normal"/>
        <w:rPr/>
      </w:pPr>
      <w:r>
        <w:rPr/>
        <w:t xml:space="preserve">186. Luke 3 1. 23. According to this passage. Jesus began His ministry in the fifteenth year of the reign of Tiberius Caesar, from the moment when He was baptized and anointed (meshiah) by the Spirit of God (cf. Luke3:21. 22).</w:t>
      </w:r>
    </w:p>
    <w:p>
      <w:pPr>
        <w:pStyle w:val="Normal"/>
        <w:rPr/>
      </w:pPr>
      <w:r>
        <w:rP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rPr/>
      </w:pPr>
      <w:r>
        <w:rP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rPr/>
      </w:pPr>
      <w:r>
        <w:rP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rPr/>
      </w:pPr>
      <w:r>
        <w:rP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rPr/>
      </w:pPr>
      <w:r>
        <w:rP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rPr/>
      </w:pPr>
      <w:r>
        <w:rPr/>
        <w:t xml:space="preserve">187. Cf. Ld. Fleg, Jesus raconte par le juif errant, p. 21. Cf. Sanhedrin 97b; Luke 2:25, 26.</w:t>
      </w:r>
    </w:p>
    <w:p>
      <w:pPr>
        <w:pStyle w:val="Normal"/>
        <w:rPr/>
      </w:pPr>
      <w:r>
        <w:rPr/>
        <w:t xml:space="preserve">188. According to the Gospels, Jesus celebrated the Passover four times (cf John 2:13; 5:1; 6:4; 13:1).</w:t>
      </w:r>
    </w:p>
    <w:p>
      <w:pPr>
        <w:pStyle w:val="Normal"/>
        <w:rPr/>
      </w:pPr>
      <w:r>
        <w:rPr/>
        <w:t xml:space="preserve">189. Cf. Ch. Guignebert, Jesus, p. 21;cf. H. L. Strack, Jesus, die Haretiker und die Christen nach den altesten judisehen Angaben.</w:t>
      </w:r>
    </w:p>
    <w:p>
      <w:pPr>
        <w:pStyle w:val="Normal"/>
        <w:rPr/>
      </w:pPr>
      <w:r>
        <w:rP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rPr/>
      </w:pPr>
      <w:r>
        <w:rPr/>
        <w:t xml:space="preserve">191 Cf. Tipheret, chapter 29.</w:t>
      </w:r>
    </w:p>
    <w:p>
      <w:pPr>
        <w:pStyle w:val="Normal"/>
        <w:rPr/>
      </w:pPr>
      <w:r>
        <w:rPr/>
        <w:t xml:space="preserve">192. Samson R. Hirsch, Ten letters on Judaism, No. 18. Hirsch was a German rabbi who became the champion of Orthodox Judaism in opposition to the Reform movement and assimilationism.</w:t>
      </w:r>
    </w:p>
    <w:p>
      <w:pPr>
        <w:pStyle w:val="Normal"/>
        <w:rPr/>
      </w:pPr>
      <w:r>
        <w:rPr/>
        <w:t xml:space="preserve">193. See his drama, Nathan the Wise.</w:t>
      </w:r>
    </w:p>
    <w:p>
      <w:pPr>
        <w:pStyle w:val="Normal"/>
        <w:rPr/>
      </w:pPr>
      <w:r>
        <w:rP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rPr/>
      </w:pPr>
      <w:r>
        <w:rPr/>
        <w:t xml:space="preserve">195. Le Judai’sme, p. 74.</w:t>
      </w:r>
    </w:p>
    <w:p>
      <w:pPr>
        <w:pStyle w:val="Normal"/>
        <w:rPr/>
      </w:pPr>
      <w:r>
        <w:rP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rPr/>
      </w:pPr>
      <w:r>
        <w:rPr/>
        <w:t xml:space="preserve">197. L’enseignement de leschoua de Nazareth, p. 122.</w:t>
      </w:r>
    </w:p>
    <w:p>
      <w:pPr>
        <w:pStyle w:val="Normal"/>
        <w:rPr/>
      </w:pPr>
      <w:r>
        <w:rPr/>
        <w:t xml:space="preserve">198. Shabbath 128a.</w:t>
      </w:r>
    </w:p>
    <w:p>
      <w:pPr>
        <w:pStyle w:val="Normal"/>
        <w:rPr/>
      </w:pPr>
      <w:r>
        <w:rPr/>
        <w:t xml:space="preserve">199. L’enseignement de leschoua de Nazareth, p. 122. Cf. also Burton Scott Easton, Christ in the Gospels, pp. 82-139.</w:t>
      </w:r>
    </w:p>
    <w:p>
      <w:pPr>
        <w:pStyle w:val="Normal"/>
        <w:rPr/>
      </w:pPr>
      <w:r>
        <w:rPr/>
        <w:t xml:space="preserve">200. “The scribes and the Pharisees sit on Moses’ seat,” affirmed Jesus, “so practice and observe whatever they tell you!” This he said to his disciples. (Matthew 23:2, 3.)</w:t>
      </w:r>
    </w:p>
    <w:p>
      <w:pPr>
        <w:pStyle w:val="Normal"/>
        <w:rPr/>
      </w:pPr>
      <w:r>
        <w:rP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rPr/>
      </w:pPr>
      <w:r>
        <w:rPr/>
        <w:t xml:space="preserve">201. The examples chosen to illustrate his thesis are taken from the Decalogue: “Thou shalt not commit adultery… thou shalt not kill” (James 2.11).</w:t>
      </w:r>
    </w:p>
    <w:p>
      <w:pPr>
        <w:pStyle w:val="Normal"/>
        <w:rPr/>
      </w:pPr>
      <w:r>
        <w:rP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rPr/>
      </w:pPr>
      <w:r>
        <w:rP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rPr/>
      </w:pPr>
      <w:r>
        <w:rPr/>
        <w:t xml:space="preserve">204. The Hebrew word Teshub, which translates the idea of repentance, literally means “a turning back.”</w:t>
      </w:r>
    </w:p>
    <w:p>
      <w:pPr>
        <w:pStyle w:val="Normal"/>
        <w:rPr/>
      </w:pPr>
      <w:r>
        <w:rPr/>
        <w:t xml:space="preserve">205. “What can be substituted for the oxen which we used to offer unto Thee? Our lips, with the prayer which we offer unto Thee.” Pesiqta 165b. Cf. Hebrews 13:15.</w:t>
      </w:r>
    </w:p>
    <w:p>
      <w:pPr>
        <w:pStyle w:val="Normal"/>
        <w:rPr/>
      </w:pPr>
      <w:r>
        <w:rPr/>
        <w:t xml:space="preserve">206. L’enseignement de leschoua de Nazareth, pp. 137, 138. Cf. also F. Lovsky, La dechirure de I’absence.)</w:t>
      </w:r>
    </w:p>
    <w:p>
      <w:pPr>
        <w:pStyle w:val="Normal"/>
        <w:rPr/>
      </w:pPr>
      <w:r>
        <w:rPr/>
        <w:t xml:space="preserve">207. Page 129. On the Jewish side, note especially the works of Sch. BenChorin, Bruder Jesus: Der Nazarener in judischer Sicht; David Flusser, Jesus; and other authors such as Joseph Klausner, Salomon Asch, R. Aron, </w:t>
      </w:r>
      <w:r>
        <w:rPr>
          <w:rStyle w:val="0Text"/>
        </w:rPr>
        <w:t xml:space="preserve">etc.</w:t>
      </w:r>
    </w:p>
    <w:p>
      <w:pPr>
        <w:pStyle w:val="Normal"/>
        <w:rPr/>
      </w:pPr>
      <w:r>
        <w:rPr/>
        <w:t xml:space="preserve">208. Revue Biblique (1910), p. 10.</w:t>
      </w:r>
    </w:p>
    <w:p>
      <w:pPr>
        <w:pStyle w:val="Normal"/>
        <w:rPr/>
      </w:pPr>
      <w:r>
        <w:rP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rPr/>
      </w:pPr>
      <w:r>
        <w:rP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rPr/>
      </w:pPr>
      <w:r>
        <w:rP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rPr/>
      </w:pPr>
      <w:r>
        <w:rP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rPr/>
      </w:pPr>
      <w:r>
        <w:rPr/>
        <w:t xml:space="preserve">213. Flavius Josephus, Jewish Antiquities 28.8.</w:t>
      </w:r>
    </w:p>
    <w:p>
      <w:pPr>
        <w:pStyle w:val="Normal"/>
        <w:rPr/>
      </w:pPr>
      <w:r>
        <w:rPr/>
        <w:t xml:space="preserve">214. This refers to the family of Caiaphas.</w:t>
      </w:r>
    </w:p>
    <w:p>
      <w:pPr>
        <w:pStyle w:val="Normal"/>
        <w:rPr/>
      </w:pPr>
      <w:r>
        <w:rPr/>
        <w:t xml:space="preserve">215. J. Klausner, Jesus of Nazareth, p. 337. According to the author, the term “whisperings” alludes to the secret denunciations.</w:t>
      </w:r>
    </w:p>
    <w:p>
      <w:pPr>
        <w:pStyle w:val="Normal"/>
        <w:rPr/>
      </w:pPr>
      <w:r>
        <w:rPr/>
        <w:t xml:space="preserve">216. Jules Isaac, Jesus et Israel, p. 93.</w:t>
      </w:r>
    </w:p>
    <w:p>
      <w:pPr>
        <w:pStyle w:val="Normal"/>
        <w:rPr/>
      </w:pPr>
      <w:r>
        <w:rP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rPr/>
      </w:pPr>
      <w:r>
        <w:rPr/>
        <w:t xml:space="preserve">218. Cf. Daniel-Rops, Jesus and His Times, p. 517; and Isaac, Jesus et Israel, pp. 341-343.</w:t>
      </w:r>
    </w:p>
    <w:p>
      <w:pPr>
        <w:pStyle w:val="Normal"/>
        <w:rPr/>
      </w:pPr>
      <w:r>
        <w:rPr/>
        <w:t xml:space="preserve">219. Cf. James 5:1-6. The apostle accuses the rich of having condemned and killed the Righteous Man. The priestly caste, known for its affluence and its rapacity (see above) is seen here.</w:t>
      </w:r>
    </w:p>
    <w:p>
      <w:pPr>
        <w:pStyle w:val="Normal"/>
        <w:rPr/>
      </w:pPr>
      <w:r>
        <w:rP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rPr/>
      </w:pPr>
      <w:r>
        <w:rPr/>
        <w:t xml:space="preserve">221. According to Daniel-Rops, it was about 5:00 a.m. (cf. op. cit., p. 422).</w:t>
      </w:r>
    </w:p>
    <w:p>
      <w:pPr>
        <w:pStyle w:val="Normal"/>
        <w:rPr/>
      </w:pPr>
      <w:r>
        <w:rPr/>
        <w:t xml:space="preserve">222. According to the majority of historians, it was not until the fourth century that the accusation of deicide arose. (Cf. Marcel Simon, Verus Israel, and F. Lovsky, Antisemitisme et Mystere d’lsrael.)</w:t>
      </w:r>
    </w:p>
    <w:p>
      <w:pPr>
        <w:pStyle w:val="Normal"/>
        <w:rPr/>
      </w:pPr>
      <w:r>
        <w:rPr/>
        <w:t xml:space="preserve">223. See, for example, the translation of Isaiah 53:8 in the Bible of Zadok Kahn.</w:t>
      </w:r>
    </w:p>
    <w:p>
      <w:pPr>
        <w:pStyle w:val="Normal"/>
        <w:rPr/>
      </w:pPr>
      <w:r>
        <w:rPr/>
        <w:t xml:space="preserve">224. On this subject see G. Friedmann, “Antisemitisme et personnalite” juive, in Fin du peuplejuif, pp. 317 ff.</w:t>
      </w:r>
    </w:p>
    <w:p>
      <w:pPr>
        <w:pStyle w:val="Normal"/>
        <w:rPr/>
      </w:pPr>
      <w:r>
        <w:rPr/>
        <w:t xml:space="preserve">225. See Luther’s tract, Dass Jesus Christus ein geborner Jude sei.</w:t>
      </w:r>
    </w:p>
    <w:p>
      <w:pPr>
        <w:pStyle w:val="Normal"/>
        <w:rPr/>
      </w:pPr>
      <w:r>
        <w:rPr/>
        <w:t xml:space="preserve">226. E. Amado Levi-Valensi, La Racine et la Source, p. 99.</w:t>
      </w:r>
    </w:p>
    <w:p>
      <w:pPr>
        <w:pStyle w:val="Normal"/>
        <w:rPr/>
      </w:pPr>
      <w:r>
        <w:rPr/>
        <w:t xml:space="preserve">227. Cited by Max Picard in Le monde du silence, p. 184.</w:t>
      </w:r>
    </w:p>
    <w:p>
      <w:pPr>
        <w:pStyle w:val="Normal"/>
        <w:rPr/>
      </w:pPr>
      <w:r>
        <w:rPr/>
        <w:t xml:space="preserve">228. Je’sus et Israel, p 5 5H</w:t>
      </w:r>
    </w:p>
    <w:p>
      <w:pPr>
        <w:pStyle w:val="Normal"/>
        <w:rPr/>
      </w:pPr>
      <w:r>
        <w:rPr/>
        <w:t xml:space="preserve">229. E. Amado Levi-Valensi, op. cit., p. 21. (Cf. R Loewenstein, Psychanalyse de l’Antisemitisme.</w:t>
      </w:r>
    </w:p>
    <w:p>
      <w:pPr>
        <w:pStyle w:val="Normal"/>
        <w:rPr/>
      </w:pPr>
      <w:r>
        <w:rP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rPr/>
      </w:pPr>
      <w:r>
        <w:rPr/>
        <w:t xml:space="preserve">231. Nostra Aetate 4, 2b.</w:t>
      </w:r>
    </w:p>
    <w:p>
      <w:pPr>
        <w:pStyle w:val="Normal"/>
        <w:rPr/>
      </w:pPr>
      <w:r>
        <w:rPr/>
        <w:t xml:space="preserve">232. Cf. E. Amado Levi-Valensi, op. cit. p 24.</w:t>
      </w:r>
    </w:p>
    <w:p>
      <w:pPr>
        <w:pStyle w:val="Normal"/>
        <w:rPr/>
      </w:pPr>
      <w:r>
        <w:rPr/>
        <w:t xml:space="preserve">233. Cf. Ibid. p 24.</w:t>
      </w:r>
    </w:p>
    <w:p>
      <w:pPr>
        <w:pStyle w:val="Normal"/>
        <w:rPr/>
      </w:pPr>
      <w:r>
        <w:rPr/>
        <w:t xml:space="preserve">234. Cf. our article, “La vocation a la difference,” in Conscience et Liberte No. 8 (International Revue of Religious Liberty).</w:t>
      </w:r>
    </w:p>
    <w:p>
      <w:pPr>
        <w:pStyle w:val="Normal"/>
        <w:rPr/>
      </w:pPr>
      <w:r>
        <w:rPr/>
        <w:t xml:space="preserve">235. L’homme revolte, p. 39.</w:t>
      </w:r>
    </w:p>
    <w:p>
      <w:pPr>
        <w:pStyle w:val="Normal"/>
        <w:rPr/>
      </w:pPr>
      <w:r>
        <w:rPr/>
        <w:t xml:space="preserve">236. I and Thou, p. 11.</w:t>
      </w:r>
    </w:p>
    <w:p>
      <w:pPr>
        <w:pStyle w:val="Normal"/>
        <w:rPr/>
      </w:pPr>
      <w:r>
        <w:rPr/>
        <w:t xml:space="preserve">237. Aboth 1:1.</w:t>
      </w:r>
    </w:p>
    <w:p>
      <w:pPr>
        <w:pStyle w:val="Normal"/>
        <w:rPr/>
      </w:pPr>
      <w:r>
        <w:rPr/>
        <w:t xml:space="preserve">238. La Talmud et ses maitres p. 25.</w:t>
      </w:r>
    </w:p>
    <w:p>
      <w:pPr>
        <w:pStyle w:val="Normal"/>
        <w:rPr/>
      </w:pPr>
      <w:r>
        <w:rPr/>
        <w:t xml:space="preserve">239. Article “Tradition.”</w:t>
      </w:r>
    </w:p>
    <w:p>
      <w:pPr>
        <w:pStyle w:val="Normal"/>
        <w:rPr/>
      </w:pPr>
      <w:r>
        <w:rPr/>
        <w:t xml:space="preserve">240. Article “Tradition.”</w:t>
      </w:r>
    </w:p>
    <w:p>
      <w:pPr>
        <w:pStyle w:val="Normal"/>
        <w:rPr/>
      </w:pPr>
      <w:r>
        <w:rP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rPr/>
      </w:pPr>
      <w:r>
        <w:rPr/>
        <w:t xml:space="preserve">242. Vol III. p 498.</w:t>
      </w:r>
    </w:p>
    <w:p>
      <w:pPr>
        <w:pStyle w:val="Normal"/>
        <w:rPr/>
      </w:pPr>
      <w:r>
        <w:rPr/>
        <w:t xml:space="preserve">243. Presence de l’Eternite, p. 151.</w:t>
      </w:r>
    </w:p>
    <w:p>
      <w:pPr>
        <w:pStyle w:val="Normal"/>
        <w:rPr/>
      </w:pPr>
      <w:r>
        <w:rP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rPr/>
      </w:pPr>
      <w:r>
        <w:rPr/>
        <w:t xml:space="preserve">, as a maxim of the legal profession puts it. That proves that survival after death is a necessity for the human heart, but it does not prove that it is true</w:t>
      </w:r>
    </w:p>
    <w:p>
      <w:pPr>
        <w:pStyle w:val="Normal"/>
        <w:rPr/>
      </w:pPr>
      <w:r>
        <w:rPr/>
        <w:t xml:space="preserve">.Let us be careful not to mistake our wishes, or our needs, for realities.” Op. cit., pp. 110, 111.</w:t>
      </w:r>
    </w:p>
    <w:p>
      <w:pPr>
        <w:pStyle w:val="Normal"/>
        <w:rPr/>
      </w:pPr>
      <w:r>
        <w:rPr/>
        <w:t xml:space="preserve">245. “La Bible et le Probleme de l’au-cela,” in Revue de Theologie et l’Action evangelique, p. 42.</w:t>
      </w:r>
    </w:p>
    <w:p>
      <w:pPr>
        <w:pStyle w:val="Normal"/>
        <w:rPr/>
      </w:pPr>
      <w:r>
        <w:rP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rPr/>
      </w:pPr>
      <w:r>
        <w:rPr/>
        <w:t xml:space="preserve">The two methods reach the same conclusion: monistic anthropology such as found in the Bible cannot be compromised with the dualism implied in the idea of the immortality of the soul.</w:t>
      </w:r>
    </w:p>
    <w:p>
      <w:pPr>
        <w:pStyle w:val="Normal"/>
        <w:rPr/>
      </w:pPr>
      <w:r>
        <w:rP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rPr/>
      </w:pPr>
      <w:r>
        <w:rP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rPr/>
      </w:pPr>
      <w:r>
        <w:rPr/>
        <w:t xml:space="preserve">248. Jerusalem Talmud, Shebith 4 (p. 365).</w:t>
      </w:r>
    </w:p>
    <w:p>
      <w:pPr>
        <w:pStyle w:val="Normal"/>
        <w:rPr/>
      </w:pPr>
      <w:r>
        <w:rPr/>
        <w:t xml:space="preserve">249. Jerusalem Talmud, Berakoth 2 (p. 37).</w:t>
      </w:r>
    </w:p>
    <w:p>
      <w:pPr>
        <w:pStyle w:val="Normal"/>
        <w:rPr/>
      </w:pPr>
      <w:r>
        <w:rP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rPr/>
      </w:pPr>
      <w:r>
        <w:rPr/>
        <w:t xml:space="preserve">251. Dialogue with Trypho 80.3-4.</w:t>
      </w:r>
    </w:p>
    <w:p>
      <w:pPr>
        <w:pStyle w:val="Normal"/>
        <w:rPr/>
      </w:pPr>
      <w:r>
        <w:rP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rPr/>
      </w:pPr>
      <w:r>
        <w:rPr/>
        <w:t xml:space="preserve">253. On this question see in particular the work of T. Boman, Hebrew Thought Compared with Greek, and that of CI. Tresmontant, Essai sur la pensee hebraique.</w:t>
      </w:r>
    </w:p>
    <w:p>
      <w:pPr>
        <w:pStyle w:val="Normal"/>
        <w:rPr/>
      </w:pPr>
      <w:r>
        <w:rP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rPr/>
      </w:pPr>
      <w:r>
        <w:rPr/>
        <w:t xml:space="preserve">254. The apostle Peter expressed it well: “No prophecy ever came by the will of man, but men moved by the Holy Spirit spoke from God.” 2 Peter 1:21.</w:t>
      </w:r>
    </w:p>
    <w:p>
      <w:pPr>
        <w:pStyle w:val="Normal"/>
        <w:rPr/>
      </w:pPr>
      <w:r>
        <w:rPr/>
        <w:t xml:space="preserve">On this subject, see the remarkably fine analysis by Andre Neher in his book, The Prophetic Existence, p. 317 ff., where the author reflects on, among other things, the burden of the prophetic calling.</w:t>
      </w:r>
    </w:p>
    <w:p>
      <w:pPr>
        <w:pStyle w:val="Normal"/>
        <w:rPr/>
      </w:pPr>
      <w:r>
        <w:rP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rPr/>
      </w:pPr>
      <w:r>
        <w:rP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rPr/>
      </w:pPr>
      <w:r>
        <w:rP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rPr/>
      </w:pPr>
      <w:r>
        <w:rPr/>
        <w:t xml:space="preserve">258. It is in this sense that we must understand the biblical expression of “a jealous God.” It belongs to the marriage imagery, which describes the relationship between God and His wife, Israel. The jealousy of God is a corollary of His love.</w:t>
      </w:r>
    </w:p>
    <w:p>
      <w:pPr>
        <w:pStyle w:val="Normal"/>
        <w:rPr/>
      </w:pPr>
      <w:r>
        <w:rPr/>
        <w:t xml:space="preserve">259. Cf. Psalms 139; 11:4, 5; 1 Chronicles 28:9; Hebrews 4:13;etc.</w:t>
      </w:r>
    </w:p>
    <w:p>
      <w:pPr>
        <w:pStyle w:val="Normal"/>
        <w:rPr/>
      </w:pPr>
      <w:r>
        <w:rPr/>
        <w:t xml:space="preserve">260. The verb is used only in reference to God.</w:t>
      </w:r>
    </w:p>
    <w:p>
      <w:pPr>
        <w:pStyle w:val="Normal"/>
        <w:rPr/>
      </w:pPr>
      <w:r>
        <w:rPr/>
        <w:t xml:space="preserve">261. Cf. Deuteronomy 28:10, where the two verbs are in parallelism. The Egyptian language also attests the same connection with reference to the verb NRJ. (Cf. Louis Derousseaux, La crainte de Dieu dans I’Ancien Testament, pp. 25, 26.)</w:t>
      </w:r>
    </w:p>
    <w:p>
      <w:pPr>
        <w:pStyle w:val="Normal"/>
        <w:rPr/>
      </w:pPr>
      <w:r>
        <w:rPr/>
        <w:t xml:space="preserve">262. La culture trahie par les siens, p. 36.</w:t>
      </w:r>
    </w:p>
    <w:p>
      <w:pPr>
        <w:pStyle w:val="Normal"/>
        <w:rPr/>
      </w:pPr>
      <w:r>
        <w:rPr/>
        <w:t xml:space="preserve">263. From Genesis to Malachi, “last canonical prophet of the Bible” (cf. A. Neher, Essence du prophetisme).</w:t>
      </w:r>
    </w:p>
    <w:p>
      <w:pPr>
        <w:pStyle w:val="Normal"/>
        <w:rPr/>
      </w:pPr>
      <w:r>
        <w:rPr/>
        <w:t xml:space="preserve">264. In Hebrew, as in Greek, it is the same word (malakh, angelos). Cf. Malachi 3:1, 23 in the Hebrew Bible (3:1; 4:5 in the Christian Bibles) and Revelation 14:6.</w:t>
      </w:r>
    </w:p>
    <w:p>
      <w:pPr>
        <w:pStyle w:val="Normal"/>
        <w:rPr/>
      </w:pPr>
      <w:r>
        <w:rP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rPr/>
      </w:pPr>
      <w:r>
        <w:rPr/>
        <w:t xml:space="preserve">266. Cf. above our chapter on “The Fear of God.” One encounters this association between Fear of God and Creation in Psalm 33:9, a psalm which is still today a part of the Jewish liturgy for the Sabbath.</w:t>
      </w:r>
    </w:p>
    <w:p>
      <w:pPr>
        <w:pStyle w:val="Normal"/>
        <w:rPr/>
      </w:pPr>
      <w:r>
        <w:rP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rPr/>
      </w:pPr>
      <w:r>
        <w:rP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rPr/>
      </w:pPr>
      <w:r>
        <w:rP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rPr>
        <w:t xml:space="preserve">etc.</w:t>
      </w:r>
      <w:r>
        <w:rPr/>
        <w:t xml:space="preserve"> j, an expression without ambiguity, which is used systematically throughout the Bible in the sense of a day of twenty-four hours.</w:t>
      </w:r>
    </w:p>
    <w:p>
      <w:pPr>
        <w:pStyle w:val="Normal"/>
        <w:rPr/>
      </w:pPr>
      <w:r>
        <w:rPr/>
        <w:t xml:space="preserve">The Sabbath which is in question does not refer to a long period or to a symbol; it is a concrete day which has an evening and a morning, a day intrinsic to human time - of twenty-four hours, a historical day.</w:t>
      </w:r>
    </w:p>
    <w:p>
      <w:pPr>
        <w:pStyle w:val="Normal"/>
        <w:rPr/>
      </w:pPr>
      <w:r>
        <w:rP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0"/>
        <w:rPr/>
      </w:pPr>
      <w:bookmarkStart w:id="31" w:name="Top_of_part0018_xhtml"/>
      <w:bookmarkStart w:id="32" w:name="Table_of_Contents"/>
      <w:bookmarkEnd w:id="31"/>
      <w:bookmarkEnd w:id="32"/>
      <w:r>
        <w:rPr/>
        <w:t xml:space="preserve">Índice</w:t>
      </w:r>
    </w:p>
    <w:p>
      <w:pPr>
        <w:pStyle w:val="Para09"/>
        <w:rPr/>
      </w:pPr>
      <w:hyperlink w:anchor="Top_of_part0003_xhtml">
        <w:r>
          <w:rPr>
            <w:rStyle w:val="LinkdaInternet"/>
          </w:rPr>
          <w:t xml:space="preserve">Prefácio</w:t>
        </w:r>
      </w:hyperlink>
    </w:p>
    <w:p>
      <w:pPr>
        <w:pStyle w:val="Para02"/>
        <w:rPr/>
      </w:pPr>
      <w:hyperlink w:anchor="Top_of_part0004_xhtml">
        <w:r>
          <w:rPr>
            <w:rStyle w:val="LinkdaInternet"/>
          </w:rPr>
          <w:t xml:space="preserve">Prefácio</w:t>
        </w:r>
      </w:hyperlink>
    </w:p>
    <w:p>
      <w:pPr>
        <w:pStyle w:val="Para02"/>
        <w:rPr/>
      </w:pPr>
      <w:hyperlink w:anchor="Top_of_part0005_xhtml">
        <w:r>
          <w:rPr>
            <w:rStyle w:val="LinkdaInternet"/>
          </w:rPr>
          <w:t xml:space="preserve">Introdução</w:t>
        </w:r>
      </w:hyperlink>
    </w:p>
    <w:p>
      <w:pPr>
        <w:pStyle w:val="Para02"/>
        <w:rPr/>
      </w:pPr>
      <w:hyperlink w:anchor="Top_of_part0006_xhtml">
        <w:r>
          <w:rPr>
            <w:rStyle w:val="LinkdaInternet"/>
          </w:rPr>
          <w:t xml:space="preserve">Capítulo 1</w:t>
        </w:r>
      </w:hyperlink>
    </w:p>
    <w:p>
      <w:pPr>
        <w:pStyle w:val="Para02"/>
        <w:rPr/>
      </w:pPr>
      <w:hyperlink w:anchor="Top_of_part0007_xhtml">
        <w:r>
          <w:rPr>
            <w:rStyle w:val="LinkdaInternet"/>
          </w:rPr>
          <w:t xml:space="preserve">Capítulo 2</w:t>
        </w:r>
      </w:hyperlink>
    </w:p>
    <w:p>
      <w:pPr>
        <w:pStyle w:val="Para02"/>
        <w:rPr/>
      </w:pPr>
      <w:hyperlink w:anchor="Top_of_part0008_xhtml">
        <w:r>
          <w:rPr>
            <w:rStyle w:val="LinkdaInternet"/>
          </w:rPr>
          <w:t xml:space="preserve">Capítulo 3</w:t>
        </w:r>
      </w:hyperlink>
    </w:p>
    <w:p>
      <w:pPr>
        <w:pStyle w:val="Para02"/>
        <w:rPr/>
      </w:pPr>
      <w:hyperlink w:anchor="Top_of_part0009_xhtml">
        <w:r>
          <w:rPr>
            <w:rStyle w:val="LinkdaInternet"/>
          </w:rPr>
          <w:t xml:space="preserve">Capítulo 4</w:t>
        </w:r>
      </w:hyperlink>
    </w:p>
    <w:p>
      <w:pPr>
        <w:pStyle w:val="Para02"/>
        <w:rPr/>
      </w:pPr>
      <w:hyperlink w:anchor="Top_of_part0010_xhtml">
        <w:r>
          <w:rPr>
            <w:rStyle w:val="LinkdaInternet"/>
          </w:rPr>
          <w:t xml:space="preserve">Capítulo 5</w:t>
        </w:r>
      </w:hyperlink>
    </w:p>
    <w:p>
      <w:pPr>
        <w:pStyle w:val="Para02"/>
        <w:rPr/>
      </w:pPr>
      <w:hyperlink w:anchor="Top_of_part0011_xhtml">
        <w:r>
          <w:rPr>
            <w:rStyle w:val="LinkdaInternet"/>
          </w:rPr>
          <w:t xml:space="preserve">Capítulo 6</w:t>
        </w:r>
      </w:hyperlink>
    </w:p>
    <w:p>
      <w:pPr>
        <w:pStyle w:val="Para02"/>
        <w:rPr/>
      </w:pPr>
      <w:hyperlink w:anchor="Top_of_part0012_xhtml">
        <w:r>
          <w:rPr>
            <w:rStyle w:val="LinkdaInternet"/>
          </w:rPr>
          <w:t xml:space="preserve">Capítulo 7</w:t>
        </w:r>
      </w:hyperlink>
    </w:p>
    <w:p>
      <w:pPr>
        <w:pStyle w:val="Para02"/>
        <w:rPr/>
      </w:pPr>
      <w:hyperlink w:anchor="Top_of_part0013_xhtml">
        <w:r>
          <w:rPr>
            <w:rStyle w:val="LinkdaInternet"/>
          </w:rPr>
          <w:t xml:space="preserve">Epilogo 8</w:t>
        </w:r>
      </w:hyperlink>
    </w:p>
    <w:p>
      <w:pPr>
        <w:pStyle w:val="Para02"/>
        <w:rPr/>
      </w:pPr>
      <w:hyperlink w:anchor="Top_of_part0014_xhtml">
        <w:r>
          <w:rPr>
            <w:rStyle w:val="LinkdaInternet"/>
          </w:rPr>
          <w:t xml:space="preserve">Capítulo 9</w:t>
        </w:r>
      </w:hyperlink>
    </w:p>
    <w:p>
      <w:pPr>
        <w:pStyle w:val="Para02"/>
        <w:rPr/>
      </w:pPr>
      <w:hyperlink w:anchor="Top_of_part0015_xhtml">
        <w:r>
          <w:rPr>
            <w:rStyle w:val="LinkdaInternet"/>
          </w:rPr>
          <w:t xml:space="preserve">Capítulo 10</w:t>
        </w:r>
      </w:hyperlink>
    </w:p>
    <w:p>
      <w:pPr>
        <w:pStyle w:val="Para02"/>
        <w:rPr/>
      </w:pPr>
      <w:hyperlink w:anchor="Top_of_part0016_xhtml">
        <w:r>
          <w:rPr>
            <w:rStyle w:val="LinkdaInternet"/>
          </w:rPr>
          <w:t xml:space="preserve">Capítulo 11</w:t>
        </w:r>
      </w:hyperlink>
    </w:p>
    <w:p>
      <w:pPr>
        <w:pStyle w:val="Para02"/>
        <w:rPr/>
      </w:pPr>
      <w:hyperlink w:anchor="Top_of_part0017_xhtml">
        <w:r>
          <w:rPr>
            <w:rStyle w:val="LinkdaInternet"/>
          </w:rPr>
          <w:t xml:space="preserve">Epílogo</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Cs w:val="22"/>
        <w:lang w:val="en" w:eastAsia="en" w:bidi="en"/>
      </w:rPr>
    </w:rPrDefault>
    <w:pPrDefault>
      <w:pPr/>
    </w:pPrDefault>
  </w:docDefaults>
  <w:style w:type="paragraph" w:styleId="Normal" w:default="1">
    <w:name w:val="Normal"/>
    <w:qFormat/>
    <w:pPr>
      <w:widowControl/>
      <w:bidi w:val="0"/>
      <w:spacing w:lineRule="atLeast" w:line="288" w:before="0" w:after="0"/>
      <w:jc w:val="left"/>
    </w:pPr>
    <w:rPr>
      <w:rFonts w:ascii="Cambria" w:hAnsi="Cambria"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 w:eastAsia="en" w:bidi="en"/>
    </w:rPr>
  </w:style>
  <w:style w:type="character" w:styleId="0Text">
    <w:name w:val="0 Text"/>
    <w:qFormat/>
    <w:rPr>
      <w:i/>
      <w:iC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name w:val="Para 01"/>
    <w:basedOn w:val="Normal"/>
    <w:qFormat/>
    <w:pPr>
      <w:spacing w:lineRule="atLeast" w:line="408"/>
      <w:ind w:hanging="0"/>
      <w:jc w:val="center"/>
    </w:pPr>
    <w:rPr>
      <w:sz w:val="34"/>
      <w:szCs w:val="34"/>
    </w:rPr>
  </w:style>
  <w:style w:type="paragraph" w:styleId="Para02">
    <w:name w:val="Para 02"/>
    <w:basedOn w:val="Normal"/>
    <w:qFormat/>
    <w:pPr>
      <w:ind w:left="341" w:hanging="0"/>
    </w:pPr>
    <w:rPr>
      <w:color w:val="0000FF"/>
      <w:u w:val="single"/>
    </w:rPr>
  </w:style>
  <w:style w:type="paragraph" w:styleId="Para03">
    <w:name w:val="Para 03"/>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4">
    <w:name w:val="Para 04"/>
    <w:basedOn w:val="Normal"/>
    <w:qFormat/>
    <w:pPr>
      <w:spacing w:lineRule="atLeast" w:line="408"/>
      <w:ind w:hanging="0"/>
      <w:jc w:val="center"/>
    </w:pPr>
    <w:rPr>
      <w:sz w:val="34"/>
      <w:szCs w:val="34"/>
    </w:rPr>
  </w:style>
  <w:style w:type="paragraph" w:styleId="Para05">
    <w:name w:val="Para 05"/>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6">
    <w:name w:val="Para 06"/>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7">
    <w:name w:val="Para 07"/>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8">
    <w:name w:val="Para 08"/>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9">
    <w:name w:val="Para 09"/>
    <w:basedOn w:val="Normal"/>
    <w:qFormat/>
    <w:pPr>
      <w:ind w:left="341" w:hanging="0"/>
    </w:pPr>
    <w:rPr>
      <w:color w:val="0000FF"/>
      <w:u w:val="single"/>
    </w:rPr>
  </w:style>
  <w:style w:type="paragraph" w:styleId="Para10">
    <w:name w:val="Para 10"/>
    <w:basedOn w:val="Normal"/>
    <w:qFormat/>
    <w:pPr>
      <w:spacing w:lineRule="atLeast" w:line="576"/>
      <w:ind w:hanging="0"/>
      <w:jc w:val="center"/>
    </w:pPr>
    <w:rPr>
      <w:sz w:val="48"/>
      <w:szCs w:val="48"/>
    </w:rPr>
  </w:style>
  <w:style w:type="paragraph" w:styleId="Para11">
    <w:name w:val="Para 11"/>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12">
    <w:name w:val="Para 12"/>
    <w:basedOn w:val="Normal"/>
    <w:qFormat/>
    <w:pPr>
      <w:spacing w:lineRule="atLeast" w:line="408"/>
      <w:ind w:hanging="0"/>
      <w:jc w:val="center"/>
    </w:pPr>
    <w:rPr>
      <w:sz w:val="34"/>
      <w:szCs w:val="34"/>
    </w:rPr>
  </w:style>
  <w:style w:type="paragraph" w:styleId="Para13">
    <w:name w:val="Para 13"/>
    <w:basedOn w:val="Normal"/>
    <w:qFormat/>
    <w:pPr>
      <w:spacing w:lineRule="atLeast" w:line="576"/>
      <w:jc w:val="center"/>
    </w:pPr>
    <w:rPr>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LibreOffice/5.4.2.2$Windows_X86_64 LibreOffice_project/22b09f6418e8c2d508a9eaf86b2399209b0990f4</Application>
  <Pages>106</Pages>
  <Words>55362</Words>
  <Characters>269117</Characters>
  <CharactersWithSpaces>323324</CharactersWithSpaces>
  <Paragraphs>1156</Paragraphs>
  <Company>Pacific Press Publishing Association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2018-05-11T18:58:09Z</dcterms:created>
  <dc:creator>Jacques Doukhan</dc:creator>
  <dc:description/>
  <dc:language>en</dc:language>
  <cp:lastModifiedBy/>
  <dcterms:modified xsi:type="dcterms:W3CDTF">2018-05-18T10:55:14Z</dcterms:modified>
  <cp:revision>2</cp:revision>
  <dc:subject/>
  <dc:title>Drinking at the Sources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03.0023</vt:lpwstr>
  </property>
  <property fmtid="{D5CDD505-2E9C-101B-9397-08002B2CF9AE}" pid="3" name="Company">
    <vt:lpwstr>Pacific Press Publishing Association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1</vt:bool>
  </property>
  <property fmtid="{D5CDD505-2E9C-101B-9397-08002B2CF9AE}" pid="7" name="ScaleCrop">
    <vt:bool>0</vt:bool>
  </property>
  <property fmtid="{D5CDD505-2E9C-101B-9397-08002B2CF9AE}" pid="8" name="ShareDoc">
    <vt:bool>0</vt:bool>
  </property>
</Properties>
</file>