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bookmarkStart w:id="32" w:name="_GoBack"/>
      <w:bookmarkEnd w:id="32"/>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r>
        <w:drawing>
          <wp:anchor distT="0" distB="0" distL="0" distR="0" simplePos="0" relativeHeight="1024" behindDoc="0" locked="0" layoutInCell="1" allowOverlap="1">
            <wp:simplePos x="0" y="0"/>
            <wp:positionH relativeFrom="margin">
              <wp:align>center</wp:align>
            </wp:positionH>
            <wp:positionV relativeFrom="line">
              <wp:align>top</wp:align>
            </wp:positionV>
            <wp:extent cx="495300" cy="495300"/>
            <wp:effectExtent l="0" t="0" r="0" b="0"/>
            <wp:wrapTopAndBottom/>
            <wp:docPr id="1" name="image-1.jp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1.jpg"/>
                    <pic:cNvPicPr>
                      <a:picLocks noChangeAspect="1"/>
                    </pic:cNvPicPr>
                  </pic:nvPicPr>
                  <pic:blipFill>
                    <a:blip r:embed="rId5"/>
                    <a:stretch>
                      <a:fillRect/>
                    </a:stretch>
                  </pic:blipFill>
                  <pic:spPr>
                    <a:xfrm>
                      <a:off x="0" y="0"/>
                      <a:ext cx="495300" cy="495300"/>
                    </a:xfrm>
                    <a:prstGeom prst="rect">
                      <a:avLst/>
                    </a:prstGeom>
                  </pic:spPr>
                </pic:pic>
              </a:graphicData>
            </a:graphic>
          </wp:anchor>
        </w:drawing>
      </w:r>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If conversion does bring one to a “break” in his life, it is to the end that he may love more.Conversion does not separate one from others when it leads one through the “narrow gate”; the convert above all else leaves behind what he or she once was.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Introduction"/>
      <w:bookmarkStart w:id="5" w:name="Top_of_part0005_xhtml"/>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Desnorteado e aparentemente espancado antecipadamente, tenta-se reunir novas palavras e idéias apenas com a maior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 xml:space="preserve">It is very important that we know the truth that was entrusted to both the Jew and the Christian, in order that we can measure the distance covered, possibly the drift experienced, and the gravity of the misunderstanding that separates them.</w:t>
      </w:r>
    </w:p>
    <w:p>
      <w:r>
        <w:t xml:space="preserve">It is very important for us to drink at the sources, so that at last, delivered from the intoxications of error, we might in some measure think freely, which is to think rightly.</w:t>
      </w:r>
    </w:p>
    <w:p>
      <w:r>
        <w:t xml:space="preserve">The Problem</w:t>
      </w:r>
    </w:p>
    <w:p>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pPr>
        <w:pStyle w:val="4"/>
        <w:pageBreakBefore/>
      </w:pPr>
      <w:bookmarkStart w:id="6" w:name="Chapter_1"/>
      <w:bookmarkStart w:id="7" w:name="Top_of_part0006_xhtml"/>
      <w:r>
        <w:t xml:space="preserve">Capítulo 1</w:t>
      </w:r>
      <w:bookmarkEnd w:id="6"/>
      <w:bookmarkEnd w:id="7"/>
    </w:p>
    <w:p>
      <w:pPr>
        <w:pStyle w:val="7"/>
      </w:pPr>
      <w:r>
        <w:t xml:space="preserve">The Theological Argument</w:t>
      </w:r>
    </w:p>
    <w:p>
      <w:pPr>
        <w:pStyle w:val="6"/>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 xml:space="preserve">The Christian reaction was reflected in the attitude of Bishop Victorinus de Pettau, in the third century, who did not want it to appear that he “observed the Sabbath of the Jews.“8</w:t>
      </w:r>
    </w:p>
    <w:p>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 xml:space="preserve">“If Israel does not accept the Torah, says God to His angels, you and I can no longer subsist.“13</w:t>
      </w:r>
    </w:p>
    <w:p>
      <w:r>
        <w:t xml:space="preserve">“The Holy One, blessed be He, covered the Israelites with Mount Sinai as with a cistern, and said to them: ‘If you accept the Law, all is well; if not, there shall be your tomb.’ “14</w:t>
      </w:r>
    </w:p>
    <w:p>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pPr>
        <w:pStyle w:val="4"/>
        <w:pageBreakBefore/>
      </w:pPr>
      <w:bookmarkStart w:id="8" w:name="Top_of_part0007_xhtml"/>
      <w:bookmarkStart w:id="9" w:name="Chapter_2"/>
      <w:r>
        <w:t xml:space="preserve">Capítulo 2</w:t>
      </w:r>
      <w:bookmarkEnd w:id="8"/>
      <w:bookmarkEnd w:id="9"/>
    </w:p>
    <w:p>
      <w:pPr>
        <w:pStyle w:val="7"/>
      </w:pPr>
      <w:r>
        <w:t xml:space="preserve">The Human Argument</w:t>
      </w:r>
    </w:p>
    <w:p>
      <w:pPr>
        <w:pStyle w:val="6"/>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Chapter_4"/>
      <w:bookmarkStart w:id="13" w:name="Top_of_part0009_xhtml"/>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Chapter_6"/>
      <w:bookmarkStart w:id="17" w:name="Top_of_part0011_xhtml"/>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Top_of_part0013_xhtml"/>
      <w:bookmarkStart w:id="21" w:name="Chapter_8"/>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Top_of_part0015_xhtml"/>
      <w:bookmarkStart w:id="25" w:name="Chapter_10"/>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Top_of_part0017_xhtml"/>
      <w:bookmarkStart w:id="29" w:name="Epilogue"/>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op_of_part0018_xhtml"/>
      <w:bookmarkStart w:id="31" w:name="Table_of_Contents"/>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2018-05-19T22:49:12Z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