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840"/>
      </w:pPr>
      <w:r>
        <w:t>REPÚBLICA DE ANGOLA · REPÚBLICA FEDERATIVA DO BRASIL</w:t>
      </w:r>
    </w:p>
    <w:p>
      <w:pPr>
        <w:pStyle w:val="CoverTitle"/>
        <w:pBdr>
          <w:bottom w:val="single" w:sz="12" w:space="8" w:color="D4A017"/>
        </w:pBdr>
      </w:pPr>
      <w:r>
        <w:t>DOSSIÊ INSTITUCIONAL</w:t>
        <w:br/>
        <w:t>DE COOPERAÇÃO TECNOLÓGICA</w:t>
      </w:r>
    </w:p>
    <w:p>
      <w:pPr>
        <w:pStyle w:val="CoverSubtitle"/>
      </w:pPr>
      <w:r>
        <w:t>Estruturação e validação da plataforma AeroProf Intelligence</w:t>
        <w:br/>
        <w:t>na infraestrutura aeroportuária sob o paradigma eMaintenance</w:t>
      </w:r>
    </w:p>
    <w:p>
      <w:pPr>
        <w:spacing w:before="320" w:after="320"/>
        <w:jc w:val="center"/>
      </w:pPr>
      <w:r>
        <w:drawing>
          <wp:inline xmlns:a="http://schemas.openxmlformats.org/drawingml/2006/main" xmlns:pic="http://schemas.openxmlformats.org/drawingml/2006/picture">
            <wp:extent cx="2514600" cy="952500"/>
            <wp:docPr id="1" name="Picture 1"/>
            <wp:cNvGraphicFramePr>
              <a:graphicFrameLocks noChangeAspect="1"/>
            </wp:cNvGraphicFramePr>
            <a:graphic>
              <a:graphicData uri="http://schemas.openxmlformats.org/drawingml/2006/picture">
                <pic:pic>
                  <pic:nvPicPr>
                    <pic:cNvPr id="0" name="logos_dwell_sga.png"/>
                    <pic:cNvPicPr/>
                  </pic:nvPicPr>
                  <pic:blipFill>
                    <a:blip r:embed="rId9"/>
                    <a:stretch>
                      <a:fillRect/>
                    </a:stretch>
                  </pic:blipFill>
                  <pic:spPr>
                    <a:xfrm>
                      <a:off x="0" y="0"/>
                      <a:ext cx="2514600" cy="952500"/>
                    </a:xfrm>
                    <a:prstGeom prst="rect"/>
                  </pic:spPr>
                </pic:pic>
              </a:graphicData>
            </a:graphic>
          </wp:inline>
        </w:drawing>
      </w:r>
    </w:p>
    <w:p>
      <w:pPr>
        <w:pStyle w:val="CoverMeta"/>
      </w:pPr>
      <w:r>
        <w:rPr>
          <w:rFonts w:ascii="Arial" w:hAnsi="Arial" w:eastAsia="Arial"/>
          <w:b/>
          <w:color w:val="073763"/>
          <w:sz w:val="19"/>
        </w:rPr>
        <w:t>DOCUMENTO INTEGRADO PARA ANÁLISE INSTITUCIONAL</w:t>
      </w:r>
    </w:p>
    <w:p>
      <w:pPr>
        <w:pStyle w:val="CoverMeta"/>
      </w:pPr>
      <w:r>
        <w:t>SGA, S.A. · Sociedade Gestora de Aeroportos de Angola</w:t>
      </w:r>
    </w:p>
    <w:p>
      <w:pPr>
        <w:pStyle w:val="CoverMeta"/>
      </w:pPr>
      <w:r>
        <w:t>DWELL Sistemas para Internet – Inova Simples (I.S.) · CNPJ 68.123.423/0001-32</w:t>
      </w:r>
    </w:p>
    <w:p>
      <w:pPr>
        <w:pStyle w:val="CoverMeta"/>
        <w:spacing w:before="240"/>
      </w:pPr>
      <w:r>
        <w:rPr>
          <w:rFonts w:ascii="Arial" w:hAnsi="Arial" w:eastAsia="Arial"/>
          <w:i/>
          <w:color w:val="5C6670"/>
          <w:sz w:val="18"/>
        </w:rPr>
        <w:t>Versão consolidada 6.0 · Confidencial · Minuta para revisão</w:t>
      </w:r>
    </w:p>
    <w:p>
      <w:pPr>
        <w:pStyle w:val="CoverMeta"/>
        <w:spacing w:before="360"/>
      </w:pPr>
      <w:r>
        <w:rPr>
          <w:rFonts w:ascii="Arial" w:hAnsi="Arial" w:eastAsia="Arial"/>
          <w:b/>
          <w:color w:val="202A35"/>
          <w:sz w:val="18"/>
        </w:rPr>
        <w:t>Luanda, República de Angola · Salvador, Bahia, Brasil</w:t>
        <w:br/>
        <w:t>Setembro de 2026</w:t>
      </w:r>
    </w:p>
    <w:p>
      <w:r>
        <w:br w:type="page"/>
      </w:r>
    </w:p>
    <w:p>
      <w:pPr>
        <w:pStyle w:val="TOCTitle"/>
        <w:pBdr>
          <w:bottom w:val="single" w:sz="8" w:space="4" w:color="D4A017"/>
        </w:pBdr>
      </w:pPr>
      <w:r>
        <w:t>SUMÁRIO</w:t>
      </w:r>
    </w:p>
    <w:p>
      <w:pPr>
        <w:pStyle w:val="TOC1"/>
        <w:tabs>
          <w:tab w:pos="9439" w:val="right" w:leader="dot"/>
          <w:tab w:pos="9439" w:val="right" w:leader="dot"/>
        </w:tabs>
      </w:pPr>
      <w:r>
        <w:rPr>
          <w:rFonts w:ascii="Arial" w:hAnsi="Arial" w:eastAsia="Arial"/>
          <w:b/>
          <w:color w:val="073763"/>
          <w:sz w:val="19"/>
        </w:rPr>
        <w:t>CARTA DE INTENÇÕES (DOCUMENTO PRINCIPAL)</w:t>
        <w:tab/>
        <w:t>4</w:t>
      </w:r>
    </w:p>
    <w:p>
      <w:pPr>
        <w:pStyle w:val="TOC2"/>
        <w:tabs>
          <w:tab w:pos="9439" w:val="right" w:leader="dot"/>
          <w:tab w:pos="9439" w:val="right" w:leader="dot"/>
        </w:tabs>
        <w:ind w:left="255"/>
      </w:pPr>
      <w:r>
        <w:rPr>
          <w:rFonts w:ascii="Arial" w:hAnsi="Arial" w:eastAsia="Arial"/>
          <w:b w:val="0"/>
          <w:color w:val="5C6670"/>
          <w:sz w:val="17"/>
        </w:rPr>
        <w:t>COOPERAÇÃO TECNOLÓGICA PARA ESTRUTURAÇÃO E VALIDAÇÃO DO AEROPROF INTELLIGENCE</w:t>
        <w:tab/>
        <w:t>4</w:t>
      </w:r>
    </w:p>
    <w:p>
      <w:pPr>
        <w:pStyle w:val="TOC2"/>
        <w:tabs>
          <w:tab w:pos="9439" w:val="right" w:leader="dot"/>
          <w:tab w:pos="9439" w:val="right" w:leader="dot"/>
        </w:tabs>
        <w:ind w:left="255"/>
      </w:pPr>
      <w:r>
        <w:rPr>
          <w:rFonts w:ascii="Arial" w:hAnsi="Arial" w:eastAsia="Arial"/>
          <w:b w:val="0"/>
          <w:color w:val="5C6670"/>
          <w:sz w:val="17"/>
        </w:rPr>
        <w:t>1. IDENTIFICAÇÃO E QUALIFICAÇÃO PRELIMINAR DOS PARTICIPANTES</w:t>
        <w:tab/>
        <w:t>4</w:t>
      </w:r>
    </w:p>
    <w:p>
      <w:pPr>
        <w:pStyle w:val="TOC2"/>
        <w:tabs>
          <w:tab w:pos="9439" w:val="right" w:leader="dot"/>
          <w:tab w:pos="9439" w:val="right" w:leader="dot"/>
        </w:tabs>
        <w:ind w:left="255"/>
      </w:pPr>
      <w:r>
        <w:rPr>
          <w:rFonts w:ascii="Arial" w:hAnsi="Arial" w:eastAsia="Arial"/>
          <w:b w:val="0"/>
          <w:color w:val="5C6670"/>
          <w:sz w:val="17"/>
        </w:rPr>
        <w:t>2. ENQUADRAMENTO EMPRESARIAL DA DWELL E VINCULAÇÃO À PROVA DE CONCEITO</w:t>
        <w:tab/>
        <w:t>4</w:t>
      </w:r>
    </w:p>
    <w:p>
      <w:pPr>
        <w:pStyle w:val="TOC2"/>
        <w:tabs>
          <w:tab w:pos="9439" w:val="right" w:leader="dot"/>
          <w:tab w:pos="9439" w:val="right" w:leader="dot"/>
        </w:tabs>
        <w:ind w:left="255"/>
      </w:pPr>
      <w:r>
        <w:rPr>
          <w:rFonts w:ascii="Arial" w:hAnsi="Arial" w:eastAsia="Arial"/>
          <w:b w:val="0"/>
          <w:color w:val="5C6670"/>
          <w:sz w:val="17"/>
        </w:rPr>
        <w:t>3. CONSIDERAÇÕES E JUSTIFICATIVA DA COOPERAÇÃO</w:t>
        <w:tab/>
        <w:t>5</w:t>
      </w:r>
    </w:p>
    <w:p>
      <w:pPr>
        <w:pStyle w:val="TOC2"/>
        <w:tabs>
          <w:tab w:pos="9439" w:val="right" w:leader="dot"/>
          <w:tab w:pos="9439" w:val="right" w:leader="dot"/>
        </w:tabs>
        <w:ind w:left="255"/>
      </w:pPr>
      <w:r>
        <w:rPr>
          <w:rFonts w:ascii="Arial" w:hAnsi="Arial" w:eastAsia="Arial"/>
          <w:b w:val="0"/>
          <w:color w:val="5C6670"/>
          <w:sz w:val="17"/>
        </w:rPr>
        <w:t>4. DO ENQUADRAMENTO TECNOLÓGICO: eMAINTENANCE</w:t>
        <w:tab/>
        <w:t>5</w:t>
      </w:r>
    </w:p>
    <w:p>
      <w:pPr>
        <w:pStyle w:val="TOC2"/>
        <w:tabs>
          <w:tab w:pos="9439" w:val="right" w:leader="dot"/>
          <w:tab w:pos="9439" w:val="right" w:leader="dot"/>
        </w:tabs>
        <w:ind w:left="255"/>
      </w:pPr>
      <w:r>
        <w:rPr>
          <w:rFonts w:ascii="Arial" w:hAnsi="Arial" w:eastAsia="Arial"/>
          <w:b w:val="0"/>
          <w:color w:val="5C6670"/>
          <w:sz w:val="17"/>
        </w:rPr>
        <w:t>5. DO OBJETO</w:t>
        <w:tab/>
        <w:t>6</w:t>
      </w:r>
    </w:p>
    <w:p>
      <w:pPr>
        <w:pStyle w:val="TOC2"/>
        <w:tabs>
          <w:tab w:pos="9439" w:val="right" w:leader="dot"/>
          <w:tab w:pos="9439" w:val="right" w:leader="dot"/>
        </w:tabs>
        <w:ind w:left="255"/>
      </w:pPr>
      <w:r>
        <w:rPr>
          <w:rFonts w:ascii="Arial" w:hAnsi="Arial" w:eastAsia="Arial"/>
          <w:b w:val="0"/>
          <w:color w:val="5C6670"/>
          <w:sz w:val="17"/>
        </w:rPr>
        <w:t>6. DA NATUREZA DA PROVA DE CONCEITO E DOS CRITÉRIOS DE VALIDAÇÃO</w:t>
        <w:tab/>
        <w:t>6</w:t>
      </w:r>
    </w:p>
    <w:p>
      <w:pPr>
        <w:pStyle w:val="TOC2"/>
        <w:tabs>
          <w:tab w:pos="9439" w:val="right" w:leader="dot"/>
          <w:tab w:pos="9439" w:val="right" w:leader="dot"/>
        </w:tabs>
        <w:ind w:left="255"/>
      </w:pPr>
      <w:r>
        <w:rPr>
          <w:rFonts w:ascii="Arial" w:hAnsi="Arial" w:eastAsia="Arial"/>
          <w:b w:val="0"/>
          <w:color w:val="5C6670"/>
          <w:sz w:val="17"/>
        </w:rPr>
        <w:t>7. DOS MÉTODOS DE REFERÊNCIA E DA VERIFICAÇÃO INDEPENDENTE</w:t>
        <w:tab/>
        <w:t>6</w:t>
      </w:r>
    </w:p>
    <w:p>
      <w:pPr>
        <w:pStyle w:val="TOC2"/>
        <w:tabs>
          <w:tab w:pos="9439" w:val="right" w:leader="dot"/>
          <w:tab w:pos="9439" w:val="right" w:leader="dot"/>
        </w:tabs>
        <w:ind w:left="255"/>
      </w:pPr>
      <w:r>
        <w:rPr>
          <w:rFonts w:ascii="Arial" w:hAnsi="Arial" w:eastAsia="Arial"/>
          <w:b w:val="0"/>
          <w:color w:val="5C6670"/>
          <w:sz w:val="17"/>
        </w:rPr>
        <w:t>8. DAS RESPONSABILIDADES OPERACIONAIS DA SGA</w:t>
        <w:tab/>
        <w:t>6</w:t>
      </w:r>
    </w:p>
    <w:p>
      <w:pPr>
        <w:pStyle w:val="TOC2"/>
        <w:tabs>
          <w:tab w:pos="9439" w:val="right" w:leader="dot"/>
          <w:tab w:pos="9439" w:val="right" w:leader="dot"/>
        </w:tabs>
        <w:ind w:left="255"/>
      </w:pPr>
      <w:r>
        <w:rPr>
          <w:rFonts w:ascii="Arial" w:hAnsi="Arial" w:eastAsia="Arial"/>
          <w:b w:val="0"/>
          <w:color w:val="5C6670"/>
          <w:sz w:val="17"/>
        </w:rPr>
        <w:t>9. RESPONSABILIDADES DA DWELL SISTEMAS PARA INTERNET. INOVA SIMPLES (I.S.)</w:t>
        <w:tab/>
        <w:t>7</w:t>
      </w:r>
    </w:p>
    <w:p>
      <w:pPr>
        <w:pStyle w:val="TOC2"/>
        <w:tabs>
          <w:tab w:pos="9439" w:val="right" w:leader="dot"/>
          <w:tab w:pos="9439" w:val="right" w:leader="dot"/>
        </w:tabs>
        <w:ind w:left="255"/>
      </w:pPr>
      <w:r>
        <w:rPr>
          <w:rFonts w:ascii="Arial" w:hAnsi="Arial" w:eastAsia="Arial"/>
          <w:b w:val="0"/>
          <w:color w:val="5C6670"/>
          <w:sz w:val="17"/>
        </w:rPr>
        <w:t>10. DA REGULAÇÃO AERONÁUTICA, DO ESPAÇO AÉREO E DAS AERONAVES REMOTAMENTE PILOTADAS</w:t>
        <w:tab/>
        <w:t>9</w:t>
      </w:r>
    </w:p>
    <w:p>
      <w:pPr>
        <w:pStyle w:val="TOC2"/>
        <w:tabs>
          <w:tab w:pos="9439" w:val="right" w:leader="dot"/>
          <w:tab w:pos="9439" w:val="right" w:leader="dot"/>
        </w:tabs>
        <w:ind w:left="255"/>
      </w:pPr>
      <w:r>
        <w:rPr>
          <w:rFonts w:ascii="Arial" w:hAnsi="Arial" w:eastAsia="Arial"/>
          <w:b w:val="0"/>
          <w:color w:val="5C6670"/>
          <w:sz w:val="17"/>
        </w:rPr>
        <w:t>11. DA MÃO DE OBRA, CAPACITAÇÃO E RETENÇÃO DO CONHECIMENTO</w:t>
        <w:tab/>
        <w:t>9</w:t>
      </w:r>
    </w:p>
    <w:p>
      <w:pPr>
        <w:pStyle w:val="TOC2"/>
        <w:tabs>
          <w:tab w:pos="9439" w:val="right" w:leader="dot"/>
          <w:tab w:pos="9439" w:val="right" w:leader="dot"/>
        </w:tabs>
        <w:ind w:left="255"/>
      </w:pPr>
      <w:r>
        <w:rPr>
          <w:rFonts w:ascii="Arial" w:hAnsi="Arial" w:eastAsia="Arial"/>
          <w:b w:val="0"/>
          <w:color w:val="5C6670"/>
          <w:sz w:val="17"/>
        </w:rPr>
        <w:t>12. DA GOVERNANÇA DOS DADOS E DA RASTREABILIDADE</w:t>
        <w:tab/>
        <w:t>9</w:t>
      </w:r>
    </w:p>
    <w:p>
      <w:pPr>
        <w:pStyle w:val="TOC2"/>
        <w:tabs>
          <w:tab w:pos="9439" w:val="right" w:leader="dot"/>
          <w:tab w:pos="9439" w:val="right" w:leader="dot"/>
        </w:tabs>
        <w:ind w:left="255"/>
      </w:pPr>
      <w:r>
        <w:rPr>
          <w:rFonts w:ascii="Arial" w:hAnsi="Arial" w:eastAsia="Arial"/>
          <w:b w:val="0"/>
          <w:color w:val="5C6670"/>
          <w:sz w:val="17"/>
        </w:rPr>
        <w:t>13. DA INTELIGÊNCIA ARTIFICIAL E DOS RESULTADOS COMPUTACIONAIS</w:t>
        <w:tab/>
        <w:t>10</w:t>
      </w:r>
    </w:p>
    <w:p>
      <w:pPr>
        <w:pStyle w:val="TOC2"/>
        <w:tabs>
          <w:tab w:pos="9439" w:val="right" w:leader="dot"/>
          <w:tab w:pos="9439" w:val="right" w:leader="dot"/>
        </w:tabs>
        <w:ind w:left="255"/>
      </w:pPr>
      <w:r>
        <w:rPr>
          <w:rFonts w:ascii="Arial" w:hAnsi="Arial" w:eastAsia="Arial"/>
          <w:b w:val="0"/>
          <w:color w:val="5C6670"/>
          <w:sz w:val="17"/>
        </w:rPr>
        <w:t>14. DA PROPRIEDADE INTELECTUAL</w:t>
        <w:tab/>
        <w:t>10</w:t>
      </w:r>
    </w:p>
    <w:p>
      <w:pPr>
        <w:pStyle w:val="TOC2"/>
        <w:tabs>
          <w:tab w:pos="9439" w:val="right" w:leader="dot"/>
          <w:tab w:pos="9439" w:val="right" w:leader="dot"/>
        </w:tabs>
        <w:ind w:left="255"/>
      </w:pPr>
      <w:r>
        <w:rPr>
          <w:rFonts w:ascii="Arial" w:hAnsi="Arial" w:eastAsia="Arial"/>
          <w:b w:val="0"/>
          <w:color w:val="5C6670"/>
          <w:sz w:val="17"/>
        </w:rPr>
        <w:t>15. DA CONFIDENCIALIDADE E DA SEGURANÇA DA INFORMAÇÃO</w:t>
        <w:tab/>
        <w:t>11</w:t>
      </w:r>
    </w:p>
    <w:p>
      <w:pPr>
        <w:pStyle w:val="TOC2"/>
        <w:tabs>
          <w:tab w:pos="9439" w:val="right" w:leader="dot"/>
          <w:tab w:pos="9439" w:val="right" w:leader="dot"/>
        </w:tabs>
        <w:ind w:left="255"/>
      </w:pPr>
      <w:r>
        <w:rPr>
          <w:rFonts w:ascii="Arial" w:hAnsi="Arial" w:eastAsia="Arial"/>
          <w:b w:val="0"/>
          <w:color w:val="5C6670"/>
          <w:sz w:val="17"/>
        </w:rPr>
        <w:t>16. DO FINANCIAMENTO E DOS RECURSOS</w:t>
        <w:tab/>
        <w:t>11</w:t>
      </w:r>
    </w:p>
    <w:p>
      <w:pPr>
        <w:pStyle w:val="TOC2"/>
        <w:tabs>
          <w:tab w:pos="9439" w:val="right" w:leader="dot"/>
          <w:tab w:pos="9439" w:val="right" w:leader="dot"/>
        </w:tabs>
        <w:ind w:left="255"/>
      </w:pPr>
      <w:r>
        <w:rPr>
          <w:rFonts w:ascii="Arial" w:hAnsi="Arial" w:eastAsia="Arial"/>
          <w:b w:val="0"/>
          <w:color w:val="5C6670"/>
          <w:sz w:val="17"/>
        </w:rPr>
        <w:t>17. DO RELATÓRIO TÉCNICO CONCLUSIVO</w:t>
        <w:tab/>
        <w:t>12</w:t>
      </w:r>
    </w:p>
    <w:p>
      <w:pPr>
        <w:pStyle w:val="TOC2"/>
        <w:tabs>
          <w:tab w:pos="9439" w:val="right" w:leader="dot"/>
          <w:tab w:pos="9439" w:val="right" w:leader="dot"/>
        </w:tabs>
        <w:ind w:left="255"/>
      </w:pPr>
      <w:r>
        <w:rPr>
          <w:rFonts w:ascii="Arial" w:hAnsi="Arial" w:eastAsia="Arial"/>
          <w:b w:val="0"/>
          <w:color w:val="5C6670"/>
          <w:sz w:val="17"/>
        </w:rPr>
        <w:t>18. DAS ETAPAS FUTURAS E DA EXPANSÃO TECNOLÓGICA</w:t>
        <w:tab/>
        <w:t>12</w:t>
      </w:r>
    </w:p>
    <w:p>
      <w:pPr>
        <w:pStyle w:val="TOC2"/>
        <w:tabs>
          <w:tab w:pos="9439" w:val="right" w:leader="dot"/>
          <w:tab w:pos="9439" w:val="right" w:leader="dot"/>
        </w:tabs>
        <w:ind w:left="255"/>
      </w:pPr>
      <w:r>
        <w:rPr>
          <w:rFonts w:ascii="Arial" w:hAnsi="Arial" w:eastAsia="Arial"/>
          <w:b w:val="0"/>
          <w:color w:val="5C6670"/>
          <w:sz w:val="17"/>
        </w:rPr>
        <w:t>19. DA NATUREZA NÃO VINCULANTE</w:t>
        <w:tab/>
        <w:t>12</w:t>
      </w:r>
    </w:p>
    <w:p>
      <w:pPr>
        <w:pStyle w:val="TOC2"/>
        <w:tabs>
          <w:tab w:pos="9439" w:val="right" w:leader="dot"/>
          <w:tab w:pos="9439" w:val="right" w:leader="dot"/>
        </w:tabs>
        <w:ind w:left="255"/>
      </w:pPr>
      <w:r>
        <w:rPr>
          <w:rFonts w:ascii="Arial" w:hAnsi="Arial" w:eastAsia="Arial"/>
          <w:b w:val="0"/>
          <w:color w:val="5C6670"/>
          <w:sz w:val="17"/>
        </w:rPr>
        <w:t>20. DA VIGÊNCIA PRELIMINAR E DO ENCERRAMENTO DAS TRATATIVAS</w:t>
        <w:tab/>
        <w:t>13</w:t>
      </w:r>
    </w:p>
    <w:p>
      <w:r>
        <w:br w:type="page"/>
      </w:r>
    </w:p>
    <w:p>
      <w:pPr>
        <w:pStyle w:val="TOCTitle"/>
        <w:pBdr>
          <w:bottom w:val="single" w:sz="8" w:space="4" w:color="D4A017"/>
        </w:pBdr>
      </w:pPr>
      <w:r>
        <w:t>SUMÁRIO · ANEXOS</w:t>
      </w:r>
    </w:p>
    <w:p>
      <w:pPr>
        <w:pStyle w:val="TOC1"/>
        <w:tabs>
          <w:tab w:pos="9439" w:val="right" w:leader="dot"/>
          <w:tab w:pos="9439" w:val="right" w:leader="dot"/>
        </w:tabs>
      </w:pPr>
      <w:r>
        <w:rPr>
          <w:rFonts w:ascii="Arial" w:hAnsi="Arial" w:eastAsia="Arial"/>
          <w:b/>
          <w:color w:val="073763"/>
          <w:sz w:val="19"/>
        </w:rPr>
        <w:t>ANEXO I — PROJETO TÉCNICO DA PROVA DE CONCEITO (PoC)</w:t>
        <w:tab/>
        <w:t>14</w:t>
      </w:r>
    </w:p>
    <w:p>
      <w:pPr>
        <w:pStyle w:val="TOC2"/>
        <w:tabs>
          <w:tab w:pos="9439" w:val="right" w:leader="dot"/>
          <w:tab w:pos="9439" w:val="right" w:leader="dot"/>
        </w:tabs>
        <w:ind w:left="255"/>
      </w:pPr>
      <w:r>
        <w:rPr>
          <w:rFonts w:ascii="Arial" w:hAnsi="Arial" w:eastAsia="Arial"/>
          <w:b w:val="0"/>
          <w:color w:val="5C6670"/>
          <w:sz w:val="17"/>
        </w:rPr>
        <w:t>I.1. Introdução e Enquadramento Técnico</w:t>
        <w:tab/>
        <w:t>14</w:t>
      </w:r>
    </w:p>
    <w:p>
      <w:pPr>
        <w:pStyle w:val="TOC2"/>
        <w:tabs>
          <w:tab w:pos="9439" w:val="right" w:leader="dot"/>
          <w:tab w:pos="9439" w:val="right" w:leader="dot"/>
        </w:tabs>
        <w:ind w:left="255"/>
      </w:pPr>
      <w:r>
        <w:rPr>
          <w:rFonts w:ascii="Arial" w:hAnsi="Arial" w:eastAsia="Arial"/>
          <w:b w:val="0"/>
          <w:color w:val="5C6670"/>
          <w:sz w:val="17"/>
        </w:rPr>
        <w:t>I.2. Princípio de Modularidade Tecnológica e Independência de Hardware</w:t>
        <w:tab/>
        <w:t>14</w:t>
      </w:r>
    </w:p>
    <w:p>
      <w:pPr>
        <w:pStyle w:val="TOC2"/>
        <w:tabs>
          <w:tab w:pos="9439" w:val="right" w:leader="dot"/>
          <w:tab w:pos="9439" w:val="right" w:leader="dot"/>
        </w:tabs>
        <w:ind w:left="255"/>
      </w:pPr>
      <w:r>
        <w:rPr>
          <w:rFonts w:ascii="Arial" w:hAnsi="Arial" w:eastAsia="Arial"/>
          <w:b w:val="0"/>
          <w:color w:val="5C6670"/>
          <w:sz w:val="17"/>
        </w:rPr>
        <w:t>I.3. Especificação dos Pacotes Técnicos de Sensoriamento</w:t>
        <w:tab/>
        <w:t>14</w:t>
      </w:r>
    </w:p>
    <w:p>
      <w:pPr>
        <w:pStyle w:val="TOC2"/>
        <w:tabs>
          <w:tab w:pos="9439" w:val="right" w:leader="dot"/>
          <w:tab w:pos="9439" w:val="right" w:leader="dot"/>
        </w:tabs>
        <w:ind w:left="255"/>
      </w:pPr>
      <w:r>
        <w:rPr>
          <w:rFonts w:ascii="Arial" w:hAnsi="Arial" w:eastAsia="Arial"/>
          <w:b w:val="0"/>
          <w:color w:val="5C6670"/>
          <w:sz w:val="17"/>
        </w:rPr>
        <w:t>I.4. Modelo Mínimo de Ingestão e Integração de Dados</w:t>
        <w:tab/>
        <w:t>15</w:t>
      </w:r>
    </w:p>
    <w:p>
      <w:pPr>
        <w:pStyle w:val="TOC1"/>
        <w:tabs>
          <w:tab w:pos="9439" w:val="right" w:leader="dot"/>
          <w:tab w:pos="9439" w:val="right" w:leader="dot"/>
        </w:tabs>
      </w:pPr>
      <w:r>
        <w:rPr>
          <w:rFonts w:ascii="Arial" w:hAnsi="Arial" w:eastAsia="Arial"/>
          <w:b/>
          <w:color w:val="073763"/>
          <w:sz w:val="19"/>
        </w:rPr>
        <w:t>ANEXO II — PROBLEMA DE NEGÓCIO</w:t>
        <w:tab/>
        <w:t>16</w:t>
      </w:r>
    </w:p>
    <w:p>
      <w:pPr>
        <w:pStyle w:val="TOC2"/>
        <w:tabs>
          <w:tab w:pos="9439" w:val="right" w:leader="dot"/>
          <w:tab w:pos="9439" w:val="right" w:leader="dot"/>
        </w:tabs>
        <w:ind w:left="255"/>
      </w:pPr>
      <w:r>
        <w:rPr>
          <w:rFonts w:ascii="Arial" w:hAnsi="Arial" w:eastAsia="Arial"/>
          <w:b w:val="0"/>
          <w:color w:val="5C6670"/>
          <w:sz w:val="17"/>
        </w:rPr>
        <w:t>II.1. Rastreabilidade e Verdade do Pavimento</w:t>
        <w:tab/>
        <w:t>16</w:t>
      </w:r>
    </w:p>
    <w:p>
      <w:pPr>
        <w:pStyle w:val="TOC2"/>
        <w:tabs>
          <w:tab w:pos="9439" w:val="right" w:leader="dot"/>
          <w:tab w:pos="9439" w:val="right" w:leader="dot"/>
        </w:tabs>
        <w:ind w:left="255"/>
      </w:pPr>
      <w:r>
        <w:rPr>
          <w:rFonts w:ascii="Arial" w:hAnsi="Arial" w:eastAsia="Arial"/>
          <w:b w:val="0"/>
          <w:color w:val="5C6670"/>
          <w:sz w:val="17"/>
        </w:rPr>
        <w:t>II.2. A Pergunta Central do Negócio</w:t>
        <w:tab/>
        <w:t>16</w:t>
      </w:r>
    </w:p>
    <w:p>
      <w:pPr>
        <w:pStyle w:val="TOC2"/>
        <w:tabs>
          <w:tab w:pos="9439" w:val="right" w:leader="dot"/>
          <w:tab w:pos="9439" w:val="right" w:leader="dot"/>
        </w:tabs>
        <w:ind w:left="255"/>
      </w:pPr>
      <w:r>
        <w:rPr>
          <w:rFonts w:ascii="Arial" w:hAnsi="Arial" w:eastAsia="Arial"/>
          <w:b w:val="0"/>
          <w:color w:val="5C6670"/>
          <w:sz w:val="17"/>
        </w:rPr>
        <w:t>II.3. Riscos Operacionais e Financeiros da Gestão Convencional</w:t>
        <w:tab/>
        <w:t>16</w:t>
      </w:r>
    </w:p>
    <w:p>
      <w:pPr>
        <w:pStyle w:val="TOC1"/>
        <w:tabs>
          <w:tab w:pos="9439" w:val="right" w:leader="dot"/>
          <w:tab w:pos="9439" w:val="right" w:leader="dot"/>
        </w:tabs>
      </w:pPr>
      <w:r>
        <w:rPr>
          <w:rFonts w:ascii="Arial" w:hAnsi="Arial" w:eastAsia="Arial"/>
          <w:b/>
          <w:color w:val="073763"/>
          <w:sz w:val="19"/>
        </w:rPr>
        <w:t>ANEXO III — APRESENTAÇÃO EXECUTIVA (SÍNTESE ESTRUTURADA)</w:t>
        <w:tab/>
        <w:t>17</w:t>
      </w:r>
    </w:p>
    <w:p>
      <w:pPr>
        <w:pStyle w:val="TOC2"/>
        <w:tabs>
          <w:tab w:pos="9439" w:val="right" w:leader="dot"/>
          <w:tab w:pos="9439" w:val="right" w:leader="dot"/>
        </w:tabs>
        <w:ind w:left="255"/>
      </w:pPr>
      <w:r>
        <w:rPr>
          <w:rFonts w:ascii="Arial" w:hAnsi="Arial" w:eastAsia="Arial"/>
          <w:b w:val="0"/>
          <w:color w:val="5C6670"/>
          <w:sz w:val="17"/>
        </w:rPr>
        <w:t>III.1. Alinhamento de Slides e Conteúdo Visual Institucional</w:t>
        <w:tab/>
        <w:t>17</w:t>
      </w:r>
    </w:p>
    <w:p>
      <w:pPr>
        <w:pStyle w:val="TOC1"/>
        <w:tabs>
          <w:tab w:pos="9439" w:val="right" w:leader="dot"/>
          <w:tab w:pos="9439" w:val="right" w:leader="dot"/>
        </w:tabs>
      </w:pPr>
      <w:r>
        <w:rPr>
          <w:rFonts w:ascii="Arial" w:hAnsi="Arial" w:eastAsia="Arial"/>
          <w:b/>
          <w:color w:val="073763"/>
          <w:sz w:val="19"/>
        </w:rPr>
        <w:t>ANEXO IV — eMAINTENANCE INTELLIGENCE (ENGENHARIA E CONFORMIDADE)</w:t>
        <w:tab/>
        <w:t>19</w:t>
      </w:r>
    </w:p>
    <w:p>
      <w:pPr>
        <w:pStyle w:val="TOC2"/>
        <w:tabs>
          <w:tab w:pos="9439" w:val="right" w:leader="dot"/>
          <w:tab w:pos="9439" w:val="right" w:leader="dot"/>
        </w:tabs>
        <w:ind w:left="255"/>
      </w:pPr>
      <w:r>
        <w:rPr>
          <w:rFonts w:ascii="Arial" w:hAnsi="Arial" w:eastAsia="Arial"/>
          <w:b w:val="0"/>
          <w:color w:val="5C6670"/>
          <w:sz w:val="17"/>
        </w:rPr>
        <w:t>IV.1. Limites Metrológicos de GPR e LiDAR</w:t>
        <w:tab/>
        <w:t>19</w:t>
      </w:r>
    </w:p>
    <w:p>
      <w:pPr>
        <w:pStyle w:val="TOC2"/>
        <w:tabs>
          <w:tab w:pos="9439" w:val="right" w:leader="dot"/>
          <w:tab w:pos="9439" w:val="right" w:leader="dot"/>
        </w:tabs>
        <w:ind w:left="255"/>
      </w:pPr>
      <w:r>
        <w:rPr>
          <w:rFonts w:ascii="Arial" w:hAnsi="Arial" w:eastAsia="Arial"/>
          <w:b w:val="0"/>
          <w:color w:val="5C6670"/>
          <w:sz w:val="17"/>
        </w:rPr>
        <w:t>IV.2. Especificação Metrológica de Carga Deflectométrica (HWD vs. Rodoviário)</w:t>
        <w:tab/>
        <w:t>19</w:t>
      </w:r>
    </w:p>
    <w:p>
      <w:pPr>
        <w:pStyle w:val="TOC2"/>
        <w:tabs>
          <w:tab w:pos="9439" w:val="right" w:leader="dot"/>
          <w:tab w:pos="9439" w:val="right" w:leader="dot"/>
        </w:tabs>
        <w:ind w:left="255"/>
      </w:pPr>
      <w:r>
        <w:rPr>
          <w:rFonts w:ascii="Arial" w:hAnsi="Arial" w:eastAsia="Arial"/>
          <w:b w:val="0"/>
          <w:color w:val="5C6670"/>
          <w:sz w:val="17"/>
        </w:rPr>
        <w:t>IV.3. Métodos de Avaliação de Capacidade de Suporte e Cálculo de PCR (FAARFIELD)</w:t>
        <w:tab/>
        <w:t>19</w:t>
      </w:r>
    </w:p>
    <w:p>
      <w:pPr>
        <w:pStyle w:val="TOC2"/>
        <w:tabs>
          <w:tab w:pos="9439" w:val="right" w:leader="dot"/>
          <w:tab w:pos="9439" w:val="right" w:leader="dot"/>
        </w:tabs>
        <w:ind w:left="255"/>
      </w:pPr>
      <w:r>
        <w:rPr>
          <w:rFonts w:ascii="Arial" w:hAnsi="Arial" w:eastAsia="Arial"/>
          <w:b w:val="0"/>
          <w:color w:val="5C6670"/>
          <w:sz w:val="17"/>
        </w:rPr>
        <w:t>IV.4. Protocolos de Calibração por Sondagem (Coring) e Estruturas Desconhecidas</w:t>
        <w:tab/>
        <w:t>19</w:t>
      </w:r>
    </w:p>
    <w:p>
      <w:pPr>
        <w:pStyle w:val="TOC2"/>
        <w:tabs>
          <w:tab w:pos="9439" w:val="right" w:leader="dot"/>
          <w:tab w:pos="9439" w:val="right" w:leader="dot"/>
        </w:tabs>
        <w:ind w:left="255"/>
      </w:pPr>
      <w:r>
        <w:rPr>
          <w:rFonts w:ascii="Arial" w:hAnsi="Arial" w:eastAsia="Arial"/>
          <w:b w:val="0"/>
          <w:color w:val="5C6670"/>
          <w:sz w:val="17"/>
        </w:rPr>
        <w:t>IV.5. Limites de Superdimensionamento e Operações com Sobrecarga</w:t>
        <w:tab/>
        <w:t>20</w:t>
      </w:r>
    </w:p>
    <w:p>
      <w:pPr>
        <w:pStyle w:val="TOC1"/>
        <w:tabs>
          <w:tab w:pos="9439" w:val="right" w:leader="dot"/>
          <w:tab w:pos="9439" w:val="right" w:leader="dot"/>
        </w:tabs>
      </w:pPr>
      <w:r>
        <w:rPr>
          <w:rFonts w:ascii="Arial" w:hAnsi="Arial" w:eastAsia="Arial"/>
          <w:b/>
          <w:color w:val="073763"/>
          <w:sz w:val="19"/>
        </w:rPr>
        <w:t>ANEXO V — MATRIZES, CRONOGRAMAS E CONTEÚDOS COMPLEMENTARES</w:t>
        <w:tab/>
        <w:t>21</w:t>
      </w:r>
    </w:p>
    <w:p>
      <w:pPr>
        <w:pStyle w:val="TOC2"/>
        <w:tabs>
          <w:tab w:pos="9439" w:val="right" w:leader="dot"/>
          <w:tab w:pos="9439" w:val="right" w:leader="dot"/>
        </w:tabs>
        <w:ind w:left="255"/>
      </w:pPr>
      <w:r>
        <w:rPr>
          <w:rFonts w:ascii="Arial" w:hAnsi="Arial" w:eastAsia="Arial"/>
          <w:b w:val="0"/>
          <w:color w:val="5C6670"/>
          <w:sz w:val="17"/>
        </w:rPr>
        <w:t>V.1. Matriz Preliminar de Responsabilidades (RACI de Campo)</w:t>
        <w:tab/>
        <w:t>21</w:t>
      </w:r>
    </w:p>
    <w:p>
      <w:pPr>
        <w:pStyle w:val="TOC2"/>
        <w:tabs>
          <w:tab w:pos="9439" w:val="right" w:leader="dot"/>
          <w:tab w:pos="9439" w:val="right" w:leader="dot"/>
        </w:tabs>
        <w:ind w:left="255"/>
      </w:pPr>
      <w:r>
        <w:rPr>
          <w:rFonts w:ascii="Arial" w:hAnsi="Arial" w:eastAsia="Arial"/>
          <w:b w:val="0"/>
          <w:color w:val="5C6670"/>
          <w:sz w:val="17"/>
        </w:rPr>
        <w:t>V.2. Matriz Ishikawa de Benefícios, Riscos e Controles (6M)</w:t>
        <w:tab/>
        <w:t>22</w:t>
      </w:r>
    </w:p>
    <w:p>
      <w:pPr>
        <w:pStyle w:val="TOC2"/>
        <w:tabs>
          <w:tab w:pos="9439" w:val="right" w:leader="dot"/>
          <w:tab w:pos="9439" w:val="right" w:leader="dot"/>
        </w:tabs>
        <w:ind w:left="255"/>
      </w:pPr>
      <w:r>
        <w:rPr>
          <w:rFonts w:ascii="Arial" w:hAnsi="Arial" w:eastAsia="Arial"/>
          <w:b w:val="0"/>
          <w:color w:val="5C6670"/>
          <w:sz w:val="17"/>
        </w:rPr>
        <w:t>V.3. Portões de Prontidão de Campo (Readiness Gates G0 a G9)</w:t>
        <w:tab/>
        <w:t>23</w:t>
      </w:r>
    </w:p>
    <w:p>
      <w:pPr>
        <w:pStyle w:val="TOC2"/>
        <w:tabs>
          <w:tab w:pos="9439" w:val="right" w:leader="dot"/>
          <w:tab w:pos="9439" w:val="right" w:leader="dot"/>
        </w:tabs>
        <w:ind w:left="255"/>
      </w:pPr>
      <w:r>
        <w:rPr>
          <w:rFonts w:ascii="Arial" w:hAnsi="Arial" w:eastAsia="Arial"/>
          <w:b w:val="0"/>
          <w:color w:val="5C6670"/>
          <w:sz w:val="17"/>
        </w:rPr>
        <w:t>V.4. Referências Técnicas, Normativas e Cadastrais</w:t>
        <w:tab/>
        <w:t>23</w:t>
      </w:r>
    </w:p>
    <w:p>
      <w:pPr>
        <w:pStyle w:val="TOC2"/>
        <w:tabs>
          <w:tab w:pos="9439" w:val="right" w:leader="dot"/>
          <w:tab w:pos="9439" w:val="right" w:leader="dot"/>
        </w:tabs>
        <w:ind w:left="255"/>
      </w:pPr>
      <w:r>
        <w:rPr>
          <w:rFonts w:ascii="Arial" w:hAnsi="Arial" w:eastAsia="Arial"/>
          <w:b w:val="0"/>
          <w:color w:val="5C6670"/>
          <w:sz w:val="17"/>
        </w:rPr>
        <w:t>V.5. Controle do Documento e Histórico de Revisões</w:t>
        <w:tab/>
        <w:t>25</w:t>
      </w:r>
    </w:p>
    <w:p>
      <w:pPr>
        <w:pStyle w:val="TOC2"/>
        <w:tabs>
          <w:tab w:pos="9439" w:val="right" w:leader="dot"/>
          <w:tab w:pos="9439" w:val="right" w:leader="dot"/>
        </w:tabs>
        <w:ind w:left="255"/>
      </w:pPr>
      <w:r>
        <w:rPr>
          <w:rFonts w:ascii="Arial" w:hAnsi="Arial" w:eastAsia="Arial"/>
          <w:b w:val="0"/>
          <w:color w:val="5C6670"/>
          <w:sz w:val="17"/>
        </w:rPr>
        <w:t>V.6. Campo de Assinaturas e Controle Institucional</w:t>
        <w:tab/>
        <w:t>26</w:t>
      </w:r>
    </w:p>
    <w:p>
      <w:r>
        <w:br w:type="page"/>
      </w:r>
    </w:p>
    <w:p>
      <w:pPr>
        <w:pStyle w:val="Heading1"/>
        <w:keepNext/>
        <w:pageBreakBefore w:val="0"/>
        <w:spacing w:before="240" w:after="240"/>
        <w:jc w:val="left"/>
        <w:pBdr>
          <w:bottom w:val="single" w:sz="8" w:space="4" w:color="D4A017"/>
        </w:pBdr>
      </w:pPr>
      <w:r>
        <w:rPr>
          <w:rFonts w:ascii="Arial" w:hAnsi="Arial" w:eastAsia="Arial"/>
          <w:b/>
          <w:color w:val="073763"/>
          <w:sz w:val="32"/>
        </w:rPr>
        <w:t>CARTA DE INTENÇÕES (DOCUMENTO PRINCIPAL)</w:t>
      </w:r>
    </w:p>
    <w:p>
      <w:pPr>
        <w:pStyle w:val="Heading2"/>
        <w:keepNext/>
        <w:pageBreakBefore w:val="0"/>
        <w:spacing w:before="120" w:after="120"/>
        <w:jc w:val="left"/>
      </w:pPr>
      <w:r>
        <w:rPr>
          <w:rFonts w:ascii="Arial" w:hAnsi="Arial" w:eastAsia="Arial"/>
          <w:b/>
          <w:color w:val="0D5EA6"/>
          <w:sz w:val="24"/>
        </w:rPr>
        <w:t>COOPERAÇÃO TECNOLÓGICA PARA ESTRUTURAÇÃO E VALIDAÇÃO DO AEROPROF INTELLIGENCE</w:t>
      </w:r>
    </w:p>
    <w:p>
      <w:pPr>
        <w:keepNext w:val="0"/>
        <w:keepLines w:val="0"/>
        <w:widowControl/>
        <w:spacing w:before="0" w:after="100" w:line="283" w:lineRule="auto"/>
        <w:jc w:val="both"/>
      </w:pPr>
      <w:r>
        <w:rPr>
          <w:rFonts w:ascii="Arial" w:hAnsi="Arial" w:eastAsia="Arial"/>
          <w:i/>
          <w:color w:val="202A35"/>
          <w:sz w:val="21"/>
        </w:rPr>
        <w:t>Aplicação do paradigma eMaintenance à infraestrutura aeroportuária da República de Angola</w:t>
      </w:r>
    </w:p>
    <w:p>
      <w:pPr>
        <w:pStyle w:val="DocumentNote"/>
        <w:spacing w:before="0" w:after="120" w:line="276" w:lineRule="auto"/>
        <w:ind w:left="255" w:right="255"/>
        <w:jc w:val="both"/>
        <w:shd w:fill="F7F9FB"/>
      </w:pPr>
      <w:r>
        <w:rPr>
          <w:rFonts w:ascii="Arial" w:hAnsi="Arial" w:eastAsia="Arial"/>
          <w:i/>
          <w:color w:val="5C6670"/>
          <w:sz w:val="19"/>
        </w:rPr>
        <w:t>Esta Minuta de Carta de Intenções é um documento institucional preliminar para revisão jurídica, regulatória, empresarial e institucional, não destinado à assinatura nesta versão. Registra formalmente os termos de cooperação tecnológica mútua, definição de papéis e responsabilidades operacionais e financeiras entre as entidades partícipes, com foco na soberania, segurança aeroportuária e capacitação de profissionais locais.</w:t>
      </w:r>
    </w:p>
    <w:p>
      <w:pPr>
        <w:pStyle w:val="Heading2"/>
        <w:keepNext/>
        <w:pageBreakBefore w:val="0"/>
        <w:spacing w:before="240" w:after="120"/>
        <w:jc w:val="left"/>
      </w:pPr>
      <w:r>
        <w:rPr>
          <w:rFonts w:ascii="Arial" w:hAnsi="Arial" w:eastAsia="Arial"/>
          <w:b/>
          <w:color w:val="0D5EA6"/>
          <w:sz w:val="24"/>
        </w:rPr>
        <w:t>1. IDENTIFICAÇÃO E QUALIFICAÇÃO PRELIMINAR DOS PARTICIPANTES</w:t>
      </w:r>
    </w:p>
    <w:p>
      <w:pPr>
        <w:keepNext w:val="0"/>
        <w:keepLines w:val="0"/>
        <w:widowControl/>
        <w:spacing w:before="0" w:after="100" w:line="283" w:lineRule="auto"/>
        <w:jc w:val="both"/>
      </w:pPr>
      <w:r>
        <w:rPr>
          <w:rFonts w:ascii="Arial" w:hAnsi="Arial" w:eastAsia="Arial"/>
          <w:color w:val="202A35"/>
          <w:sz w:val="21"/>
        </w:rPr>
        <w:t>1.1. De um lado, a SOCIEDADE GESTORA DE AEROPORTOS, S.A., também designada SGA, S.A., sociedade comercial anônima com estatuto de empresa de domínio público da República de Angola, dotada de personalidade e capacidade jurídica e de autonomia administrativa, financeira e patrimonial, constituída pelo Decreto Presidencial n.º 207/19, de 1 de julho, com sede na Rua 21 de Janeiro, Aeroporto Internacional 4 de Fevereiro, Caixa Postal n.º 841, Luanda, República de Angola, doravante denominada simplesmente "SGA".</w:t>
      </w:r>
    </w:p>
    <w:p>
      <w:pPr>
        <w:keepNext w:val="0"/>
        <w:keepLines w:val="0"/>
        <w:widowControl/>
        <w:spacing w:before="0" w:after="100" w:line="283" w:lineRule="auto"/>
        <w:jc w:val="both"/>
      </w:pPr>
      <w:r>
        <w:rPr>
          <w:rFonts w:ascii="Arial" w:hAnsi="Arial" w:eastAsia="Arial"/>
          <w:color w:val="202A35"/>
          <w:sz w:val="21"/>
        </w:rPr>
        <w:t>1.2. De outro lado, a DWELL SISTEMAS PARA INTERNET. INOVA SIMPLES (I.S.), pessoa jurídica brasileira inscrita no CNPJ sob o n.º 68.123.423/0001-32, de natureza jurídica 234-8 - Empresa Simples de Inovação, com sede em Salvador, Bahia, Brasil, doravante denominada simplesmente "DWELL", titular e desenvolvedora da plataforma AeroProf Intelligence.</w:t>
      </w:r>
    </w:p>
    <w:p>
      <w:pPr>
        <w:keepNext w:val="0"/>
        <w:keepLines w:val="0"/>
        <w:widowControl/>
        <w:spacing w:before="0" w:after="100" w:line="283" w:lineRule="auto"/>
        <w:jc w:val="both"/>
      </w:pPr>
      <w:r>
        <w:rPr>
          <w:rFonts w:ascii="Arial" w:hAnsi="Arial" w:eastAsia="Arial"/>
          <w:color w:val="202A35"/>
          <w:sz w:val="21"/>
        </w:rPr>
        <w:t>1.3. A SGA é a entidade pública angolana responsável pela gestão da infraestrutura aeroportuária sob sua administração, atuando na organização, coordenação e acompanhamento das condições operacionais, técnicas e patrimoniais dos aeroportos. No âmbito desta Carta, sua atuação compreende a definição do aeroporto e dos ativos abrangidos, a coordenação do acesso às áreas operacionais, a disponibilização ou contratação dos meios de campo, a obtenção das autorizações aplicáveis e o acompanhamento técnico da Prova de Conceito.</w:t>
      </w:r>
    </w:p>
    <w:p>
      <w:pPr>
        <w:pStyle w:val="Heading2"/>
        <w:keepNext/>
        <w:pageBreakBefore w:val="0"/>
        <w:spacing w:before="240" w:after="120"/>
        <w:jc w:val="left"/>
      </w:pPr>
      <w:r>
        <w:rPr>
          <w:rFonts w:ascii="Arial" w:hAnsi="Arial" w:eastAsia="Arial"/>
          <w:b/>
          <w:color w:val="0D5EA6"/>
          <w:sz w:val="24"/>
        </w:rPr>
        <w:t>2. ENQUADRAMENTO EMPRESARIAL DA DWELL E VINCULAÇÃO À PROVA DE CONCEITO</w:t>
      </w:r>
    </w:p>
    <w:p>
      <w:pPr>
        <w:keepNext w:val="0"/>
        <w:keepLines w:val="0"/>
        <w:widowControl/>
        <w:spacing w:before="0" w:after="100" w:line="283" w:lineRule="auto"/>
        <w:jc w:val="both"/>
      </w:pPr>
      <w:r>
        <w:rPr>
          <w:rFonts w:ascii="Arial" w:hAnsi="Arial" w:eastAsia="Arial"/>
          <w:color w:val="202A35"/>
          <w:sz w:val="21"/>
        </w:rPr>
        <w:t>2.1. A participação da DWELL na Prova de Conceito encontra correspondência direta com as atividades econômicas constantes de seu comprovante de inscrição e situação cadastral perante a Receita Federal do Brasil, de acordo com os seguintes códigos CNAE cadastrados:</w:t>
      </w:r>
    </w:p>
    <w:tbl>
      <w:tblPr>
        <w:jc w:val="left"/>
        <w:tblLook w:firstColumn="1" w:firstRow="1" w:lastColumn="0" w:lastRow="0" w:noHBand="0" w:noVBand="1" w:val="04A0"/>
        <w:tblW w:w="9638" w:type="dxa"/>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1750"/>
        <w:gridCol w:w="5350"/>
        <w:gridCol w:w="2538"/>
      </w:tblGrid>
      <w:tr>
        <w:trPr>
          <w:tblHeader w:val="true"/>
          <w:cantSplit/>
        </w:trPr>
        <w:tc>
          <w:tcPr>
            <w:tcW w:type="dxa" w:w="175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Código CNAE</w:t>
            </w:r>
          </w:p>
        </w:tc>
        <w:tc>
          <w:tcPr>
            <w:tcW w:type="dxa" w:w="535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Descrição da Atividade Econômica</w:t>
            </w:r>
          </w:p>
        </w:tc>
        <w:tc>
          <w:tcPr>
            <w:tcW w:type="dxa" w:w="2538"/>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Enquadramento</w:t>
            </w:r>
          </w:p>
        </w:tc>
      </w:tr>
      <w:tr>
        <w:trPr>
          <w:cantSplit/>
        </w:trPr>
        <w:tc>
          <w:tcPr>
            <w:tcW w:type="dxa" w:w="17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62.01-5-01</w:t>
            </w:r>
          </w:p>
        </w:tc>
        <w:tc>
          <w:tcPr>
            <w:tcW w:type="dxa" w:w="53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Desenvolvimento de programas de computador sob encomenda</w:t>
            </w:r>
          </w:p>
        </w:tc>
        <w:tc>
          <w:tcPr>
            <w:tcW w:type="dxa" w:w="253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Atividade principal</w:t>
            </w:r>
          </w:p>
        </w:tc>
      </w:tr>
      <w:tr>
        <w:trPr>
          <w:cantSplit/>
        </w:trPr>
        <w:tc>
          <w:tcPr>
            <w:tcW w:type="dxa" w:w="17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72.10-0-00</w:t>
            </w:r>
          </w:p>
        </w:tc>
        <w:tc>
          <w:tcPr>
            <w:tcW w:type="dxa" w:w="53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Pesquisa e desenvolvimento experimental em ciências físicas e naturais</w:t>
            </w:r>
          </w:p>
        </w:tc>
        <w:tc>
          <w:tcPr>
            <w:tcW w:type="dxa" w:w="253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Atividade secundária</w:t>
            </w:r>
          </w:p>
        </w:tc>
      </w:tr>
      <w:tr>
        <w:trPr>
          <w:cantSplit/>
        </w:trPr>
        <w:tc>
          <w:tcPr>
            <w:tcW w:type="dxa" w:w="17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63.11-9-00</w:t>
            </w:r>
          </w:p>
        </w:tc>
        <w:tc>
          <w:tcPr>
            <w:tcW w:type="dxa" w:w="53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Tratamento de dados, provedores de serviços de aplicação e serviços de hospedagem na internet</w:t>
            </w:r>
          </w:p>
        </w:tc>
        <w:tc>
          <w:tcPr>
            <w:tcW w:type="dxa" w:w="253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Atividade secundária</w:t>
            </w:r>
          </w:p>
        </w:tc>
      </w:tr>
      <w:tr>
        <w:trPr>
          <w:cantSplit/>
        </w:trPr>
        <w:tc>
          <w:tcPr>
            <w:tcW w:type="dxa" w:w="17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62.04-0-00</w:t>
            </w:r>
          </w:p>
        </w:tc>
        <w:tc>
          <w:tcPr>
            <w:tcW w:type="dxa" w:w="53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Consultoria em tecnologia da informação</w:t>
            </w:r>
          </w:p>
        </w:tc>
        <w:tc>
          <w:tcPr>
            <w:tcW w:type="dxa" w:w="253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Atividade secundária</w:t>
            </w:r>
          </w:p>
        </w:tc>
      </w:tr>
      <w:tr>
        <w:trPr>
          <w:cantSplit/>
        </w:trPr>
        <w:tc>
          <w:tcPr>
            <w:tcW w:type="dxa" w:w="17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62.09-1-00</w:t>
            </w:r>
          </w:p>
        </w:tc>
        <w:tc>
          <w:tcPr>
            <w:tcW w:type="dxa" w:w="53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Suporte técnico, manutenção e outros serviços em tecnologia da informação</w:t>
            </w:r>
          </w:p>
        </w:tc>
        <w:tc>
          <w:tcPr>
            <w:tcW w:type="dxa" w:w="253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Atividade secundária</w:t>
            </w:r>
          </w:p>
        </w:tc>
      </w:tr>
      <w:tr>
        <w:trPr>
          <w:cantSplit/>
        </w:trPr>
        <w:tc>
          <w:tcPr>
            <w:tcW w:type="dxa" w:w="17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62.02-3-00</w:t>
            </w:r>
          </w:p>
        </w:tc>
        <w:tc>
          <w:tcPr>
            <w:tcW w:type="dxa" w:w="53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Desenvolvimento e licenciamento de programas de computador customizáveis</w:t>
            </w:r>
          </w:p>
        </w:tc>
        <w:tc>
          <w:tcPr>
            <w:tcW w:type="dxa" w:w="253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Atividade secundária</w:t>
            </w:r>
          </w:p>
        </w:tc>
      </w:tr>
      <w:tr>
        <w:trPr>
          <w:cantSplit/>
        </w:trPr>
        <w:tc>
          <w:tcPr>
            <w:tcW w:type="dxa" w:w="17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85.99-6-03</w:t>
            </w:r>
          </w:p>
        </w:tc>
        <w:tc>
          <w:tcPr>
            <w:tcW w:type="dxa" w:w="53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Treinamento em informática</w:t>
            </w:r>
          </w:p>
        </w:tc>
        <w:tc>
          <w:tcPr>
            <w:tcW w:type="dxa" w:w="253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Atividade secundária</w:t>
            </w:r>
          </w:p>
        </w:tc>
      </w:tr>
    </w:tbl>
    <w:p>
      <w:pPr>
        <w:keepNext w:val="0"/>
        <w:keepLines w:val="0"/>
        <w:widowControl/>
        <w:spacing w:before="0" w:after="100" w:line="283" w:lineRule="auto"/>
        <w:jc w:val="both"/>
      </w:pPr>
      <w:r>
        <w:rPr>
          <w:rFonts w:ascii="Arial" w:hAnsi="Arial" w:eastAsia="Arial"/>
          <w:color w:val="202A35"/>
          <w:sz w:val="21"/>
        </w:rPr>
        <w:t>2.2. A Prova de Conceito deverá permanecer delimitada às atividades tecnológicas, computacionais, de pesquisa, integração, processamento, documentação e suporte compatíveis com o objeto empresarial da DWELL. Atividades de engenharia de campo, operação aeronáutica, ensaios laboratoriais, pilotagem de aeronaves remotamente pilotadas e demais atividades sujeitas a habilitação profissional ou autorização específica serão executadas pela SGA ou por entidades e profissionais por ela indicados ou contratados, legalmente habilitados.</w:t>
      </w:r>
    </w:p>
    <w:p>
      <w:pPr>
        <w:pStyle w:val="Heading2"/>
        <w:keepNext/>
        <w:pageBreakBefore w:val="0"/>
        <w:spacing w:before="240" w:after="120"/>
        <w:jc w:val="left"/>
      </w:pPr>
      <w:r>
        <w:rPr>
          <w:rFonts w:ascii="Arial" w:hAnsi="Arial" w:eastAsia="Arial"/>
          <w:b/>
          <w:color w:val="0D5EA6"/>
          <w:sz w:val="24"/>
        </w:rPr>
        <w:t>3. CONSIDERAÇÕES E JUSTIFICATIVA DA COOPERAÇÃO</w:t>
      </w:r>
    </w:p>
    <w:p>
      <w:pPr>
        <w:keepNext w:val="0"/>
        <w:keepLines w:val="0"/>
        <w:widowControl/>
        <w:spacing w:before="0" w:after="100" w:line="283" w:lineRule="auto"/>
        <w:jc w:val="both"/>
      </w:pPr>
      <w:r>
        <w:rPr>
          <w:rFonts w:ascii="Arial" w:hAnsi="Arial" w:eastAsia="Arial"/>
          <w:color w:val="202A35"/>
          <w:sz w:val="21"/>
        </w:rPr>
        <w:t>3.1. A gestão aeroportuária exige conhecimento atualizado e verificável da condição dos ativos, rastreabilidade das inspeções, conservação do histórico técnico, priorização de intervenções e capacidade de demonstrar, perante instâncias internas e autoridades competentes, a origem das informações que fundamentam decisões de manutenção.</w:t>
      </w:r>
    </w:p>
    <w:p>
      <w:pPr>
        <w:keepNext w:val="0"/>
        <w:keepLines w:val="0"/>
        <w:widowControl/>
        <w:spacing w:before="0" w:after="100" w:line="283" w:lineRule="auto"/>
        <w:jc w:val="both"/>
      </w:pPr>
      <w:r>
        <w:rPr>
          <w:rFonts w:ascii="Arial" w:hAnsi="Arial" w:eastAsia="Arial"/>
          <w:color w:val="202A35"/>
          <w:sz w:val="21"/>
        </w:rPr>
        <w:t>3.2. A presente iniciativa parte da hipótese de que a integração de dados de inspeção, georreferenciamento, sensoriamento, métodos de engenharia e processamento computacional pode reduzir a fragmentação informacional e aumentar a qualidade da decisão sobre a infraestrutura aeroportuária.</w:t>
      </w:r>
    </w:p>
    <w:p>
      <w:pPr>
        <w:keepNext w:val="0"/>
        <w:keepLines w:val="0"/>
        <w:widowControl/>
        <w:spacing w:before="0" w:after="100" w:line="283" w:lineRule="auto"/>
        <w:jc w:val="both"/>
      </w:pPr>
      <w:r>
        <w:rPr>
          <w:rFonts w:ascii="Arial" w:hAnsi="Arial" w:eastAsia="Arial"/>
          <w:color w:val="202A35"/>
          <w:sz w:val="21"/>
        </w:rPr>
        <w:t>3.3. A DWELL desenvolve o AeroProf Intelligence para estruturar essa cadeia digital de evidências. A eventual utilização da plataforma pela SGA dependerá, entretanto, de validação em condições reais ou representativas, mediante confronto dos resultados computacionais com métodos independentes de referência e dados de campo.</w:t>
      </w:r>
    </w:p>
    <w:p>
      <w:pPr>
        <w:pStyle w:val="Heading2"/>
        <w:keepNext/>
        <w:pageBreakBefore w:val="0"/>
        <w:spacing w:before="240" w:after="120"/>
        <w:jc w:val="left"/>
      </w:pPr>
      <w:r>
        <w:rPr>
          <w:rFonts w:ascii="Arial" w:hAnsi="Arial" w:eastAsia="Arial"/>
          <w:b/>
          <w:color w:val="0D5EA6"/>
          <w:sz w:val="24"/>
        </w:rPr>
        <w:t>4. DO ENQUADRAMENTO TECNOLÓGICO: eMAINTENANCE</w:t>
      </w:r>
    </w:p>
    <w:p>
      <w:pPr>
        <w:keepNext w:val="0"/>
        <w:keepLines w:val="0"/>
        <w:widowControl/>
        <w:spacing w:before="0" w:after="100" w:line="283" w:lineRule="auto"/>
        <w:jc w:val="both"/>
      </w:pPr>
      <w:r>
        <w:rPr>
          <w:rFonts w:ascii="Arial" w:hAnsi="Arial" w:eastAsia="Arial"/>
          <w:color w:val="202A35"/>
          <w:sz w:val="21"/>
        </w:rPr>
        <w:t>4.1. Para os fins desta Carta, eMaintenance designa o paradigma de integração entre tecnologias digitais, dados de engenharia, sistemas de informação, histórico de ativos e processos de manutenção, com o propósito de apoiar o acompanhamento da condição, a rastreabilidade e a tomada de decisão técnica.</w:t>
      </w:r>
    </w:p>
    <w:p>
      <w:pPr>
        <w:keepNext w:val="0"/>
        <w:keepLines w:val="0"/>
        <w:widowControl/>
        <w:spacing w:before="0" w:after="100" w:line="283" w:lineRule="auto"/>
        <w:jc w:val="both"/>
      </w:pPr>
      <w:r>
        <w:rPr>
          <w:rFonts w:ascii="Arial" w:hAnsi="Arial" w:eastAsia="Arial"/>
          <w:color w:val="202A35"/>
          <w:sz w:val="21"/>
        </w:rPr>
        <w:t>4.2. No contexto aeroportuário, a abordagem será aplicada à cadeia: infraestrutura física; aquisição de dados; georreferenciamento; registro da evidência; processamento; comparação com métodos de referência; caracterização da condição; priorização; planejamento da manutenção; intervenção; registro histórico; e retroalimentação do sistema.</w:t>
      </w:r>
    </w:p>
    <w:p>
      <w:pPr>
        <w:keepNext w:val="0"/>
        <w:keepLines w:val="0"/>
        <w:widowControl/>
        <w:spacing w:before="0" w:after="100" w:line="283" w:lineRule="auto"/>
        <w:jc w:val="both"/>
      </w:pPr>
      <w:r>
        <w:rPr>
          <w:rFonts w:ascii="Arial" w:hAnsi="Arial" w:eastAsia="Arial"/>
          <w:color w:val="202A35"/>
          <w:sz w:val="21"/>
        </w:rPr>
        <w:t>4.3. O AeroProf Intelligence será avaliado como camada tecnológica de integração e rastreabilidade dessa cadeia. A referência a eMaintenance não implica que todas as tecnologias associadas ao conceito estejam implementadas ou validadas na versão inicial da plataforma.</w:t>
      </w:r>
    </w:p>
    <w:p>
      <w:pPr>
        <w:keepNext w:val="0"/>
        <w:keepLines w:val="0"/>
        <w:widowControl/>
        <w:spacing w:before="0" w:after="100" w:line="283" w:lineRule="auto"/>
        <w:jc w:val="both"/>
      </w:pPr>
      <w:r>
        <w:rPr>
          <w:rFonts w:ascii="Arial" w:hAnsi="Arial" w:eastAsia="Arial"/>
          <w:color w:val="202A35"/>
          <w:sz w:val="21"/>
        </w:rPr>
        <w:t>4.4. O AeroProf Intelligence é concebido como plataforma tecnológica de aplicação internacional, com núcleo funcional independente de jurisdição específica. Requisitos legais, regulamentares e normativos serão associados ao contexto de utilização conforme a jurisdição, autoridade competente, operador aeroportuário, aeroporto, ativo e atividade.</w:t>
      </w:r>
    </w:p>
    <w:p>
      <w:pPr>
        <w:keepNext w:val="0"/>
        <w:keepLines w:val="0"/>
        <w:widowControl/>
        <w:spacing w:before="0" w:after="100" w:line="283" w:lineRule="auto"/>
        <w:jc w:val="both"/>
      </w:pPr>
      <w:r>
        <w:rPr>
          <w:rFonts w:ascii="Arial" w:hAnsi="Arial" w:eastAsia="Arial"/>
          <w:color w:val="202A35"/>
          <w:sz w:val="21"/>
        </w:rPr>
        <w:t>4.5. Sempre que requisitos normativos forem utilizados, a plataforma deverá preservar, quando aplicável, sua rastreabilidade, incluindo autoridade emissora, documento, versão ou revisão, vigência e contexto de aplicação, sem constituir interpretação jurídica vinculante, certificação ou substituição de autoridade ou profissional habilitado.</w:t>
      </w:r>
    </w:p>
    <w:p>
      <w:pPr>
        <w:pStyle w:val="PipelineCallout"/>
        <w:spacing w:before="0" w:after="120" w:line="276" w:lineRule="auto"/>
        <w:ind w:left="142" w:right="142"/>
        <w:jc w:val="center"/>
        <w:shd w:fill="EDF3F8"/>
      </w:pPr>
      <w:r>
        <w:rPr>
          <w:rFonts w:ascii="Arial" w:hAnsi="Arial" w:eastAsia="Arial"/>
          <w:b/>
          <w:color w:val="073763"/>
          <w:sz w:val="19"/>
        </w:rPr>
        <w:t>INFRAESTRUTURA → INSPEÇÃO → EVIDÊNCIA → DADOS → ANÁLISE → VALIDAÇÃO → DECISÃO → MANUTENÇÃO → HISTÓRICO</w:t>
      </w:r>
    </w:p>
    <w:p>
      <w:pPr>
        <w:pStyle w:val="Heading2"/>
        <w:keepNext/>
        <w:pageBreakBefore w:val="0"/>
        <w:spacing w:before="240" w:after="120"/>
        <w:jc w:val="left"/>
      </w:pPr>
      <w:r>
        <w:rPr>
          <w:rFonts w:ascii="Arial" w:hAnsi="Arial" w:eastAsia="Arial"/>
          <w:b/>
          <w:color w:val="0D5EA6"/>
          <w:sz w:val="24"/>
        </w:rPr>
        <w:t>5. DO OBJETO</w:t>
      </w:r>
    </w:p>
    <w:p>
      <w:pPr>
        <w:keepNext w:val="0"/>
        <w:keepLines w:val="0"/>
        <w:widowControl/>
        <w:spacing w:before="0" w:after="100" w:line="283" w:lineRule="auto"/>
        <w:jc w:val="both"/>
      </w:pPr>
      <w:r>
        <w:rPr>
          <w:rFonts w:ascii="Arial" w:hAnsi="Arial" w:eastAsia="Arial"/>
          <w:color w:val="202A35"/>
          <w:sz w:val="21"/>
        </w:rPr>
        <w:t>5.1. Constitui objeto desta Carta registrar o interesse preliminar na estruturação de cooperação tecnológica destinada à preparação, execução e avaliação de Prova de Conceito do AeroProf Intelligence em infraestrutura aeroportuária sob gestão da SGA.</w:t>
      </w:r>
    </w:p>
    <w:p>
      <w:pPr>
        <w:keepNext w:val="0"/>
        <w:keepLines w:val="0"/>
        <w:widowControl/>
        <w:spacing w:before="0" w:after="100" w:line="283" w:lineRule="auto"/>
        <w:jc w:val="both"/>
      </w:pPr>
      <w:r>
        <w:rPr>
          <w:rFonts w:ascii="Arial" w:hAnsi="Arial" w:eastAsia="Arial"/>
          <w:color w:val="202A35"/>
          <w:sz w:val="21"/>
        </w:rPr>
        <w:t>5.2. O aeroporto, os ativos, a área de levantamento, o cronograma, os métodos de referência, os critérios de avaliação, os equipamentos, os recursos humanos e as autorizações aplicáveis deverão constar de Plano Técnico específico, a ser aprovado antes de qualquer atividade de campo.</w:t>
      </w:r>
    </w:p>
    <w:p>
      <w:pPr>
        <w:pStyle w:val="Heading2"/>
        <w:keepNext/>
        <w:pageBreakBefore w:val="0"/>
        <w:spacing w:before="240" w:after="120"/>
        <w:jc w:val="left"/>
      </w:pPr>
      <w:r>
        <w:rPr>
          <w:rFonts w:ascii="Arial" w:hAnsi="Arial" w:eastAsia="Arial"/>
          <w:b/>
          <w:color w:val="0D5EA6"/>
          <w:sz w:val="24"/>
        </w:rPr>
        <w:t>6. DA NATUREZA DA PROVA DE CONCEITO E DOS CRITÉRIOS DE VALIDAÇÃO</w:t>
      </w:r>
    </w:p>
    <w:p>
      <w:pPr>
        <w:keepNext w:val="0"/>
        <w:keepLines w:val="0"/>
        <w:widowControl/>
        <w:spacing w:before="0" w:after="100" w:line="283" w:lineRule="auto"/>
        <w:jc w:val="both"/>
      </w:pPr>
      <w:r>
        <w:rPr>
          <w:rFonts w:ascii="Arial" w:hAnsi="Arial" w:eastAsia="Arial"/>
          <w:color w:val="202A35"/>
          <w:sz w:val="21"/>
        </w:rPr>
        <w:t>6.1. A Prova de Conceito terá natureza experimental, demonstrativa e de validação tecnológica. Sua realização não constituirá homologação, certificação, aceite comercial definitivo ou declaração de conformidade regulatória do AeroProf Intelligence.</w:t>
      </w:r>
    </w:p>
    <w:p>
      <w:pPr>
        <w:keepNext w:val="0"/>
        <w:keepLines w:val="0"/>
        <w:widowControl/>
        <w:spacing w:before="0" w:after="100" w:line="283" w:lineRule="auto"/>
        <w:jc w:val="both"/>
      </w:pPr>
      <w:r>
        <w:rPr>
          <w:rFonts w:ascii="Arial" w:hAnsi="Arial" w:eastAsia="Arial"/>
          <w:color w:val="202A35"/>
          <w:sz w:val="21"/>
        </w:rPr>
        <w:t>6.2. Os parâmetros de avaliação deverão ser definidos previamente à execução e documentados no Plano Técnico. A conclusão deverá resultar do confronto entre os resultados produzidos pela plataforma, os dados primários de campo, os métodos independentes de referência e a avaliação de profissionais ou entidades tecnicamente competentes.</w:t>
      </w:r>
    </w:p>
    <w:p>
      <w:pPr>
        <w:keepNext w:val="0"/>
        <w:keepLines w:val="0"/>
        <w:widowControl/>
        <w:spacing w:before="0" w:after="100" w:line="283" w:lineRule="auto"/>
        <w:jc w:val="both"/>
      </w:pPr>
      <w:r>
        <w:rPr>
          <w:rFonts w:ascii="Arial" w:hAnsi="Arial" w:eastAsia="Arial"/>
          <w:color w:val="202A35"/>
          <w:sz w:val="21"/>
        </w:rPr>
        <w:t>6.3. A conclusão poderá reconhecer aderência integral, aderência parcial, divergência, insuficiência de dados ou necessidade de aperfeiçoamento. Não haverá presunção contratual de êxito.</w:t>
      </w:r>
    </w:p>
    <w:p>
      <w:pPr>
        <w:pStyle w:val="Heading2"/>
        <w:keepNext/>
        <w:pageBreakBefore w:val="0"/>
        <w:spacing w:before="240" w:after="120"/>
        <w:jc w:val="left"/>
      </w:pPr>
      <w:r>
        <w:rPr>
          <w:rFonts w:ascii="Arial" w:hAnsi="Arial" w:eastAsia="Arial"/>
          <w:b/>
          <w:color w:val="0D5EA6"/>
          <w:sz w:val="24"/>
        </w:rPr>
        <w:t>7. DOS MÉTODOS DE REFERÊNCIA E DA VERIFICAÇÃO INDEPENDENTE</w:t>
      </w:r>
    </w:p>
    <w:p>
      <w:pPr>
        <w:keepNext w:val="0"/>
        <w:keepLines w:val="0"/>
        <w:widowControl/>
        <w:spacing w:before="0" w:after="100" w:line="283" w:lineRule="auto"/>
        <w:jc w:val="both"/>
      </w:pPr>
      <w:r>
        <w:rPr>
          <w:rFonts w:ascii="Arial" w:hAnsi="Arial" w:eastAsia="Arial"/>
          <w:color w:val="202A35"/>
          <w:sz w:val="21"/>
        </w:rPr>
        <w:t>7.1. Conforme a natureza do ativo e a finalidade do ensaio, poderão ser utilizados, entre outros, inspeção visual técnica, Índice de Condição do Pavimento (PCI) quando aplicável, radar de penetração no solo (GPR), Deflectômetro de Impacto (FWD) ou Deflectômetro de Impacto Pesado (HWD), levantamentos topográficos e geoespaciais, fotogrametria, LiDAR, documentação construtiva (as-built), ensaios laboratoriais, sondagens e extração de testemunhos (coring).</w:t>
      </w:r>
    </w:p>
    <w:p>
      <w:pPr>
        <w:keepNext w:val="0"/>
        <w:keepLines w:val="0"/>
        <w:widowControl/>
        <w:spacing w:before="0" w:after="100" w:line="283" w:lineRule="auto"/>
        <w:jc w:val="both"/>
      </w:pPr>
      <w:r>
        <w:rPr>
          <w:rFonts w:ascii="Arial" w:hAnsi="Arial" w:eastAsia="Arial"/>
          <w:color w:val="202A35"/>
          <w:sz w:val="21"/>
        </w:rPr>
        <w:t>7.2. A escolha do método deverá considerar adequação técnica, legislação aplicável, disponibilidade local, rastreabilidade metrológica e capacidade de produzir referência independente para comparação com os resultados do AeroProf Intelligence.</w:t>
      </w:r>
    </w:p>
    <w:p>
      <w:pPr>
        <w:pStyle w:val="Heading2"/>
        <w:keepNext/>
        <w:pageBreakBefore w:val="0"/>
        <w:spacing w:before="240" w:after="120"/>
        <w:jc w:val="left"/>
      </w:pPr>
      <w:r>
        <w:rPr>
          <w:rFonts w:ascii="Arial" w:hAnsi="Arial" w:eastAsia="Arial"/>
          <w:b/>
          <w:color w:val="0D5EA6"/>
          <w:sz w:val="24"/>
        </w:rPr>
        <w:t>8. DAS RESPONSABILIDADES OPERACIONAIS DA SGA</w:t>
      </w:r>
    </w:p>
    <w:p>
      <w:pPr>
        <w:keepNext w:val="0"/>
        <w:keepLines w:val="0"/>
        <w:widowControl/>
        <w:spacing w:before="0" w:after="100" w:line="283" w:lineRule="auto"/>
        <w:jc w:val="both"/>
      </w:pPr>
      <w:r>
        <w:rPr>
          <w:rFonts w:ascii="Arial" w:hAnsi="Arial" w:eastAsia="Arial"/>
          <w:color w:val="202A35"/>
          <w:sz w:val="21"/>
        </w:rPr>
        <w:t>8.1. Considerando a condição da SGA como gestora da infraestrutura aeroportuária e a necessidade de observância das normas angolanas relativas ao espaço aéreo, acesso às áreas operacionais, segurança aeroportuária, contratação e utilização de mão de obra, caberia à SGA, diretamente ou por entidades por ela indicadas ou contratadas, assegurar os meios operacionais e recursos necessários à Prova de Conceito, executando as seguintes atribuições específicas:</w:t>
      </w:r>
    </w:p>
    <w:p>
      <w:pPr>
        <w:keepNext w:val="0"/>
        <w:keepLines w:val="0"/>
        <w:widowControl/>
        <w:spacing w:before="0" w:after="100" w:line="283" w:lineRule="auto"/>
        <w:jc w:val="both"/>
      </w:pPr>
      <w:r>
        <w:rPr>
          <w:rFonts w:ascii="Arial" w:hAnsi="Arial" w:eastAsia="Arial"/>
          <w:color w:val="202A35"/>
          <w:sz w:val="21"/>
        </w:rPr>
        <w:t>8.2. Disponibilizar ou contratar a mão de obra técnica especializada necessária às atividades de campo, observadas as habilitações profissionais exigíveis;</w:t>
      </w:r>
    </w:p>
    <w:p>
      <w:pPr>
        <w:keepNext w:val="0"/>
        <w:keepLines w:val="0"/>
        <w:widowControl/>
        <w:spacing w:before="0" w:after="100" w:line="283" w:lineRule="auto"/>
        <w:jc w:val="both"/>
      </w:pPr>
      <w:r>
        <w:rPr>
          <w:rFonts w:ascii="Arial" w:hAnsi="Arial" w:eastAsia="Arial"/>
          <w:color w:val="202A35"/>
          <w:sz w:val="21"/>
        </w:rPr>
        <w:t>8.3. Disponibilizar, contratar ou autorizar aeronaves remotamente pilotadas (UAS), sistemas associados, operadores e pilotos remotos necessários aos levantamentos previstos;</w:t>
      </w:r>
    </w:p>
    <w:p>
      <w:pPr>
        <w:keepNext w:val="0"/>
        <w:keepLines w:val="0"/>
        <w:widowControl/>
        <w:spacing w:before="0" w:after="100" w:line="283" w:lineRule="auto"/>
        <w:jc w:val="both"/>
      </w:pPr>
      <w:r>
        <w:rPr>
          <w:rFonts w:ascii="Arial" w:hAnsi="Arial" w:eastAsia="Arial"/>
          <w:color w:val="202A35"/>
          <w:sz w:val="21"/>
        </w:rPr>
        <w:t>8.4. Obter ou promover a obtenção das autorizações aeronáuticas, aeroportuárias, operacionais e de segurança necessárias às operações com aeronaves remotamente pilotadas e ao uso do espaço aéreo perante a ANAC Angola e o controle de tráfego aéreo (ATS);</w:t>
      </w:r>
    </w:p>
    <w:p>
      <w:pPr>
        <w:keepNext w:val="0"/>
        <w:keepLines w:val="0"/>
        <w:widowControl/>
        <w:spacing w:before="0" w:after="100" w:line="283" w:lineRule="auto"/>
        <w:jc w:val="both"/>
      </w:pPr>
      <w:r>
        <w:rPr>
          <w:rFonts w:ascii="Arial" w:hAnsi="Arial" w:eastAsia="Arial"/>
          <w:color w:val="202A35"/>
          <w:sz w:val="21"/>
        </w:rPr>
        <w:t>8.5. Autorizar e coordenar o acesso de pessoas, veículos e equipamentos às áreas restritas e operacionais (Airside) abrangidas pela Prova de Conceito;</w:t>
      </w:r>
    </w:p>
    <w:p>
      <w:pPr>
        <w:keepNext w:val="0"/>
        <w:keepLines w:val="0"/>
        <w:widowControl/>
        <w:spacing w:before="0" w:after="100" w:line="283" w:lineRule="auto"/>
        <w:jc w:val="both"/>
      </w:pPr>
      <w:r>
        <w:rPr>
          <w:rFonts w:ascii="Arial" w:hAnsi="Arial" w:eastAsia="Arial"/>
          <w:color w:val="202A35"/>
          <w:sz w:val="21"/>
        </w:rPr>
        <w:t>8.6. Disponibilizar, contratar ou viabilizar equipamentos e serviços especializados para produção dos dados independentes de referência, incluindo, conforme o Plano Técnico, radar de penetração no solo (GPR), Deflectômetro de Impacto (FWD) ou Heavy Weight Deflectometer (HWD), LiDAR, e levantamentos topográficos, geodésicos e fotogramétricos;</w:t>
      </w:r>
    </w:p>
    <w:p>
      <w:pPr>
        <w:keepNext w:val="0"/>
        <w:keepLines w:val="0"/>
        <w:widowControl/>
        <w:spacing w:before="0" w:after="100" w:line="283" w:lineRule="auto"/>
        <w:jc w:val="both"/>
      </w:pPr>
      <w:r>
        <w:rPr>
          <w:rFonts w:ascii="Arial" w:hAnsi="Arial" w:eastAsia="Arial"/>
          <w:color w:val="202A35"/>
          <w:sz w:val="21"/>
        </w:rPr>
        <w:t>8.7. Providenciar, quando previstos no Plano Técnico, ensaios destrutivos ou semidestrutivos, incluindo extração física de testemunhos (coring), sondagens e ensaios laboratoriais de calibração;</w:t>
      </w:r>
    </w:p>
    <w:p>
      <w:pPr>
        <w:keepNext w:val="0"/>
        <w:keepLines w:val="0"/>
        <w:widowControl/>
        <w:spacing w:before="0" w:after="100" w:line="283" w:lineRule="auto"/>
        <w:jc w:val="both"/>
      </w:pPr>
      <w:r>
        <w:rPr>
          <w:rFonts w:ascii="Arial" w:hAnsi="Arial" w:eastAsia="Arial"/>
          <w:color w:val="202A35"/>
          <w:sz w:val="21"/>
        </w:rPr>
        <w:t>8.8. Assegurar que ensaios e levantamentos sujeitos a responsabilidade técnica sejam executados por profissionais ou entidades legalmente habilitados perante as instituições de engenharia de Angola, preservando relatórios, certificados, calibrações e a devida identificação dos responsáveis;</w:t>
      </w:r>
    </w:p>
    <w:p>
      <w:pPr>
        <w:keepNext w:val="0"/>
        <w:keepLines w:val="0"/>
        <w:widowControl/>
        <w:spacing w:before="0" w:after="100" w:line="283" w:lineRule="auto"/>
        <w:jc w:val="both"/>
      </w:pPr>
      <w:r>
        <w:rPr>
          <w:rFonts w:ascii="Arial" w:hAnsi="Arial" w:eastAsia="Arial"/>
          <w:color w:val="202A35"/>
          <w:sz w:val="21"/>
        </w:rPr>
        <w:t>8.9. Disponibilizar os dados históricos, cadastrais, construtivos (as-built), operacionais e de manutenção cuja utilização tenha sido devidamente autorizada;</w:t>
      </w:r>
    </w:p>
    <w:p>
      <w:pPr>
        <w:keepNext w:val="0"/>
        <w:keepLines w:val="0"/>
        <w:widowControl/>
        <w:spacing w:before="0" w:after="100" w:line="283" w:lineRule="auto"/>
        <w:jc w:val="both"/>
      </w:pPr>
      <w:r>
        <w:rPr>
          <w:rFonts w:ascii="Arial" w:hAnsi="Arial" w:eastAsia="Arial"/>
          <w:color w:val="202A35"/>
          <w:sz w:val="21"/>
        </w:rPr>
        <w:t>8.10. Designar profissionais qualificados para acompanhamento da execução, fiscalização técnica de campo, avaliação conjunta dos resultados e retenção do conhecimento institucional;</w:t>
      </w:r>
    </w:p>
    <w:p>
      <w:pPr>
        <w:keepNext w:val="0"/>
        <w:keepLines w:val="0"/>
        <w:widowControl/>
        <w:spacing w:before="0" w:after="100" w:line="283" w:lineRule="auto"/>
        <w:jc w:val="both"/>
      </w:pPr>
      <w:r>
        <w:rPr>
          <w:rFonts w:ascii="Arial" w:hAnsi="Arial" w:eastAsia="Arial"/>
          <w:color w:val="202A35"/>
          <w:sz w:val="21"/>
        </w:rPr>
        <w:t>8.11. Coordenar horários, janelas de pista ociosa, isolamento de áreas operacionais, circulação de pessoal e compatibilização integral dos trabalhos da PoC com a operação regular comercial do aeródromo, emitindo NOTAM se necessário;</w:t>
      </w:r>
    </w:p>
    <w:p>
      <w:pPr>
        <w:keepNext w:val="0"/>
        <w:keepLines w:val="0"/>
        <w:widowControl/>
        <w:spacing w:before="0" w:after="100" w:line="283" w:lineRule="auto"/>
        <w:jc w:val="both"/>
      </w:pPr>
      <w:r>
        <w:rPr>
          <w:rFonts w:ascii="Arial" w:hAnsi="Arial" w:eastAsia="Arial"/>
          <w:color w:val="202A35"/>
          <w:sz w:val="21"/>
        </w:rPr>
        <w:t>8.12. Preservar as evidências primárias produzidas pelos levantamentos e ensaios realizados sob sua responsabilidade, garantindo a integridade dos dados originais;</w:t>
      </w:r>
    </w:p>
    <w:p>
      <w:pPr>
        <w:keepNext w:val="0"/>
        <w:keepLines w:val="0"/>
        <w:widowControl/>
        <w:spacing w:before="0" w:after="100" w:line="283" w:lineRule="auto"/>
        <w:jc w:val="both"/>
      </w:pPr>
      <w:r>
        <w:rPr>
          <w:rFonts w:ascii="Arial" w:hAnsi="Arial" w:eastAsia="Arial"/>
          <w:color w:val="202A35"/>
          <w:sz w:val="21"/>
        </w:rPr>
        <w:t>8.13. Assegurar que a contratação e mobilização de mão de obra observem a legislação angolana aplicável e as políticas vigentes de valorização, capacitação e participação da força de trabalho nacional;</w:t>
      </w:r>
    </w:p>
    <w:p>
      <w:pPr>
        <w:keepNext w:val="0"/>
        <w:keepLines w:val="0"/>
        <w:widowControl/>
        <w:spacing w:before="0" w:after="100" w:line="283" w:lineRule="auto"/>
        <w:jc w:val="both"/>
      </w:pPr>
      <w:r>
        <w:rPr>
          <w:rFonts w:ascii="Arial" w:hAnsi="Arial" w:eastAsia="Arial"/>
          <w:b/>
          <w:color w:val="202A35"/>
          <w:sz w:val="21"/>
        </w:rPr>
        <w:t>8.14. Disponibilizar ou contratar, e INTEGRALMENTE CUSTEAR, empresa especializada ou equipe de desenvolvimento de software com capacidade técnica para apoiar a construção, adaptação e a evolução do AeroProf Intelligence em conformidade com as normas técnicas internacionais aplicáveis a sistemas dessa natureza, engenharia de requisitos, interoperabilidade e segurança;</w:t>
      </w:r>
    </w:p>
    <w:p>
      <w:pPr>
        <w:keepNext w:val="0"/>
        <w:keepLines w:val="0"/>
        <w:widowControl/>
        <w:spacing w:before="0" w:after="100" w:line="283" w:lineRule="auto"/>
        <w:jc w:val="both"/>
      </w:pPr>
      <w:r>
        <w:rPr>
          <w:rFonts w:ascii="Arial" w:hAnsi="Arial" w:eastAsia="Arial"/>
          <w:b/>
          <w:color w:val="202A35"/>
          <w:sz w:val="21"/>
        </w:rPr>
        <w:t>8.15. Fornecer, providenciar e INTEGRALMENTE CUSTEAR a infraestrutura computacional, de redes e armazenamento necessária à Prova de Conceito, incluindo conectividade de dados, armazenamento seguro de nuvens de pontos (arquivos LAS/LAZ), servidores locais ou em nuvem, licenças de software, ambientes de processamento, serviços especializados e capacidade de processamento distribuído ou em cluster para geração, tratamento, visualização e conservação de dados densos;</w:t>
      </w:r>
    </w:p>
    <w:p>
      <w:pPr>
        <w:keepNext w:val="0"/>
        <w:keepLines w:val="0"/>
        <w:widowControl/>
        <w:spacing w:before="0" w:after="100" w:line="283" w:lineRule="auto"/>
        <w:jc w:val="both"/>
      </w:pPr>
      <w:r>
        <w:rPr>
          <w:rFonts w:ascii="Arial" w:hAnsi="Arial" w:eastAsia="Arial"/>
          <w:b/>
          <w:color w:val="202A35"/>
          <w:sz w:val="21"/>
        </w:rPr>
        <w:t>8.16. Fornecer, providenciar e INTEGRALMENTE CUSTEAR os treinamentos técnicos específicos necessários ao desenvolvimento, à operação, à manutenção e à validação da solução tecnológica, bem como todos os demais recursos, equipamentos e serviços previstos no Plano Técnico, garantindo a execução integral da PoC sem qualquer ônus financeiro ou operacional para a DWELL SISTEMAS PARA INTERNET.</w:t>
      </w:r>
    </w:p>
    <w:p>
      <w:pPr>
        <w:pStyle w:val="Heading2"/>
        <w:keepNext/>
        <w:pageBreakBefore w:val="0"/>
        <w:spacing w:before="240" w:after="120"/>
        <w:jc w:val="left"/>
      </w:pPr>
      <w:r>
        <w:rPr>
          <w:rFonts w:ascii="Arial" w:hAnsi="Arial" w:eastAsia="Arial"/>
          <w:b/>
          <w:color w:val="0D5EA6"/>
          <w:sz w:val="24"/>
        </w:rPr>
        <w:t>9. RESPONSABILIDADES DA DWELL SISTEMAS PARA INTERNET. INOVA SIMPLES (I.S.)</w:t>
      </w:r>
    </w:p>
    <w:p>
      <w:pPr>
        <w:keepNext w:val="0"/>
        <w:keepLines w:val="0"/>
        <w:widowControl/>
        <w:spacing w:before="0" w:after="100" w:line="283" w:lineRule="auto"/>
        <w:jc w:val="both"/>
      </w:pPr>
      <w:r>
        <w:rPr>
          <w:rFonts w:ascii="Arial" w:hAnsi="Arial" w:eastAsia="Arial"/>
          <w:color w:val="202A35"/>
          <w:sz w:val="21"/>
        </w:rPr>
        <w:t>9.1. No âmbito da Prova de Conceito, competirá à DWELL SISTEMAS PARA INTERNET. INOVA SIMPLES (I.S.), na qualidade de desenvolvedora e titular do AeroProf Intelligence, disponibilizar, configurar e manter o ambiente tecnológico de software necessário à execução do escopo aprovado pelas Partes.</w:t>
      </w:r>
    </w:p>
    <w:p>
      <w:pPr>
        <w:keepNext w:val="0"/>
        <w:keepLines w:val="0"/>
        <w:widowControl/>
        <w:spacing w:before="0" w:after="100" w:line="283" w:lineRule="auto"/>
        <w:jc w:val="both"/>
      </w:pPr>
      <w:r>
        <w:rPr>
          <w:rFonts w:ascii="Arial" w:hAnsi="Arial" w:eastAsia="Arial"/>
          <w:color w:val="202A35"/>
          <w:sz w:val="21"/>
        </w:rPr>
        <w:t>9.2. A DWELL realizará a estruturação digital lógica e espacial dos aeroportos, sistemas, subsistemas, ativos, componentes, localizações, inspeções e demais relações técnicas necessárias à modelagem digital da infraestrutura abrangida pela Prova de Conceito.</w:t>
      </w:r>
    </w:p>
    <w:p>
      <w:pPr>
        <w:keepNext w:val="0"/>
        <w:keepLines w:val="0"/>
        <w:widowControl/>
        <w:spacing w:before="0" w:after="100" w:line="283" w:lineRule="auto"/>
        <w:jc w:val="both"/>
      </w:pPr>
      <w:r>
        <w:rPr>
          <w:rFonts w:ascii="Arial" w:hAnsi="Arial" w:eastAsia="Arial"/>
          <w:color w:val="202A35"/>
          <w:sz w:val="21"/>
        </w:rPr>
        <w:t>9.3. Os dados disponibilizados pela SGA e aqueles produzidos pelas campanhas de inspeção e ensaios autorizados serão incorporados e integrados ao AeroProf Intelligence de acordo com os critérios previamente estabelecidos de integridade, origem, qualidade e compatibilidade técnica.</w:t>
      </w:r>
    </w:p>
    <w:p>
      <w:pPr>
        <w:keepNext w:val="0"/>
        <w:keepLines w:val="0"/>
        <w:widowControl/>
        <w:spacing w:before="0" w:after="100" w:line="283" w:lineRule="auto"/>
        <w:jc w:val="both"/>
      </w:pPr>
      <w:r>
        <w:rPr>
          <w:rFonts w:ascii="Arial" w:hAnsi="Arial" w:eastAsia="Arial"/>
          <w:color w:val="202A35"/>
          <w:sz w:val="21"/>
        </w:rPr>
        <w:t>9.4. A DWELL manterá a documentação detalhada dos parâmetros computacionais, versões da plataforma, modelos matemáticos de cálculo, critérios de processamento e demais elementos necessários à reprodutibilidade e à auditoria dos resultados obtidos durante a PoC.</w:t>
      </w:r>
    </w:p>
    <w:p>
      <w:pPr>
        <w:keepNext w:val="0"/>
        <w:keepLines w:val="0"/>
        <w:widowControl/>
        <w:spacing w:before="0" w:after="100" w:line="283" w:lineRule="auto"/>
        <w:jc w:val="both"/>
      </w:pPr>
      <w:r>
        <w:rPr>
          <w:rFonts w:ascii="Arial" w:hAnsi="Arial" w:eastAsia="Arial"/>
          <w:color w:val="202A35"/>
          <w:sz w:val="21"/>
        </w:rPr>
        <w:t>9.5. O AeroProf Intelligence deverá preservar a rastreabilidade total entre a evidência de origem (arquivo bruto do sensor), o dado incorporado à plataforma, os tratamentos e processamentos computacionais realizados e o resultado final disponibilizado ao usuário no painel de visualização.</w:t>
      </w:r>
    </w:p>
    <w:p>
      <w:pPr>
        <w:keepNext w:val="0"/>
        <w:keepLines w:val="0"/>
        <w:widowControl/>
        <w:spacing w:before="0" w:after="100" w:line="283" w:lineRule="auto"/>
        <w:jc w:val="both"/>
      </w:pPr>
      <w:r>
        <w:rPr>
          <w:rFonts w:ascii="Arial" w:hAnsi="Arial" w:eastAsia="Arial"/>
          <w:color w:val="202A35"/>
          <w:sz w:val="21"/>
        </w:rPr>
        <w:t>9.5.1. Quando um resultado utilizar requisito legal, regulamentar ou normativo associado à Prova de Conceito, sua rastreabilidade deverá identificar, quando aplicável, fonte, autoridade emissora, jurisdição, documento, versão ou revisão e vigência regulatória considerada.</w:t>
      </w:r>
    </w:p>
    <w:p>
      <w:pPr>
        <w:keepNext w:val="0"/>
        <w:keepLines w:val="0"/>
        <w:widowControl/>
        <w:spacing w:before="0" w:after="100" w:line="283" w:lineRule="auto"/>
        <w:jc w:val="both"/>
      </w:pPr>
      <w:r>
        <w:rPr>
          <w:rFonts w:ascii="Arial" w:hAnsi="Arial" w:eastAsia="Arial"/>
          <w:color w:val="202A35"/>
          <w:sz w:val="21"/>
        </w:rPr>
        <w:t>9.6. Para fins de transparência metodológica e metrológica, a plataforma distinguirá de forma expressa as informações provenientes de medição direta em campo, importação de as-built, cálculo direto, derivação matemática, estimativa, simulação computacional, geração sintética ou inferência algorítmica por Inteligência Artificial.</w:t>
      </w:r>
    </w:p>
    <w:p>
      <w:pPr>
        <w:keepNext w:val="0"/>
        <w:keepLines w:val="0"/>
        <w:widowControl/>
        <w:spacing w:before="0" w:after="100" w:line="283" w:lineRule="auto"/>
        <w:jc w:val="both"/>
      </w:pPr>
      <w:r>
        <w:rPr>
          <w:rFonts w:ascii="Arial" w:hAnsi="Arial" w:eastAsia="Arial"/>
          <w:color w:val="202A35"/>
          <w:sz w:val="21"/>
        </w:rPr>
        <w:t>9.7. Limitações técnicas conhecidas, indisponibilidade temporária ou insuficiência amostral de dados, hipóteses e premissas de cálculo adotadas e demais condicionantes capazes de influenciar a interpretação dos resultados de engenharia de pavimentos deverão ser registradas de forma visível e consideradas no processo de avaliação.</w:t>
      </w:r>
    </w:p>
    <w:p>
      <w:pPr>
        <w:keepNext w:val="0"/>
        <w:keepLines w:val="0"/>
        <w:widowControl/>
        <w:spacing w:before="0" w:after="100" w:line="283" w:lineRule="auto"/>
        <w:jc w:val="both"/>
      </w:pPr>
      <w:r>
        <w:rPr>
          <w:rFonts w:ascii="Arial" w:hAnsi="Arial" w:eastAsia="Arial"/>
          <w:color w:val="202A35"/>
          <w:sz w:val="21"/>
        </w:rPr>
        <w:t>9.8. Caberá à DWELL disponibilizar os relatórios, registros de processamento, evidências digitais estruturadas e demais produtos tecnológicos de software definidos no Plano Técnico da Prova de Conceito.</w:t>
      </w:r>
    </w:p>
    <w:p>
      <w:pPr>
        <w:keepNext w:val="0"/>
        <w:keepLines w:val="0"/>
        <w:widowControl/>
        <w:spacing w:before="0" w:after="100" w:line="283" w:lineRule="auto"/>
        <w:jc w:val="both"/>
      </w:pPr>
      <w:r>
        <w:rPr>
          <w:rFonts w:ascii="Arial" w:hAnsi="Arial" w:eastAsia="Arial"/>
          <w:color w:val="202A35"/>
          <w:sz w:val="21"/>
        </w:rPr>
        <w:t>9.9. Durante a execução, a DWELL prestará o suporte tecnológico e assessoria técnica remota necessária ao bom funcionamento do AeroProf Intelligence e à correta utilização das funcionalidades de software abrangidas pelo escopo aprovado.</w:t>
      </w:r>
    </w:p>
    <w:p>
      <w:pPr>
        <w:keepNext w:val="0"/>
        <w:keepLines w:val="0"/>
        <w:widowControl/>
        <w:spacing w:before="0" w:after="100" w:line="283" w:lineRule="auto"/>
        <w:jc w:val="both"/>
      </w:pPr>
      <w:r>
        <w:rPr>
          <w:rFonts w:ascii="Arial" w:hAnsi="Arial" w:eastAsia="Arial"/>
          <w:color w:val="202A35"/>
          <w:sz w:val="21"/>
        </w:rPr>
        <w:t>9.10. A DWELL participará ativamente do processo de validação técnica mediante apresentação, detalhamento e documentação dos resultados produzidos pelo AeroProf Intelligence, permitindo sua comparação detalhada com os dados físicos obtidos pelos métodos independentes de referência de campo.</w:t>
      </w:r>
    </w:p>
    <w:p>
      <w:pPr>
        <w:keepNext w:val="0"/>
        <w:keepLines w:val="0"/>
        <w:widowControl/>
        <w:spacing w:before="0" w:after="100" w:line="283" w:lineRule="auto"/>
        <w:jc w:val="both"/>
      </w:pPr>
      <w:r>
        <w:rPr>
          <w:rFonts w:ascii="Arial" w:hAnsi="Arial" w:eastAsia="Arial"/>
          <w:color w:val="202A35"/>
          <w:sz w:val="21"/>
        </w:rPr>
        <w:t>9.11. Os resultados dessa comparação metrológica integrarão o Relatório Técnico Conclusivo da Prova de Conceito, no qual deverão ser registradas as correspondências, divergências, limitações identificadas, necessidades de aperfeiçoamento de código e recomendações de engenharia.</w:t>
      </w:r>
    </w:p>
    <w:p>
      <w:pPr>
        <w:keepNext w:val="0"/>
        <w:keepLines w:val="0"/>
        <w:widowControl/>
        <w:spacing w:before="0" w:after="100" w:line="283" w:lineRule="auto"/>
        <w:jc w:val="both"/>
      </w:pPr>
      <w:r>
        <w:rPr>
          <w:rFonts w:ascii="Arial" w:hAnsi="Arial" w:eastAsia="Arial"/>
          <w:color w:val="202A35"/>
          <w:sz w:val="21"/>
        </w:rPr>
        <w:t>9.12. Delimitação estrita das responsabilidades técnicas:</w:t>
      </w:r>
    </w:p>
    <w:p>
      <w:pPr>
        <w:keepNext w:val="0"/>
        <w:keepLines w:val="0"/>
        <w:widowControl/>
        <w:spacing w:before="0" w:after="100" w:line="283" w:lineRule="auto"/>
        <w:jc w:val="both"/>
      </w:pPr>
      <w:r>
        <w:rPr>
          <w:rFonts w:ascii="Arial" w:hAnsi="Arial" w:eastAsia="Arial"/>
          <w:color w:val="202A35"/>
          <w:sz w:val="21"/>
        </w:rPr>
        <w:t>9.12.1. As responsabilidades da DWELL no âmbito da Prova de Conceito estarão estritamente circunscritas ao desenvolvimento lógico, configuração de software, operação tecnológica, processamento computacional de banco de dados, documentação de TI e suporte da plataforma AeroProf Intelligence, nos limites estritos de seu objeto empresarial habilitado e das atividades legalmente autorizadas pela sua inscrição cadastral.</w:t>
      </w:r>
    </w:p>
    <w:p>
      <w:pPr>
        <w:keepNext w:val="0"/>
        <w:keepLines w:val="0"/>
        <w:widowControl/>
        <w:spacing w:before="0" w:after="100" w:line="283" w:lineRule="auto"/>
        <w:jc w:val="both"/>
      </w:pPr>
      <w:r>
        <w:rPr>
          <w:rFonts w:ascii="Arial" w:hAnsi="Arial" w:eastAsia="Arial"/>
          <w:color w:val="202A35"/>
          <w:sz w:val="21"/>
        </w:rPr>
        <w:t>9.12.2. As operações de campo com aeronaves remotamente pilotadas (drones), levantamentos topográficos especializados de campo, ensaios estruturais com HWD, ensaios geofísicos contínuos com GPR, furos de sondagem, ensaios laboratoriais geotécnicos e quaisquer outras atividades de engenharia civil pesada sujeitas a licenciamento profissional, responsabilidade técnica específica (como ART no Brasil ou equivalente na Ordem dos Engenheiros de Angola) ou autorização aeronáutica serão integralmente realizadas pela SGA, seja de forma direta ou por meio de profissionais e entidades terceirizadas devidamente credenciadas e habilitadas segundo a legislação em vigor na República de Angola.</w:t>
      </w:r>
    </w:p>
    <w:p>
      <w:pPr>
        <w:keepNext w:val="0"/>
        <w:keepLines w:val="0"/>
        <w:widowControl/>
        <w:spacing w:before="0" w:after="100" w:line="283" w:lineRule="auto"/>
        <w:jc w:val="both"/>
      </w:pPr>
      <w:r>
        <w:rPr>
          <w:rFonts w:ascii="Arial" w:hAnsi="Arial" w:eastAsia="Arial"/>
          <w:color w:val="202A35"/>
          <w:sz w:val="21"/>
        </w:rPr>
        <w:t>9.12.3. Os resultados provenientes dessas atividades físicas externas serão incorporados ao AeroProf Intelligence como dados técnicos de origem de terceiros, preservando-se a identificação detalhada do método de ensaio utilizado, modelo do equipamento, data, localização GPS, técnico responsável e demais metadados necessários à sua rastreabilidade.</w:t>
      </w:r>
    </w:p>
    <w:p>
      <w:pPr>
        <w:keepNext w:val="0"/>
        <w:keepLines w:val="0"/>
        <w:widowControl/>
        <w:spacing w:before="0" w:after="100" w:line="283" w:lineRule="auto"/>
        <w:jc w:val="both"/>
      </w:pPr>
      <w:r>
        <w:rPr>
          <w:rFonts w:ascii="Arial" w:hAnsi="Arial" w:eastAsia="Arial"/>
          <w:color w:val="202A35"/>
          <w:sz w:val="21"/>
        </w:rPr>
        <w:t>9.12.4. A utilização e ingestão desses dados externos pelo AeroProf Intelligence não implicará, sob hipótese alguma, transferência de responsabilidade técnica à DWELL correspondente à sua obtenção de campo, calibração de instrumentos, medição física ou certificação de ensaio.</w:t>
      </w:r>
    </w:p>
    <w:p>
      <w:pPr>
        <w:pStyle w:val="Heading2"/>
        <w:keepNext/>
        <w:pageBreakBefore w:val="0"/>
        <w:spacing w:before="240" w:after="120"/>
        <w:jc w:val="left"/>
      </w:pPr>
      <w:r>
        <w:rPr>
          <w:rFonts w:ascii="Arial" w:hAnsi="Arial" w:eastAsia="Arial"/>
          <w:b/>
          <w:color w:val="0D5EA6"/>
          <w:sz w:val="24"/>
        </w:rPr>
        <w:t>10. DA REGULAÇÃO AERONÁUTICA, DO ESPAÇO AÉREO E DAS AERONAVES REMOTAMENTE PILOTADAS</w:t>
      </w:r>
    </w:p>
    <w:p>
      <w:pPr>
        <w:keepNext w:val="0"/>
        <w:keepLines w:val="0"/>
        <w:widowControl/>
        <w:spacing w:before="0" w:after="100" w:line="283" w:lineRule="auto"/>
        <w:jc w:val="both"/>
      </w:pPr>
      <w:r>
        <w:rPr>
          <w:rFonts w:ascii="Arial" w:hAnsi="Arial" w:eastAsia="Arial"/>
          <w:color w:val="202A35"/>
          <w:sz w:val="21"/>
        </w:rPr>
        <w:t>10.1. A execução de levantamentos aéreos observará estritamente a legislação nacional e os normativos técnicos aeronáuticos vigentes da República de Angola. A regulamentação aeronáutica angolana estabelece rígidas exigências de autorização de voo, certificação operacional e coordenação do espaço aéreo para operações com aeronaves remotamente pilotadas (RPAS/Drones), inclusive com ritos específicos e mandatórios para operadores estrangeiros.</w:t>
      </w:r>
    </w:p>
    <w:p>
      <w:pPr>
        <w:keepNext w:val="0"/>
        <w:keepLines w:val="0"/>
        <w:widowControl/>
        <w:spacing w:before="0" w:after="100" w:line="283" w:lineRule="auto"/>
        <w:jc w:val="both"/>
      </w:pPr>
      <w:r>
        <w:rPr>
          <w:rFonts w:ascii="Arial" w:hAnsi="Arial" w:eastAsia="Arial"/>
          <w:color w:val="202A35"/>
          <w:sz w:val="21"/>
        </w:rPr>
        <w:t>10.2. Em razão dessas determinações regulatórias, qualquer operação aérea prevista no Plano Técnico ficará expressamente condicionada à atuação de operador aéreo legalmente habilitado perante a autoridade de aviação civil nacional e às autorizações formais emitidas pelas entidades competentes. A DWELL não assumirá, por força desta Carta ou de qualquer anexo, a condição de operadora aérea, piloto remoto ou responsável civil pelas operações de voo.</w:t>
      </w:r>
    </w:p>
    <w:p>
      <w:pPr>
        <w:pStyle w:val="Heading2"/>
        <w:keepNext/>
        <w:pageBreakBefore w:val="0"/>
        <w:spacing w:before="240" w:after="120"/>
        <w:jc w:val="left"/>
      </w:pPr>
      <w:r>
        <w:rPr>
          <w:rFonts w:ascii="Arial" w:hAnsi="Arial" w:eastAsia="Arial"/>
          <w:b/>
          <w:color w:val="0D5EA6"/>
          <w:sz w:val="24"/>
        </w:rPr>
        <w:t>11. DA MÃO DE OBRA, CAPACITAÇÃO E RETENÇÃO DO CONHECIMENTO</w:t>
      </w:r>
    </w:p>
    <w:p>
      <w:pPr>
        <w:keepNext w:val="0"/>
        <w:keepLines w:val="0"/>
        <w:widowControl/>
        <w:spacing w:before="0" w:after="100" w:line="283" w:lineRule="auto"/>
        <w:jc w:val="both"/>
      </w:pPr>
      <w:r>
        <w:rPr>
          <w:rFonts w:ascii="Arial" w:hAnsi="Arial" w:eastAsia="Arial"/>
          <w:color w:val="202A35"/>
          <w:sz w:val="21"/>
        </w:rPr>
        <w:t>11.1. A execução do projeto de cooperação tecnológica e da respectiva Prova de Conceito deverá privilegiar, na extensão máxima determinada pela legislação angolana e pelos instrumentos de governança corporativa da SGA, a utilização de serviços, a capacitação técnica e a participação direta de profissionais de engenharia e técnicos angolanos nas campanhas de campo, operação de equipamentos em pista, acompanhamento técnico do processamento e avaliação crítica conjunta dos resultados gerados.</w:t>
      </w:r>
    </w:p>
    <w:p>
      <w:pPr>
        <w:keepNext w:val="0"/>
        <w:keepLines w:val="0"/>
        <w:widowControl/>
        <w:spacing w:before="0" w:after="100" w:line="283" w:lineRule="auto"/>
        <w:jc w:val="both"/>
      </w:pPr>
      <w:r>
        <w:rPr>
          <w:rFonts w:ascii="Arial" w:hAnsi="Arial" w:eastAsia="Arial"/>
          <w:color w:val="202A35"/>
          <w:sz w:val="21"/>
        </w:rPr>
        <w:t>11.2. A transferência de conhecimento metodológico e operacional estabelecida para fins de capacitação local e retenção interna de competências de engenharia de pavimentos na SGA não importará em transferência automática ou cessão de código-fonte de software, algoritmos proprietários de processamento, marcas registradas, designs de interface ou quaisquer outros ativos intelectuais da DWELL.</w:t>
      </w:r>
    </w:p>
    <w:p>
      <w:pPr>
        <w:keepNext w:val="0"/>
        <w:keepLines w:val="0"/>
        <w:widowControl/>
        <w:spacing w:before="0" w:after="100" w:line="283" w:lineRule="auto"/>
        <w:jc w:val="both"/>
      </w:pPr>
      <w:r>
        <w:rPr>
          <w:rFonts w:ascii="Arial" w:hAnsi="Arial" w:eastAsia="Arial"/>
          <w:color w:val="202A35"/>
          <w:sz w:val="21"/>
        </w:rPr>
        <w:t>11.3. O Plano Técnico de campo deverá prever mecanismos objetivos, estruturados e documentados para a retenção institucional de conhecimento técnico pela equipe da SGA, tais como a participação conjunta direta em campanhas, treinamentos teóricos e práticos documentados com fornecimento de materiais de apoio, entrega formal de procedimentos operacionais e de configuração de dados, e participação ativa dos técnicos designados pela SGA nas sessões de retroanálise de bacias de deflexão e calibração de dados.</w:t>
      </w:r>
    </w:p>
    <w:p>
      <w:pPr>
        <w:pStyle w:val="Heading2"/>
        <w:keepNext/>
        <w:pageBreakBefore w:val="0"/>
        <w:spacing w:before="240" w:after="120"/>
        <w:jc w:val="left"/>
      </w:pPr>
      <w:r>
        <w:rPr>
          <w:rFonts w:ascii="Arial" w:hAnsi="Arial" w:eastAsia="Arial"/>
          <w:b/>
          <w:color w:val="0D5EA6"/>
          <w:sz w:val="24"/>
        </w:rPr>
        <w:t>12. DA GOVERNANÇA DOS DADOS E DA RASTREABILIDADE</w:t>
      </w:r>
    </w:p>
    <w:p>
      <w:pPr>
        <w:keepNext w:val="0"/>
        <w:keepLines w:val="0"/>
        <w:widowControl/>
        <w:spacing w:before="0" w:after="100" w:line="283" w:lineRule="auto"/>
        <w:jc w:val="both"/>
      </w:pPr>
      <w:r>
        <w:rPr>
          <w:rFonts w:ascii="Arial" w:hAnsi="Arial" w:eastAsia="Arial"/>
          <w:color w:val="202A35"/>
          <w:sz w:val="21"/>
        </w:rPr>
        <w:t>12.1. Todos os dados brutos e pós-processados fornecidos pela SGA para a realização da PoC, incluindo cadastros históricos, as-built, projetos de pavimentação, dados reais de tráfego aéreo e estatísticas operacionais de frota aeroportuária, permanecerão sujeitos às regras estritas de titularidade, classificação de segurança, acesso e utilização definidas formalmente pela SGA e pela legislação de proteção de dados do Estado Angolano. O processamento temporário pela plataforma computacional AeroProf não importará em qualquer transferência automática de direitos de propriedade ou titularidade desses dados à DWELL.</w:t>
      </w:r>
    </w:p>
    <w:p>
      <w:pPr>
        <w:keepNext w:val="0"/>
        <w:keepLines w:val="0"/>
        <w:widowControl/>
        <w:spacing w:before="0" w:after="100" w:line="283" w:lineRule="auto"/>
        <w:jc w:val="both"/>
      </w:pPr>
      <w:r>
        <w:rPr>
          <w:rFonts w:ascii="Arial" w:hAnsi="Arial" w:eastAsia="Arial"/>
          <w:color w:val="202A35"/>
          <w:sz w:val="21"/>
        </w:rPr>
        <w:t>12.2. O Plano Técnico deverá estabelecer formalmente os critérios para a classificação da informação aeroportuária, locais seguros de armazenamento físico e em nuvem, controle de permissões de acesso por perfil de usuário, facilidades para exportação de relatórios, rotinas automáticas de cópias de segurança (backup), períodos mínimos de retenção, procedimentos para eliminação segura, registro contínuo de logs de acessos (trilha de auditoria) e protocolos para resposta a incidentes de segurança da informação.</w:t>
      </w:r>
    </w:p>
    <w:p>
      <w:pPr>
        <w:keepNext w:val="0"/>
        <w:keepLines w:val="0"/>
        <w:widowControl/>
        <w:spacing w:before="0" w:after="100" w:line="283" w:lineRule="auto"/>
        <w:jc w:val="both"/>
      </w:pPr>
      <w:r>
        <w:rPr>
          <w:rFonts w:ascii="Arial" w:hAnsi="Arial" w:eastAsia="Arial"/>
          <w:color w:val="202A35"/>
          <w:sz w:val="21"/>
        </w:rPr>
        <w:t>12.3. Todo e qualquer dado de origem externa que venha a ser importado para fins de validação dos modelos do software deverá, obrigatoriamente, ser acompanhado de seus metadados mínimos de proveniência técnica: autoria da medição, identificação do método, data e hora do ensaio, localização georreferenciada exata do ensaio, modelo e número de série do instrumento de ensaio, vigência do certificado de calibração metrológica do instrumento, versão do arquivo bruto gerado e identificação do engenheiro ou técnico habilitado responsável.</w:t>
      </w:r>
    </w:p>
    <w:p>
      <w:pPr>
        <w:pStyle w:val="Heading2"/>
        <w:keepNext/>
        <w:pageBreakBefore w:val="0"/>
        <w:spacing w:before="240" w:after="120"/>
        <w:jc w:val="left"/>
      </w:pPr>
      <w:r>
        <w:rPr>
          <w:rFonts w:ascii="Arial" w:hAnsi="Arial" w:eastAsia="Arial"/>
          <w:b/>
          <w:color w:val="0D5EA6"/>
          <w:sz w:val="24"/>
        </w:rPr>
        <w:t>13. DA INTELIGÊNCIA ARTIFICIAL E DOS RESULTADOS COMPUTACIONAIS</w:t>
      </w:r>
    </w:p>
    <w:p>
      <w:pPr>
        <w:keepNext w:val="0"/>
        <w:keepLines w:val="0"/>
        <w:widowControl/>
        <w:spacing w:before="0" w:after="100" w:line="283" w:lineRule="auto"/>
        <w:jc w:val="both"/>
      </w:pPr>
      <w:r>
        <w:rPr>
          <w:rFonts w:ascii="Arial" w:hAnsi="Arial" w:eastAsia="Arial"/>
          <w:color w:val="202A35"/>
          <w:sz w:val="21"/>
        </w:rPr>
        <w:t>13.1. Todos os recursos baseados em algoritmos de inteligência artificial, modelos matemáticos ou heurísticas de processamento computacional integrados à plataforma AeroProf Intelligence possuem caráter estritamente instrumental de apoio à análise e suporte à decisão de engenharia. Qualquer resultado de natureza estimada, interpolada ou inferida por via de algoritmos deve ser obrigatoriamente rotulado e identificado como tal nas interfaces visuais, sendo expressamente proibido apresentá-los como dados primários medidos em campo.</w:t>
      </w:r>
    </w:p>
    <w:p>
      <w:pPr>
        <w:keepNext w:val="0"/>
        <w:keepLines w:val="0"/>
        <w:widowControl/>
        <w:spacing w:before="0" w:after="100" w:line="283" w:lineRule="auto"/>
        <w:jc w:val="both"/>
      </w:pPr>
      <w:r>
        <w:rPr>
          <w:rFonts w:ascii="Arial" w:hAnsi="Arial" w:eastAsia="Arial"/>
          <w:color w:val="202A35"/>
          <w:sz w:val="21"/>
        </w:rPr>
        <w:t>13.2. Resultados, mapas temáticos ou alertas que possam influenciar de forma crítica a avaliação da condição estrutural de pavimentos, a priorização operacional de intervenções civis na pista ou decisões estratégicas relacionadas à integridade física da infraestrutura e segurança de voo deverão ser confrontados rigorosamente com os critérios práticos de validação e, sempre que aplicável, confirmados por ensaios independentes de campo, ensaios estruturais normatizados (HWD) e furos de sondagem física dirigidos.</w:t>
      </w:r>
    </w:p>
    <w:p>
      <w:pPr>
        <w:keepNext w:val="0"/>
        <w:keepLines w:val="0"/>
        <w:widowControl/>
        <w:spacing w:before="0" w:after="100" w:line="283" w:lineRule="auto"/>
        <w:jc w:val="both"/>
      </w:pPr>
      <w:r>
        <w:rPr>
          <w:rFonts w:ascii="Arial" w:hAnsi="Arial" w:eastAsia="Arial"/>
          <w:color w:val="202A35"/>
          <w:sz w:val="21"/>
        </w:rPr>
        <w:t>13.3. Nenhum resultado automatizado por software ou inferência algorítmica, isoladamente considerado, constituirá declaração formal de segurança estrutural, certificação de aeronavegabilidade do aeródromo, interpretação jurídica vinculante ou atestado de conformidade com órgãos reguladores nacionais ou internacionais. Toda e qualquer aplicação de parâmetros normativos pela plataforma representará apenas auxílio de cálculo mecânico que exige a validação formal, assinatura e responsabilidade técnica de engenheiro de pavimentos legalmente habilitado.</w:t>
      </w:r>
    </w:p>
    <w:p>
      <w:pPr>
        <w:pStyle w:val="Heading2"/>
        <w:keepNext/>
        <w:pageBreakBefore w:val="0"/>
        <w:spacing w:before="240" w:after="120"/>
        <w:jc w:val="left"/>
      </w:pPr>
      <w:r>
        <w:rPr>
          <w:rFonts w:ascii="Arial" w:hAnsi="Arial" w:eastAsia="Arial"/>
          <w:b/>
          <w:color w:val="0D5EA6"/>
          <w:sz w:val="24"/>
        </w:rPr>
        <w:t>14. DA PROPRIEDADE INTELECTUAL</w:t>
      </w:r>
    </w:p>
    <w:p>
      <w:pPr>
        <w:keepNext w:val="0"/>
        <w:keepLines w:val="0"/>
        <w:widowControl/>
        <w:spacing w:before="0" w:after="100" w:line="283" w:lineRule="auto"/>
        <w:jc w:val="both"/>
      </w:pPr>
      <w:r>
        <w:rPr>
          <w:rFonts w:ascii="Arial" w:hAnsi="Arial" w:eastAsia="Arial"/>
          <w:color w:val="202A35"/>
          <w:sz w:val="21"/>
        </w:rPr>
        <w:t>14.1. Todos os direitos e propriedade sobre ativos tangíveis e intangíveis preexistentes à assinatura desta Carta de Intenções permanecerão sob a exclusiva titularidade dos seus respectivos detentores originários.</w:t>
      </w:r>
    </w:p>
    <w:p>
      <w:pPr>
        <w:keepNext w:val="0"/>
        <w:keepLines w:val="0"/>
        <w:widowControl/>
        <w:spacing w:before="0" w:after="100" w:line="283" w:lineRule="auto"/>
        <w:jc w:val="both"/>
      </w:pPr>
      <w:r>
        <w:rPr>
          <w:rFonts w:ascii="Arial" w:hAnsi="Arial" w:eastAsia="Arial"/>
          <w:color w:val="202A35"/>
          <w:sz w:val="21"/>
        </w:rPr>
        <w:t>14.2. Toda a arquitetura lógica de software, códigos-fonte, rotinas, algoritmos computacionais, modelos matemáticos proprietários, marca registrada AeroProf, documentações técnicas próprias da plataforma, estruturas de modelagem espacial de banco de dados, layouts de interface e segredos industriais preexistentes da DWELL permanecerão sob a sua exclusiva e inalienável titularidade, salvo disposição expressa em instrumento contratual definitivo de licenciamento ou desenvolvimento conjunto.</w:t>
      </w:r>
    </w:p>
    <w:p>
      <w:pPr>
        <w:keepNext w:val="0"/>
        <w:keepLines w:val="0"/>
        <w:widowControl/>
        <w:spacing w:before="0" w:after="100" w:line="283" w:lineRule="auto"/>
        <w:jc w:val="both"/>
      </w:pPr>
      <w:r>
        <w:rPr>
          <w:rFonts w:ascii="Arial" w:hAnsi="Arial" w:eastAsia="Arial"/>
          <w:color w:val="202A35"/>
          <w:sz w:val="21"/>
        </w:rPr>
        <w:t>14.3. Eventuais ativos intelectuais, inovações, metodologias ou novos códigos que venham a ser gerados em regime de codesenvolvimento ou coparticipação técnica direta entre SGA e DWELL durante a realização da Prova de Conceito deverão ter suas respectivas frações de titularidade, direitos de exploração comercial, licenciamento mútuo e autorização para publicações acadêmicas e institucionais disciplinados detalhadamente por instrumento definitivo próprio antes de qualquer uso, registro ou divulgação externa.</w:t>
      </w:r>
    </w:p>
    <w:p>
      <w:pPr>
        <w:pStyle w:val="Heading2"/>
        <w:keepNext/>
        <w:pageBreakBefore w:val="0"/>
        <w:spacing w:before="240" w:after="120"/>
        <w:jc w:val="left"/>
      </w:pPr>
      <w:r>
        <w:rPr>
          <w:rFonts w:ascii="Arial" w:hAnsi="Arial" w:eastAsia="Arial"/>
          <w:b/>
          <w:color w:val="0D5EA6"/>
          <w:sz w:val="24"/>
        </w:rPr>
        <w:t>15. DA CONFIDENCIALIDADE E DA SEGURANÇA DA INFORMAÇÃO</w:t>
      </w:r>
    </w:p>
    <w:p>
      <w:pPr>
        <w:keepNext w:val="0"/>
        <w:keepLines w:val="0"/>
        <w:widowControl/>
        <w:spacing w:before="0" w:after="100" w:line="283" w:lineRule="auto"/>
        <w:jc w:val="both"/>
      </w:pPr>
      <w:r>
        <w:rPr>
          <w:rFonts w:ascii="Arial" w:hAnsi="Arial" w:eastAsia="Arial"/>
          <w:color w:val="202A35"/>
          <w:sz w:val="21"/>
        </w:rPr>
        <w:t>15.1. As Partes comprometem-se expressamente a resguardar a segurança, o sigilo e a privacidade de todas as informações de natureza técnica, comercial, estratégica ou de segurança física aeroportuária classificadas como restritas de ambas as entidades. O compartilhamento de tais dados sensíveis ficará condicionado à celebração de instrumento específico de confidencialidade (NDA) ou inclusão de cláusulas expressas de sigilo a serem devidamente aprovadas pelas assessorias jurídicas de ambas as partes antes de qualquer compartilhamento de arquivos.</w:t>
      </w:r>
    </w:p>
    <w:p>
      <w:pPr>
        <w:keepNext w:val="0"/>
        <w:keepLines w:val="0"/>
        <w:widowControl/>
        <w:spacing w:before="0" w:after="100" w:line="283" w:lineRule="auto"/>
        <w:jc w:val="both"/>
      </w:pPr>
      <w:r>
        <w:rPr>
          <w:rFonts w:ascii="Arial" w:hAnsi="Arial" w:eastAsia="Arial"/>
          <w:color w:val="202A35"/>
          <w:sz w:val="21"/>
        </w:rPr>
        <w:t>15.2. O ambiente computacional disponibilizado pela SGA para a realização da Prova de Conceito deverá dispor, obrigatoriamente, de controles técnicos robustos contra o acesso não autorizado de terceiros, incluindo mecanismos de controle de identidade e autenticação, segregação estrita de perfis de visualização (limitação de acesso a mapas críticos), criptografia em trânsito e em repouso de dados de pistas, trilhas de auditoria para registros de logs de alteração e sistemas automatizados de cópia de segurança (backup) para prevenção de perdas de dados.</w:t>
      </w:r>
    </w:p>
    <w:p>
      <w:pPr>
        <w:pStyle w:val="Heading2"/>
        <w:keepNext/>
        <w:pageBreakBefore w:val="0"/>
        <w:spacing w:before="240" w:after="120"/>
        <w:jc w:val="left"/>
      </w:pPr>
      <w:r>
        <w:rPr>
          <w:rFonts w:ascii="Arial" w:hAnsi="Arial" w:eastAsia="Arial"/>
          <w:b/>
          <w:color w:val="0D5EA6"/>
          <w:sz w:val="24"/>
        </w:rPr>
        <w:t>16. DO FINANCIAMENTO E DOS RECURSOS</w:t>
      </w:r>
    </w:p>
    <w:p>
      <w:pPr>
        <w:keepNext w:val="0"/>
        <w:keepLines w:val="0"/>
        <w:widowControl/>
        <w:spacing w:before="0" w:after="100" w:line="283" w:lineRule="auto"/>
        <w:jc w:val="both"/>
      </w:pPr>
      <w:r>
        <w:rPr>
          <w:rFonts w:ascii="Arial" w:hAnsi="Arial" w:eastAsia="Arial"/>
          <w:b/>
          <w:color w:val="202A35"/>
          <w:sz w:val="21"/>
        </w:rPr>
        <w:t>16.1. A preparação, execução de campo e validação técnica da Prova de Conceito (PoC) da plataforma AeroProf Intelligence em infraestrutura aeroportuária piloto ficarão estritamente condicionadas à prévia disponibilização e ao CUSTEIO INTEGRAL, PELA SGA, de todas as necessidades, serviços, infraestruturas e recursos previstos nesta Carta e no correspondente Plano Técnico, de forma que não seja gerado QUALQUER ÔNUS FINANCEIRO OU OPERACIONAL PARA A DWELL SISTEMAS PARA INTERNET.</w:t>
      </w:r>
    </w:p>
    <w:p>
      <w:pPr>
        <w:spacing w:before="0" w:after="120" w:line="276" w:lineRule="auto"/>
        <w:jc w:val="left"/>
      </w:pPr>
      <w:r>
        <w:rPr>
          <w:rFonts w:ascii="Arial" w:hAnsi="Arial" w:eastAsia="Arial"/>
          <w:b/>
          <w:color w:val="202A35"/>
          <w:sz w:val="20"/>
        </w:rPr>
        <w:t>16.2. O custeio sob exclusiva responsabilidade financeira e operacional da SGA para a realização da PoC abrangerá, de forma mandatória, as seguintes contratações, aquisições e serviços técnicos:</w:t>
        <w:br/>
        <w:t>• CONTRATAÇÃO OU DISPONIBILIZAÇÃO de empresa especializada ou equipe qualificada de desenvolvimento de software de apoio para auxiliar na construção, refatoração de código, integração de APIs e evolução da plataforma AeroProf Intelligence de acordo com as especificações e normas técnicas internacionais;</w:t>
        <w:br/>
        <w:t>• PROVIMENTO E CUSTEIO da infraestrutura de redes, servidores físicos locais ou recursos em nuvem (Cloud Computing) adequados, ambientes computacionais e de banco de dados geoespacial, além de toda a conectividade necessária à operação do software;</w:t>
        <w:br/>
        <w:t>• AQUISIÇÃO E PAGAMENTO de licenças de software de terceiros, serviços de computação e soluções em tecnologia necessários à integração;</w:t>
        <w:br/>
        <w:t>• DISPONIBILIZAÇÃO, CONTRATAÇÃO E CUSTEIO de infraestrutura de processamento distribuído ou processamento em cluster de alta performance que viabilize as pesadas rotinas de geração, tratamento metrológico, visualização 3D e conservação de grandes volumes de nuvens de pontos (arquivos LAS/LAZ);</w:t>
        <w:br/>
        <w:t>• CUSTEIO INTEGRAL dos treinamentos técnicos específicos relacionados ao desenvolvimento de software, operação do sistema, rotinas de suporte de TI e validação da solução;</w:t>
        <w:br/>
        <w:t>• DISPONIBILIZAÇÃO, CONTRATAÇÃO E CUSTEIO dos ensaios não destrutivos de campo (HWD, GPR, Drone LiDAR e RGB), levantamentos geodésicos/topográficos terrestres de alta precisão e furos físicos de sondagem geotécnica (coring) exigidos pelas normas internacionais (FAA/ICAO) para a validação metodológica;</w:t>
        <w:br/>
        <w:t>• CUSTEIO de despesas acessórias de viagens, passagens, hospedagens, seguros e demais custos logísticos das equipes envolvidas de campo.</w:t>
      </w:r>
    </w:p>
    <w:p>
      <w:pPr>
        <w:keepNext w:val="0"/>
        <w:keepLines w:val="0"/>
        <w:widowControl/>
        <w:spacing w:before="0" w:after="100" w:line="283" w:lineRule="auto"/>
        <w:jc w:val="both"/>
      </w:pPr>
      <w:r>
        <w:rPr>
          <w:rFonts w:ascii="Arial" w:hAnsi="Arial" w:eastAsia="Arial"/>
          <w:color w:val="202A35"/>
          <w:sz w:val="21"/>
        </w:rPr>
        <w:t>16.3. A eventual obtenção de linhas de financiamento, convênios de cooperação científica, fundos de fomento ou parcerias institucionais com terceiras entidades poderá ser livremente avaliada e articulada pela SGA, contudo, tais iniciativas não eximirão a SGA de sua obrigação primária e exclusiva de fornecer, viabilizar e custear integralmente todos os meios tecnológicos e físicos necessários à execução, processamento e validação da Prova de Conceito.</w:t>
      </w:r>
    </w:p>
    <w:p>
      <w:pPr>
        <w:pStyle w:val="Heading2"/>
        <w:keepNext/>
        <w:pageBreakBefore w:val="0"/>
        <w:spacing w:before="240" w:after="120"/>
        <w:jc w:val="left"/>
      </w:pPr>
      <w:r>
        <w:rPr>
          <w:rFonts w:ascii="Arial" w:hAnsi="Arial" w:eastAsia="Arial"/>
          <w:b/>
          <w:color w:val="0D5EA6"/>
          <w:sz w:val="24"/>
        </w:rPr>
        <w:t>17. DO RELATÓRIO TÉCNICO CONCLUSIVO</w:t>
      </w:r>
    </w:p>
    <w:p>
      <w:pPr>
        <w:keepNext w:val="0"/>
        <w:keepLines w:val="0"/>
        <w:widowControl/>
        <w:spacing w:before="0" w:after="100" w:line="283" w:lineRule="auto"/>
        <w:jc w:val="both"/>
      </w:pPr>
      <w:r>
        <w:rPr>
          <w:rFonts w:ascii="Arial" w:hAnsi="Arial" w:eastAsia="Arial"/>
          <w:color w:val="202A35"/>
          <w:sz w:val="21"/>
        </w:rPr>
        <w:t>17.1. Concluídas todas as etapas de processamento, análise e validação técnica da PoC, as equipes técnicas de ambas as Partes elaborarão, de forma conjunta, um Relatório Técnico Conclusivo que conterá, de forma detalhada, o escopo efetivamente executado, a malha e métodos de ensaios físicos adotados, identificação dos equipamentos e seus respectivos certificados de calibração, dados cadastrais e históricos utilizados, resultados obtidos pelo processamento do AeroProf Intelligence, resultados independentes dos ensaios de campo, registro detalhado de divergências encontradas, limitações e conclusões técnicas de engenharia de pavimentos.</w:t>
      </w:r>
    </w:p>
    <w:p>
      <w:pPr>
        <w:keepNext w:val="0"/>
        <w:keepLines w:val="0"/>
        <w:widowControl/>
        <w:spacing w:before="0" w:after="100" w:line="283" w:lineRule="auto"/>
        <w:jc w:val="both"/>
      </w:pPr>
      <w:r>
        <w:rPr>
          <w:rFonts w:ascii="Arial" w:hAnsi="Arial" w:eastAsia="Arial"/>
          <w:color w:val="202A35"/>
          <w:sz w:val="21"/>
        </w:rPr>
        <w:t>17.2. O relatório técnico final deverá, em estrita conformidade metrológica, distinguir expressamente as informações que são provenientes de medição direta (ground truth), de resultados de ensaios mecânicos de laboratório, de dados históricos importados, de cálculos normativos diretos, de estimativas/interpolações estatísticas, de simulações, de dados sintéticos ou de inferências computacionais algorítmicas.</w:t>
      </w:r>
    </w:p>
    <w:p>
      <w:pPr>
        <w:pStyle w:val="Heading2"/>
        <w:keepNext/>
        <w:pageBreakBefore w:val="0"/>
        <w:spacing w:before="240" w:after="120"/>
        <w:jc w:val="left"/>
      </w:pPr>
      <w:r>
        <w:rPr>
          <w:rFonts w:ascii="Arial" w:hAnsi="Arial" w:eastAsia="Arial"/>
          <w:b/>
          <w:color w:val="0D5EA6"/>
          <w:sz w:val="24"/>
        </w:rPr>
        <w:t>18. DAS ETAPAS FUTURAS E DA EXPANSÃO TECNOLÓGICA</w:t>
      </w:r>
    </w:p>
    <w:p>
      <w:pPr>
        <w:keepNext w:val="0"/>
        <w:keepLines w:val="0"/>
        <w:widowControl/>
        <w:spacing w:before="0" w:after="100" w:line="283" w:lineRule="auto"/>
        <w:jc w:val="both"/>
      </w:pPr>
      <w:r>
        <w:rPr>
          <w:rFonts w:ascii="Arial" w:hAnsi="Arial" w:eastAsia="Arial"/>
          <w:color w:val="202A35"/>
          <w:sz w:val="21"/>
        </w:rPr>
        <w:t>18.1. A obtenção de resultados técnicos satisfatórios e devidamente validados na PoC piloto poderá servir de fundamentação técnica para negociações futuras sobre a expansão da plataforma computacional AeroProf Intelligence para outros aeródromos e ativos da malha nacional de Angola sob a gestão da SGA, mediante celebração de novos instrumentos de licenciamento e implantação definitiva.</w:t>
      </w:r>
    </w:p>
    <w:p>
      <w:pPr>
        <w:keepNext w:val="0"/>
        <w:keepLines w:val="0"/>
        <w:widowControl/>
        <w:spacing w:before="0" w:after="100" w:line="283" w:lineRule="auto"/>
        <w:jc w:val="both"/>
      </w:pPr>
      <w:r>
        <w:rPr>
          <w:rFonts w:ascii="Arial" w:hAnsi="Arial" w:eastAsia="Arial"/>
          <w:color w:val="202A35"/>
          <w:sz w:val="21"/>
        </w:rPr>
        <w:t>18.2. Embora não integrem o objeto desta Prova de Conceito inicial (focada exclusivamente em pavimentos aeroportuários operacionais), poderão ser estudadas em etapas posteriores soluções voltadas a terminais de passageiros, edificações do lado terra, instalações civis e utilidades industriais, estradas de ligação aos complexos aeroportuários e vias públicas marginais, desde que tais ativos estejam devidamente inseridos na competência legal e estatutária das entidades partícipes.</w:t>
      </w:r>
    </w:p>
    <w:p>
      <w:pPr>
        <w:keepNext w:val="0"/>
        <w:keepLines w:val="0"/>
        <w:widowControl/>
        <w:spacing w:before="0" w:after="100" w:line="283" w:lineRule="auto"/>
        <w:jc w:val="both"/>
      </w:pPr>
      <w:r>
        <w:rPr>
          <w:rFonts w:ascii="Arial" w:hAnsi="Arial" w:eastAsia="Arial"/>
          <w:color w:val="202A35"/>
          <w:sz w:val="21"/>
        </w:rPr>
        <w:t>18.3. Também poderá ser avaliada de forma prospectiva, por meio de projeto autônomo com metodologia científica específica, utilização de sensores de alta precisão e atuação de especialistas próprios, a aplicação da infraestrutura espacial do AeroProf para o mapeamento, quantificação e georreferenciamento de emissões atmosféricas nocivas ou vazamentos de metano e outros gases de efeito estufa no perímetro aeroportuário.</w:t>
      </w:r>
    </w:p>
    <w:p>
      <w:pPr>
        <w:pStyle w:val="Heading2"/>
        <w:keepNext/>
        <w:pageBreakBefore w:val="0"/>
        <w:spacing w:before="240" w:after="120"/>
        <w:jc w:val="left"/>
      </w:pPr>
      <w:r>
        <w:rPr>
          <w:rFonts w:ascii="Arial" w:hAnsi="Arial" w:eastAsia="Arial"/>
          <w:b/>
          <w:color w:val="0D5EA6"/>
          <w:sz w:val="24"/>
        </w:rPr>
        <w:t>19. DA NATUREZA NÃO VINCULANTE</w:t>
      </w:r>
    </w:p>
    <w:p>
      <w:pPr>
        <w:keepNext w:val="0"/>
        <w:keepLines w:val="0"/>
        <w:widowControl/>
        <w:spacing w:before="0" w:after="100" w:line="283" w:lineRule="auto"/>
        <w:jc w:val="both"/>
      </w:pPr>
      <w:r>
        <w:rPr>
          <w:rFonts w:ascii="Arial" w:hAnsi="Arial" w:eastAsia="Arial"/>
          <w:color w:val="202A35"/>
          <w:sz w:val="21"/>
        </w:rPr>
        <w:t>19.1. A presente Carta de Intenções possui caráter estritamente não vinculante, constituindo apenas uma manifestação preliminar de interesses recíprocos e de organização de tratativas comerciais. A sua vigência ou aceitação não representará, sob pretexto algum, um contrato de aquisição comercial de software, licença definitiva de uso, promessa de contratação futura, regime de exclusividade, obrigação de financiamento direto, autorização regulatória ou transferência de propriedade intelectual preexistente.</w:t>
      </w:r>
    </w:p>
    <w:p>
      <w:pPr>
        <w:keepNext w:val="0"/>
        <w:keepLines w:val="0"/>
        <w:widowControl/>
        <w:spacing w:before="0" w:after="100" w:line="283" w:lineRule="auto"/>
        <w:jc w:val="both"/>
      </w:pPr>
      <w:r>
        <w:rPr>
          <w:rFonts w:ascii="Arial" w:hAnsi="Arial" w:eastAsia="Arial"/>
          <w:color w:val="202A35"/>
          <w:sz w:val="21"/>
        </w:rPr>
        <w:t>19.2. Quaisquer obrigações formais de execução, níveis mínimos de serviço (SLA), repasses de pagamentos, garantias de seguro civil, cronogramas executivos rígidos, responsabilidades civis extracontratuais, regras contratuais de proteção de dados, foro de resolução de conflitos e lei aplicável de jurisdição dependerão compulsoriamente da celebração e assinatura de instrumentos jurídicos definitivos.</w:t>
      </w:r>
    </w:p>
    <w:p>
      <w:pPr>
        <w:pStyle w:val="Heading2"/>
        <w:keepNext/>
        <w:pageBreakBefore w:val="0"/>
        <w:spacing w:before="240" w:after="120"/>
        <w:jc w:val="left"/>
      </w:pPr>
      <w:r>
        <w:rPr>
          <w:rFonts w:ascii="Arial" w:hAnsi="Arial" w:eastAsia="Arial"/>
          <w:b/>
          <w:color w:val="0D5EA6"/>
          <w:sz w:val="24"/>
        </w:rPr>
        <w:t>20. DA VIGÊNCIA PRELIMINAR E DO ENCERRAMENTO DAS TRATATIVAS</w:t>
      </w:r>
    </w:p>
    <w:p>
      <w:pPr>
        <w:keepNext w:val="0"/>
        <w:keepLines w:val="0"/>
        <w:widowControl/>
        <w:spacing w:before="0" w:after="100" w:line="283" w:lineRule="auto"/>
        <w:jc w:val="both"/>
      </w:pPr>
      <w:r>
        <w:rPr>
          <w:rFonts w:ascii="Arial" w:hAnsi="Arial" w:eastAsia="Arial"/>
          <w:color w:val="202A35"/>
          <w:sz w:val="21"/>
        </w:rPr>
        <w:t>20.1. Propõe-se, unicamente para fins de revisão jurídica e instrução de processos internos das assessorias de conformidade, um prazo de vigência de 12 (doze) meses para esta manifestação de interesses, contados a partir de sua eventual assinatura de comum acordo pelas Partes, período no qual as equipes técnicas trabalharão no detalhamento e refinamento do correspondente Plano Técnico e termos definitivos.</w:t>
      </w:r>
    </w:p>
    <w:p>
      <w:pPr>
        <w:keepNext w:val="0"/>
        <w:keepLines w:val="0"/>
        <w:widowControl/>
        <w:spacing w:before="0" w:after="100" w:line="283" w:lineRule="auto"/>
        <w:jc w:val="both"/>
      </w:pPr>
      <w:r>
        <w:rPr>
          <w:rFonts w:ascii="Arial" w:hAnsi="Arial" w:eastAsia="Arial"/>
          <w:color w:val="202A35"/>
          <w:sz w:val="21"/>
        </w:rPr>
        <w:t>20.2. Qualquer uma das entidades partícipes poderá, a qualquer tempo, comunicar formalmente e por escrito a sua decisão de descontinuar as tratativas e não prosseguir no projeto tecnológico, sem que isso resulte em obrigações de contratação, aplicação de penalidades, multas compensatórias ou direito a indenizações por expectativas de negócio frustradas, ressalvadas obrigações que venham a ser expressamente assumidas em contratos bilaterais específicos.</w:t>
      </w:r>
    </w:p>
    <w:p>
      <w:pPr>
        <w:pStyle w:val="Heading1"/>
        <w:keepNext/>
        <w:pageBreakBefore/>
        <w:spacing w:before="240" w:after="240"/>
        <w:jc w:val="left"/>
        <w:pBdr>
          <w:bottom w:val="single" w:sz="8" w:space="4" w:color="D4A017"/>
        </w:pBdr>
      </w:pPr>
      <w:r>
        <w:rPr>
          <w:rFonts w:ascii="Arial" w:hAnsi="Arial" w:eastAsia="Arial"/>
          <w:b/>
          <w:color w:val="073763"/>
          <w:sz w:val="32"/>
        </w:rPr>
        <w:t>ANEXO I — PROJETO TÉCNICO DA PROVA DE CONCEITO (PoC)</w:t>
      </w:r>
    </w:p>
    <w:p>
      <w:pPr>
        <w:pStyle w:val="Heading2"/>
        <w:keepNext/>
        <w:pageBreakBefore w:val="0"/>
        <w:spacing w:before="240" w:after="120"/>
        <w:jc w:val="left"/>
      </w:pPr>
      <w:r>
        <w:rPr>
          <w:rFonts w:ascii="Arial" w:hAnsi="Arial" w:eastAsia="Arial"/>
          <w:b/>
          <w:color w:val="0D5EA6"/>
          <w:sz w:val="24"/>
        </w:rPr>
        <w:t>I.1. Introdução e Enquadramento Técnico</w:t>
      </w:r>
    </w:p>
    <w:p>
      <w:pPr>
        <w:keepNext w:val="0"/>
        <w:keepLines w:val="0"/>
        <w:widowControl/>
        <w:spacing w:before="0" w:after="100" w:line="283" w:lineRule="auto"/>
        <w:jc w:val="both"/>
      </w:pPr>
      <w:r>
        <w:rPr>
          <w:rFonts w:ascii="Arial" w:hAnsi="Arial" w:eastAsia="Arial"/>
          <w:color w:val="202A35"/>
          <w:sz w:val="21"/>
        </w:rPr>
        <w:t>A Prova de Conceito (PoC) visa estruturar o paradigma de eMaintenance para pavimentos aeroportuários sob a gestão da SGA Angola. Este modelo técnico estabelece uma cadeia contínua e digital de evidências georreferenciadas que subsidia o acompanhamento do ciclo de vida das pistas (RWY), taxiways (TWY) e pátios comerciais (APRON). A fusão de dados superficiais, subsuperficiais e estruturais unifica o histórico técnico do ativo e garante que a tomada de decisão seja lastreada por medições físicas correlacionadas e auditáveis.</w:t>
      </w:r>
    </w:p>
    <w:p>
      <w:pPr>
        <w:pStyle w:val="Heading2"/>
        <w:keepNext/>
        <w:pageBreakBefore w:val="0"/>
        <w:spacing w:before="240" w:after="120"/>
        <w:jc w:val="left"/>
      </w:pPr>
      <w:r>
        <w:rPr>
          <w:rFonts w:ascii="Arial" w:hAnsi="Arial" w:eastAsia="Arial"/>
          <w:b/>
          <w:color w:val="0D5EA6"/>
          <w:sz w:val="24"/>
        </w:rPr>
        <w:t>I.2. Princípio de Modularidade Tecnológica e Independência de Hardware</w:t>
      </w:r>
    </w:p>
    <w:p>
      <w:pPr>
        <w:keepNext w:val="0"/>
        <w:keepLines w:val="0"/>
        <w:widowControl/>
        <w:spacing w:before="0" w:after="100" w:line="283" w:lineRule="auto"/>
        <w:jc w:val="both"/>
      </w:pPr>
      <w:r>
        <w:rPr>
          <w:rFonts w:ascii="Arial" w:hAnsi="Arial" w:eastAsia="Arial"/>
          <w:color w:val="202A35"/>
          <w:sz w:val="21"/>
        </w:rPr>
        <w:t>O projeto adota o princípio de modularidade técnica de aquisição de dados. O escopo foi concebido para permitir a contratação por pacotes independentes de sensoriamento (HWD, GPR, LiDAR e RGB), preservando a interoperabilidade dos dados brutos e evitando dependências proprietárias ou aprisionamento tecnológico de fabricantes (lock-in). O AeroProf Intelligence não necessita possuir ou fornecer sensores físicos; seu valor principal reside em receber, validar, correlacionar espacialmente e transformar as saídas desses sensores em um Digital Twin espacial comum e rastreável no banco de dados espacial.</w:t>
      </w:r>
    </w:p>
    <w:p>
      <w:pPr>
        <w:pStyle w:val="Heading2"/>
        <w:keepNext/>
        <w:pageBreakBefore w:val="0"/>
        <w:spacing w:before="240" w:after="120"/>
        <w:jc w:val="left"/>
      </w:pPr>
      <w:r>
        <w:rPr>
          <w:rFonts w:ascii="Arial" w:hAnsi="Arial" w:eastAsia="Arial"/>
          <w:b/>
          <w:color w:val="0D5EA6"/>
          <w:sz w:val="24"/>
        </w:rPr>
        <w:t>I.3. Especificação dos Pacotes Técnicos de Sensoriamento</w:t>
      </w:r>
    </w:p>
    <w:p>
      <w:pPr>
        <w:keepNext w:val="0"/>
        <w:keepLines w:val="0"/>
        <w:widowControl/>
        <w:spacing w:before="0" w:after="100" w:line="283" w:lineRule="auto"/>
        <w:jc w:val="both"/>
      </w:pPr>
      <w:r>
        <w:rPr>
          <w:rFonts w:ascii="Arial" w:hAnsi="Arial" w:eastAsia="Arial"/>
          <w:color w:val="202A35"/>
          <w:sz w:val="21"/>
        </w:rPr>
        <w:t>I.3.1. Pacote Técnico 01: Heavy Weight Deflectometer (HWD) — Resposta Estrutural</w:t>
        <w:br/>
        <w:t>Compreende a mobilização de equipamento Heavy Weight Deflectometer (HWD) calibrado para aplicação de cargas dinâmicas transientes, simulando o impacto do trem de pouso de aeronaves comerciais de grande porte. O equipamento deve possuir uma célula de carga central para registro exato da força aplicada (com faixa de impacto estabelecida de 240 kN a 320 kN na pista de pouso) e uma barra rígida de geofones (mínimo de 9 sensores) para capturar o perfil completo da bacia de deflexões gerada. As leituras, sincronizadas espacialmente por coordenadas centimétricas GNSS RTK, servirão de insumo obrigatório para a retroanálise de módulos elásticos das camadas e do subleito do pavimento.</w:t>
      </w:r>
    </w:p>
    <w:p>
      <w:pPr>
        <w:keepNext w:val="0"/>
        <w:keepLines w:val="0"/>
        <w:widowControl/>
        <w:spacing w:before="0" w:after="100" w:line="283" w:lineRule="auto"/>
        <w:jc w:val="both"/>
      </w:pPr>
      <w:r>
        <w:rPr>
          <w:rFonts w:ascii="Arial" w:hAnsi="Arial" w:eastAsia="Arial"/>
          <w:color w:val="202A35"/>
          <w:sz w:val="21"/>
        </w:rPr>
        <w:t>I.3.2. Pacote Técnico 02: Ground Penetrating Radar (GPR) — Investigação de Subsuperfície</w:t>
        <w:br/>
        <w:t>Uso de radar de penetração no solo (GPR) contínuo para mapeamento estratigráfico contínuo. Devem ser utilizadas antenas na faixa de frequência de 1.0 GHz a 2.0 GHz acopladas a veículos (com encoder/odômetro para calibração de traces por metro), com o objetivo de determinar as interfaces físicas entre as camadas (espessura do revestimento betuminoso e da base granular) e detectar anomalias profundas, focos de infiltração de umidade ou vazios subsuperficiais. Os dados devem ser entregues em formato de radargrama bruto para importação e indexação espacial.</w:t>
      </w:r>
    </w:p>
    <w:p>
      <w:pPr>
        <w:keepNext w:val="0"/>
        <w:keepLines w:val="0"/>
        <w:widowControl/>
        <w:spacing w:before="0" w:after="100" w:line="283" w:lineRule="auto"/>
        <w:jc w:val="both"/>
      </w:pPr>
      <w:r>
        <w:rPr>
          <w:rFonts w:ascii="Arial" w:hAnsi="Arial" w:eastAsia="Arial"/>
          <w:color w:val="202A35"/>
          <w:sz w:val="21"/>
        </w:rPr>
        <w:t>I.3.3. Pacote Técnico 03: Drone RTK/PPK + LiDAR/RGB — Cadastro Superficial e Digital Twin</w:t>
        <w:br/>
        <w:t>Operação de aeronave remotamente pilotada (RPA) dotada de receptor GNSS geodésico (RTK/PPK) e payload dual: câmera RGB de alta resolução global shutter (para construção de ortomosaico e mapeamento visual de patologias como fissuras e desgaste na capa asfáltica) e sensor LiDAR de varredura ativa (para obtenção de nuvem de pontos 3D e modelagem digital de superfície, avaliando deformações geométricas e ondulações). Os produtos finais gerados devem possuir precisão centimétrica amparada por pontos de controle em terra.</w:t>
      </w:r>
    </w:p>
    <w:p>
      <w:pPr>
        <w:keepNext w:val="0"/>
        <w:keepLines w:val="0"/>
        <w:widowControl/>
        <w:spacing w:before="0" w:after="100" w:line="283" w:lineRule="auto"/>
        <w:jc w:val="both"/>
      </w:pPr>
      <w:r>
        <w:rPr>
          <w:rFonts w:ascii="Arial" w:hAnsi="Arial" w:eastAsia="Arial"/>
          <w:color w:val="202A35"/>
          <w:sz w:val="21"/>
        </w:rPr>
        <w:t>I.3.4. Pacote Técnico 04: Plataforma AeroProf Intelligence — Módulo de Software Integrador</w:t>
        <w:br/>
        <w:t>O AeroProf Intelligence será o núcleo tecnológico integrador. A plataforma utilizará a infraestrutura de banco de dados geoespacial (PostgreSQL/PostGIS), armazenamento de arquivos brutos, redes e processamento disponibilizada e integralmente custeada pela SGA. Essa infraestrutura deverá suportar ferramentas de visualização 3D baseadas na web para nuvens de pontos (LAS/LAZ), visualização de perfis contínuos de GPR, gráficos dinâmicos de bacias HWD por estacas da pista e ferramentas analíticas para correlação espacial de dados, assegururando a rastreabilidade total do indicador técnico até o arquivo bruto de origem de campo.</w:t>
      </w:r>
    </w:p>
    <w:p>
      <w:pPr>
        <w:pStyle w:val="Heading2"/>
        <w:keepNext/>
        <w:pageBreakBefore w:val="0"/>
        <w:spacing w:before="240" w:after="120"/>
        <w:jc w:val="left"/>
      </w:pPr>
      <w:r>
        <w:rPr>
          <w:rFonts w:ascii="Arial" w:hAnsi="Arial" w:eastAsia="Arial"/>
          <w:b/>
          <w:color w:val="0D5EA6"/>
          <w:sz w:val="24"/>
        </w:rPr>
        <w:t>I.4. Modelo Mínimo de Ingestão e Integração de Dados</w:t>
      </w:r>
    </w:p>
    <w:p>
      <w:pPr>
        <w:keepNext w:val="0"/>
        <w:keepLines w:val="0"/>
        <w:widowControl/>
        <w:spacing w:before="0" w:after="100" w:line="283" w:lineRule="auto"/>
        <w:jc w:val="both"/>
      </w:pPr>
      <w:r>
        <w:rPr>
          <w:rFonts w:ascii="Arial" w:hAnsi="Arial" w:eastAsia="Arial"/>
          <w:color w:val="202A35"/>
          <w:sz w:val="21"/>
        </w:rPr>
        <w:t>A tabela a seguir apresenta o esquema unificado de banco de dados espacial do AeroProf, onde cada segmento físico da pista (identificado por estacas ou chainage) recebe as seguintes camadas técnicas estruturadas:</w:t>
      </w:r>
    </w:p>
    <w:tbl>
      <w:tblPr>
        <w:jc w:val="left"/>
        <w:tblLook w:firstColumn="1" w:firstRow="1" w:lastColumn="0" w:lastRow="0" w:noHBand="0" w:noVBand="1" w:val="04A0"/>
        <w:tblW w:w="9638" w:type="dxa"/>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1800"/>
        <w:gridCol w:w="5850"/>
        <w:gridCol w:w="1988"/>
      </w:tblGrid>
      <w:tr>
        <w:trPr>
          <w:tblHeader w:val="true"/>
          <w:cantSplit/>
        </w:trPr>
        <w:tc>
          <w:tcPr>
            <w:tcW w:type="dxa" w:w="18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Camada Espacial</w:t>
            </w:r>
          </w:p>
        </w:tc>
        <w:tc>
          <w:tcPr>
            <w:tcW w:type="dxa" w:w="585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Conteúdo Técnico e Informações Vinculadas</w:t>
            </w:r>
          </w:p>
        </w:tc>
        <w:tc>
          <w:tcPr>
            <w:tcW w:type="dxa" w:w="1988"/>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Origem/Método</w:t>
            </w:r>
          </w:p>
        </w:tc>
      </w:tr>
      <w:tr>
        <w:trPr>
          <w:cantSplit/>
        </w:trPr>
        <w:tc>
          <w:tcPr>
            <w:tcW w:type="dxa" w:w="18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Identidade do Ativo</w:t>
            </w:r>
          </w:p>
        </w:tc>
        <w:tc>
          <w:tcPr>
            <w:tcW w:type="dxa" w:w="58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ID único de banco de dados, aeroporto, trecho operacional (RWY/TWY), estaca linear (chainage), polígono georreferenciado e versão.</w:t>
            </w:r>
          </w:p>
        </w:tc>
        <w:tc>
          <w:tcPr>
            <w:tcW w:type="dxa" w:w="198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SGA / AeroProf</w:t>
            </w:r>
          </w:p>
        </w:tc>
      </w:tr>
      <w:tr>
        <w:trPr>
          <w:cantSplit/>
        </w:trPr>
        <w:tc>
          <w:tcPr>
            <w:tcW w:type="dxa" w:w="18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RGB (Capa Visual)</w:t>
            </w:r>
          </w:p>
        </w:tc>
        <w:tc>
          <w:tcPr>
            <w:tcW w:type="dxa" w:w="58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Registro fotográfico, mosaico visual de alta definição, patologias superficiais mapeadas por coordenadas, fissuras.</w:t>
            </w:r>
          </w:p>
        </w:tc>
        <w:tc>
          <w:tcPr>
            <w:tcW w:type="dxa" w:w="198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Drone RGB / Pacote 03</w:t>
            </w:r>
          </w:p>
        </w:tc>
      </w:tr>
      <w:tr>
        <w:trPr>
          <w:cantSplit/>
        </w:trPr>
        <w:tc>
          <w:tcPr>
            <w:tcW w:type="dxa" w:w="18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LiDAR (Geometria 3D)</w:t>
            </w:r>
          </w:p>
        </w:tc>
        <w:tc>
          <w:tcPr>
            <w:tcW w:type="dxa" w:w="58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Nuvem de pontos tridimensional, irregularidade longitudinal, elevações XYZ e bacias geométricas da capa asfáltica.</w:t>
            </w:r>
          </w:p>
        </w:tc>
        <w:tc>
          <w:tcPr>
            <w:tcW w:type="dxa" w:w="198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Drone LiDAR / Pacote 03</w:t>
            </w:r>
          </w:p>
        </w:tc>
      </w:tr>
      <w:tr>
        <w:trPr>
          <w:cantSplit/>
        </w:trPr>
        <w:tc>
          <w:tcPr>
            <w:tcW w:type="dxa" w:w="18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GPR (Subsuperfície)</w:t>
            </w:r>
          </w:p>
        </w:tc>
        <w:tc>
          <w:tcPr>
            <w:tcW w:type="dxa" w:w="58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Radargrama contínuo interpretado, interfaces físicas, espessura contínua de revestimento e base, focos de infiltração de água.</w:t>
            </w:r>
          </w:p>
        </w:tc>
        <w:tc>
          <w:tcPr>
            <w:tcW w:type="dxa" w:w="198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GPR Terrestre / Pacote 02</w:t>
            </w:r>
          </w:p>
        </w:tc>
      </w:tr>
      <w:tr>
        <w:trPr>
          <w:cantSplit/>
        </w:trPr>
        <w:tc>
          <w:tcPr>
            <w:tcW w:type="dxa" w:w="18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HWD (Estrutural)</w:t>
            </w:r>
          </w:p>
        </w:tc>
        <w:tc>
          <w:tcPr>
            <w:tcW w:type="dxa" w:w="58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Força de impacto dinâmica, bacias de deflexão por geofone, temperatura física de pista, dados de rigidez estrutural.</w:t>
            </w:r>
          </w:p>
        </w:tc>
        <w:tc>
          <w:tcPr>
            <w:tcW w:type="dxa" w:w="198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HWD Terrestre / Pacote 01</w:t>
            </w:r>
          </w:p>
        </w:tc>
      </w:tr>
      <w:tr>
        <w:trPr>
          <w:cantSplit/>
        </w:trPr>
        <w:tc>
          <w:tcPr>
            <w:tcW w:type="dxa" w:w="18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Estrutura do Pavimento</w:t>
            </w:r>
          </w:p>
        </w:tc>
        <w:tc>
          <w:tcPr>
            <w:tcW w:type="dxa" w:w="58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Projetos as-built históricos, camadas de asfalto/concreto, dados de furos de sondagem geotécnica, CBR do subleito.</w:t>
            </w:r>
          </w:p>
        </w:tc>
        <w:tc>
          <w:tcPr>
            <w:tcW w:type="dxa" w:w="198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SGA Angola (Histórico)</w:t>
            </w:r>
          </w:p>
        </w:tc>
      </w:tr>
      <w:tr>
        <w:trPr>
          <w:cantSplit/>
        </w:trPr>
        <w:tc>
          <w:tcPr>
            <w:tcW w:type="dxa" w:w="18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Tráfego e Operação</w:t>
            </w:r>
          </w:p>
        </w:tc>
        <w:tc>
          <w:tcPr>
            <w:tcW w:type="dxa" w:w="58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Mix de frota comercial regular, cargas operacionais reais, movimentos anuais e projeções de tráfego de projeto.</w:t>
            </w:r>
          </w:p>
        </w:tc>
        <w:tc>
          <w:tcPr>
            <w:tcW w:type="dxa" w:w="198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SGA Angola (Operações)</w:t>
            </w:r>
          </w:p>
        </w:tc>
      </w:tr>
      <w:tr>
        <w:trPr>
          <w:cantSplit/>
        </w:trPr>
        <w:tc>
          <w:tcPr>
            <w:tcW w:type="dxa" w:w="18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Cálculo ACR/PCR</w:t>
            </w:r>
          </w:p>
        </w:tc>
        <w:tc>
          <w:tcPr>
            <w:tcW w:type="dxa" w:w="58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Parâmetros do subleito, pressão de pneus, inputs de projeto, versão de cálculo FAARFIELD, PCR dinâmico resultante.</w:t>
            </w:r>
          </w:p>
        </w:tc>
        <w:tc>
          <w:tcPr>
            <w:tcW w:type="dxa" w:w="198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AeroProf / Engenharia</w:t>
            </w:r>
          </w:p>
        </w:tc>
      </w:tr>
      <w:tr>
        <w:trPr>
          <w:cantSplit/>
        </w:trPr>
        <w:tc>
          <w:tcPr>
            <w:tcW w:type="dxa" w:w="18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Manutenção e Histórico</w:t>
            </w:r>
          </w:p>
        </w:tc>
        <w:tc>
          <w:tcPr>
            <w:tcW w:type="dxa" w:w="58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Ordens de serviço históricas, restauros civis, datas, custos e evolução temporal de fadiga residual do pavimento.</w:t>
            </w:r>
          </w:p>
        </w:tc>
        <w:tc>
          <w:tcPr>
            <w:tcW w:type="dxa" w:w="198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SGA / AeroProf</w:t>
            </w:r>
          </w:p>
        </w:tc>
      </w:tr>
    </w:tbl>
    <w:p>
      <w:pPr>
        <w:pStyle w:val="Heading1"/>
        <w:keepNext/>
        <w:pageBreakBefore/>
        <w:spacing w:before="240" w:after="240"/>
        <w:jc w:val="left"/>
        <w:pBdr>
          <w:bottom w:val="single" w:sz="8" w:space="4" w:color="D4A017"/>
        </w:pBdr>
      </w:pPr>
      <w:r>
        <w:rPr>
          <w:rFonts w:ascii="Arial" w:hAnsi="Arial" w:eastAsia="Arial"/>
          <w:b/>
          <w:color w:val="073763"/>
          <w:sz w:val="32"/>
        </w:rPr>
        <w:t>ANEXO II — PROBLEMA DE NEGÓCIO</w:t>
      </w:r>
    </w:p>
    <w:p>
      <w:pPr>
        <w:pStyle w:val="Heading2"/>
        <w:keepNext/>
        <w:pageBreakBefore w:val="0"/>
        <w:spacing w:before="240" w:after="120"/>
        <w:jc w:val="left"/>
      </w:pPr>
      <w:r>
        <w:rPr>
          <w:rFonts w:ascii="Arial" w:hAnsi="Arial" w:eastAsia="Arial"/>
          <w:b/>
          <w:color w:val="0D5EA6"/>
          <w:sz w:val="24"/>
        </w:rPr>
        <w:t>II.1. Rastreabilidade e Verdade do Pavimento</w:t>
      </w:r>
    </w:p>
    <w:p>
      <w:pPr>
        <w:keepNext w:val="0"/>
        <w:keepLines w:val="0"/>
        <w:widowControl/>
        <w:spacing w:before="0" w:after="100" w:line="283" w:lineRule="auto"/>
        <w:jc w:val="both"/>
      </w:pPr>
      <w:r>
        <w:rPr>
          <w:rFonts w:ascii="Arial" w:hAnsi="Arial" w:eastAsia="Arial"/>
          <w:color w:val="202A35"/>
          <w:sz w:val="21"/>
        </w:rPr>
        <w:t>Historicamente, a tomada de decisão em manutenção de infraestrutura aeroportuária tem sofrido com a fragmentação de informações superficiais, subsuperficiais e estruturais. O modelo atual baseia-se em planilhas desconectadas, inspeções visuais subjetivas e projetos as-built físicos obsoletos e de difícil consulta. Sem a capacidade de correlacionar espacialmente essas diferentes camadas técnicas de dados, o operador aeroportuário fica privado de rastreabilidade, sendo incapaz de demonstrar com precisão metrológica a origem das decisões de investimento ou de manutenção, o que compromete a eficiência e a segurança operacional das pistas.</w:t>
      </w:r>
    </w:p>
    <w:p>
      <w:pPr>
        <w:pStyle w:val="Heading2"/>
        <w:keepNext/>
        <w:pageBreakBefore w:val="0"/>
        <w:spacing w:before="240" w:after="120"/>
        <w:jc w:val="left"/>
      </w:pPr>
      <w:r>
        <w:rPr>
          <w:rFonts w:ascii="Arial" w:hAnsi="Arial" w:eastAsia="Arial"/>
          <w:b/>
          <w:color w:val="0D5EA6"/>
          <w:sz w:val="24"/>
        </w:rPr>
        <w:t>II.2. A Pergunta Central do Negócio</w:t>
      </w:r>
    </w:p>
    <w:p>
      <w:pPr>
        <w:pStyle w:val="DocumentQuote"/>
        <w:spacing w:before="0" w:after="120" w:line="276" w:lineRule="auto"/>
        <w:ind w:left="255" w:right="255"/>
        <w:jc w:val="left"/>
        <w:shd w:fill="F7F9FB"/>
      </w:pPr>
      <w:r>
        <w:rPr>
          <w:rFonts w:ascii="Arial" w:hAnsi="Arial" w:eastAsia="Arial"/>
          <w:i/>
          <w:color w:val="202A35"/>
          <w:sz w:val="21"/>
        </w:rPr>
        <w:t>A pergunta central que este Dossiê e a Prova de Conceito (PoC) visam responder de forma rigorosa e baseada em evidências é:</w:t>
        <w:br/>
        <w:t>"Qual é a capacidade estrutural real do pavimento hoje (PCR), quais aeronaves ele pode receber com absoluta segurança (ACR), onde estão suas fragilidades ocultas de subsuperfície e qual o momento ideal para a intervenção de engenharia civil?"</w:t>
      </w:r>
    </w:p>
    <w:p>
      <w:pPr>
        <w:pStyle w:val="Heading2"/>
        <w:keepNext/>
        <w:pageBreakBefore w:val="0"/>
        <w:spacing w:before="240" w:after="120"/>
        <w:jc w:val="left"/>
      </w:pPr>
      <w:r>
        <w:rPr>
          <w:rFonts w:ascii="Arial" w:hAnsi="Arial" w:eastAsia="Arial"/>
          <w:b/>
          <w:color w:val="0D5EA6"/>
          <w:sz w:val="24"/>
        </w:rPr>
        <w:t>II.3. Riscos Operacionais e Financeiros da Gestão Convencional</w:t>
      </w:r>
    </w:p>
    <w:p>
      <w:pPr>
        <w:keepNext w:val="0"/>
        <w:keepLines w:val="0"/>
        <w:widowControl/>
        <w:spacing w:before="0" w:after="100" w:line="283" w:lineRule="auto"/>
        <w:jc w:val="both"/>
      </w:pPr>
      <w:r>
        <w:rPr>
          <w:rFonts w:ascii="Arial" w:hAnsi="Arial" w:eastAsia="Arial"/>
          <w:color w:val="202A35"/>
          <w:sz w:val="21"/>
        </w:rPr>
        <w:t>A falta de uma cadeia unificada de evidências impõe graves riscos para o operador. Intervir tarde demais (manutenção reativa) resulta em colapsos e falhas estruturais severas da pista de pouso, paralisando as operações comerciais do aeródromo, afetando voos e gerando custos astronômicos de restauração profunda. Por outro lado, intervir cedo demais, com base em estimativas imprecisas ou relatórios visuais subjetivos de superfície, resulta em um maciço desperdício de capital em trechos que ainda possuem vida útil estrutural remanescente substancial. A unificação de dados pelo AeroProf Intelligence visa mitigar esses riscos e otimizar o retorno sobre investimento (ROI) da SGA Angola.</w:t>
      </w:r>
    </w:p>
    <w:p>
      <w:pPr>
        <w:pStyle w:val="Heading1"/>
        <w:keepNext/>
        <w:pageBreakBefore/>
        <w:spacing w:before="240" w:after="240"/>
        <w:jc w:val="left"/>
        <w:pBdr>
          <w:bottom w:val="single" w:sz="8" w:space="4" w:color="D4A017"/>
        </w:pBdr>
      </w:pPr>
      <w:r>
        <w:rPr>
          <w:rFonts w:ascii="Arial" w:hAnsi="Arial" w:eastAsia="Arial"/>
          <w:b/>
          <w:color w:val="073763"/>
          <w:sz w:val="32"/>
        </w:rPr>
        <w:t>ANEXO III — APRESENTAÇÃO EXECUTIVA (SÍNTESE ESTRUTURADA)</w:t>
      </w:r>
    </w:p>
    <w:p>
      <w:pPr>
        <w:pStyle w:val="Heading2"/>
        <w:keepNext/>
        <w:pageBreakBefore w:val="0"/>
        <w:spacing w:before="240" w:after="120"/>
        <w:jc w:val="left"/>
      </w:pPr>
      <w:r>
        <w:rPr>
          <w:rFonts w:ascii="Arial" w:hAnsi="Arial" w:eastAsia="Arial"/>
          <w:b/>
          <w:color w:val="0D5EA6"/>
          <w:sz w:val="24"/>
        </w:rPr>
        <w:t>III.1. Alinhamento de Slides e Conteúdo Visual Institucional</w:t>
      </w:r>
    </w:p>
    <w:p>
      <w:pPr>
        <w:keepNext w:val="0"/>
        <w:keepLines w:val="0"/>
        <w:widowControl/>
        <w:spacing w:before="0" w:after="100" w:line="283" w:lineRule="auto"/>
        <w:jc w:val="both"/>
      </w:pPr>
      <w:r>
        <w:rPr>
          <w:rFonts w:ascii="Arial" w:hAnsi="Arial" w:eastAsia="Arial"/>
          <w:color w:val="202A35"/>
          <w:sz w:val="21"/>
        </w:rPr>
        <w:t>Para subsidiar a apresentação oficial às autoridades governamentais de Angola, o conteúdo executivo visual foi consolidado em estrutura sequencial de slides corporativos. A cooperação proposta envolve exclusivamente a SGA Angola, como provedora de infraestrutura e dados operacionais, e a DWELL, como provedora e desenvolvedora de software:</w:t>
      </w:r>
    </w:p>
    <w:p>
      <w:pPr>
        <w:pStyle w:val="ListBullet"/>
        <w:keepLines w:val="0"/>
        <w:spacing w:before="0" w:after="120" w:line="276" w:lineRule="auto"/>
        <w:jc w:val="both"/>
      </w:pPr>
      <w:r>
        <w:rPr>
          <w:rFonts w:ascii="Arial" w:hAnsi="Arial" w:eastAsia="Arial"/>
          <w:color w:val="202A35"/>
          <w:sz w:val="20"/>
        </w:rPr>
        <w:t>Slide 1: Capa da Prova de Conceito: AeroProf Intelligence: SGA Angola Proof of Concept (PoC). Estruturação do paradigma eMaintenance para infraestrutura aeroportuária nacional. Parceria estratégica focada em conformidade ACR/PCR e inteligência de decisões operacionais.</w:t>
      </w:r>
    </w:p>
    <w:p>
      <w:pPr>
        <w:pStyle w:val="ListBullet"/>
        <w:keepLines w:val="0"/>
        <w:spacing w:before="0" w:after="120" w:line="276" w:lineRule="auto"/>
        <w:jc w:val="both"/>
      </w:pPr>
      <w:r>
        <w:rPr>
          <w:rFonts w:ascii="Arial" w:hAnsi="Arial" w:eastAsia="Arial"/>
          <w:color w:val="202A35"/>
          <w:sz w:val="20"/>
        </w:rPr>
        <w:t>Slide 2: O Problema de Negócio: A Realidade Oculta do Pavimento: A superfície engana — o que vemos na pista não garante a real capacidade de carga. Intervir tarde demais resulta em falha profunda; intervir cedo demais gera desperdício de capital. A Diretoria de Manutenção exige rastreabilidade técnica contínua e dados integrados, não estimativas.</w:t>
      </w:r>
    </w:p>
    <w:p>
      <w:pPr>
        <w:pStyle w:val="ListBullet"/>
        <w:keepLines w:val="0"/>
        <w:spacing w:before="0" w:after="120" w:line="276" w:lineRule="auto"/>
        <w:jc w:val="both"/>
      </w:pPr>
      <w:r>
        <w:rPr>
          <w:rFonts w:ascii="Arial" w:hAnsi="Arial" w:eastAsia="Arial"/>
          <w:color w:val="202A35"/>
          <w:sz w:val="20"/>
        </w:rPr>
        <w:t>Slide 3: A Solução Tecnológica: O Paradigma eMaintenance: Transição de uma manutenção puramente reativa e baseada em documentação física de papel para uma plataforma geoespacial digitalizada e centralizada (AeroProf), que integra o histórico do ativo, tráfego real e ensaios físicos, conectando a pista à decisão de engenharia.</w:t>
      </w:r>
    </w:p>
    <w:p>
      <w:pPr>
        <w:pStyle w:val="ListBullet"/>
        <w:keepLines w:val="0"/>
        <w:spacing w:before="0" w:after="120" w:line="276" w:lineRule="auto"/>
        <w:jc w:val="both"/>
      </w:pPr>
      <w:r>
        <w:rPr>
          <w:rFonts w:ascii="Arial" w:hAnsi="Arial" w:eastAsia="Arial"/>
          <w:color w:val="202A35"/>
          <w:sz w:val="20"/>
        </w:rPr>
        <w:t>Slide 4: O Catalisador Regulatório (ICAO): Transição Crítica Global: O paradigma mundial da ICAO alterou o antigo método ACN/PCN para o novo padrão ACR/PCR (em vigor internacionalmente desde 28 de novembro de 2024). Transição de modelos empíricos antigos de meados do século XX para o modelo mecanístico-empírico de análise de elementos finitos e módulos elásticos unificados, processados de forma ágil no motor regulatório FAARFIELD 2.1.</w:t>
      </w:r>
    </w:p>
    <w:p>
      <w:pPr>
        <w:pStyle w:val="ListBullet"/>
        <w:keepLines w:val="0"/>
        <w:spacing w:before="0" w:after="120" w:line="276" w:lineRule="auto"/>
        <w:jc w:val="both"/>
      </w:pPr>
      <w:r>
        <w:rPr>
          <w:rFonts w:ascii="Arial" w:hAnsi="Arial" w:eastAsia="Arial"/>
          <w:color w:val="202A35"/>
          <w:sz w:val="20"/>
        </w:rPr>
        <w:t>Slide 5: Desmistificando o CDF: Cumulative Damage Factor (Fator de Dano Acumulado): O dano estrutural não é uma função simplista do peso bruto da aeronave, mas sim da configuração de seu trem de pouso, distribuição de cargas e fadiga ao longo do tempo. CDF = 0 representa pavimento novo; CDF = 1.0 indica fadiga completa de projeto de pavimentos.</w:t>
      </w:r>
    </w:p>
    <w:p>
      <w:pPr>
        <w:pStyle w:val="ListBullet"/>
        <w:keepLines w:val="0"/>
        <w:spacing w:before="0" w:after="120" w:line="276" w:lineRule="auto"/>
        <w:jc w:val="both"/>
      </w:pPr>
      <w:r>
        <w:rPr>
          <w:rFonts w:ascii="Arial" w:hAnsi="Arial" w:eastAsia="Arial"/>
          <w:color w:val="202A35"/>
          <w:sz w:val="20"/>
        </w:rPr>
        <w:t>Slide 6: A Matriz Tecnológica de Fusão: Integração das 3 camadas físicas: A regra de ouro da engenharia dita que nunca se deve declarar capacidade estrutural baseado em dados ópticos ou de radar. É imperativa a fusão de: Camada 1: Superfície (Drone LiDAR/RGB); Camada 2: Subsuperfície (GPR terrestre); Camada 3: Estrutura Profunda (HWD Terrestre com impacto de 240 a 320 kN).</w:t>
      </w:r>
    </w:p>
    <w:p>
      <w:pPr>
        <w:pStyle w:val="ListBullet"/>
        <w:keepLines w:val="0"/>
        <w:spacing w:before="0" w:after="120" w:line="276" w:lineRule="auto"/>
        <w:jc w:val="both"/>
      </w:pPr>
      <w:r>
        <w:rPr>
          <w:rFonts w:ascii="Arial" w:hAnsi="Arial" w:eastAsia="Arial"/>
          <w:color w:val="202A35"/>
          <w:sz w:val="20"/>
        </w:rPr>
        <w:t>Slide 7: Camada 1 — Drone RTK / LiDAR: Mapeamento e caracterização geométrica 3D da superfície. Alvo de precisão centimétrica (5cm horizontal, 4cm vertical) para geração de ortomosaicos RGB de alta definição e nuvem de pontos LAS/LAZ para identificação visual de patologias e irregularidades superficiais.</w:t>
      </w:r>
    </w:p>
    <w:p>
      <w:pPr>
        <w:pStyle w:val="ListBullet"/>
        <w:keepLines w:val="0"/>
        <w:spacing w:before="0" w:after="120" w:line="276" w:lineRule="auto"/>
        <w:jc w:val="both"/>
      </w:pPr>
      <w:r>
        <w:rPr>
          <w:rFonts w:ascii="Arial" w:hAnsi="Arial" w:eastAsia="Arial"/>
          <w:color w:val="202A35"/>
          <w:sz w:val="20"/>
        </w:rPr>
        <w:t>Slide 8: Camada 2 — GPR Terrestre: Investigação eletromagnética de subsuperfície de alta frequência (1.0 a 2.0 GHz). Determinação física contínua das espessuras das camadas, detecção contínua de interfaces físicas e localização precisa de anomalias ocultas, tais como vazios e infiltração de umidade.</w:t>
      </w:r>
    </w:p>
    <w:p>
      <w:pPr>
        <w:pStyle w:val="ListBullet"/>
        <w:keepLines w:val="0"/>
        <w:spacing w:before="0" w:after="120" w:line="276" w:lineRule="auto"/>
        <w:jc w:val="both"/>
      </w:pPr>
      <w:r>
        <w:rPr>
          <w:rFonts w:ascii="Arial" w:hAnsi="Arial" w:eastAsia="Arial"/>
          <w:color w:val="202A35"/>
          <w:sz w:val="20"/>
        </w:rPr>
        <w:t>Slide 9: Camada 3 — Heavy Weight Deflectometer (HWD): O âncora estrutural do projeto. Deflectômetro de Impacto calibrado aplicando carregamentos reais dinâmicos de aeronaves comerciais de grande porte (faixa operacional de 240 kN a 320 kN). Medição precisa das bacias de deflexão por geofones para cálculo retroanalítico real no FAARFIELD. Drones e GPR não medem capacidade de carga estrutural.</w:t>
      </w:r>
    </w:p>
    <w:p>
      <w:pPr>
        <w:pStyle w:val="ListBullet"/>
        <w:keepLines w:val="0"/>
        <w:spacing w:before="0" w:after="120" w:line="276" w:lineRule="auto"/>
        <w:jc w:val="both"/>
      </w:pPr>
      <w:r>
        <w:rPr>
          <w:rFonts w:ascii="Arial" w:hAnsi="Arial" w:eastAsia="Arial"/>
          <w:color w:val="202A35"/>
          <w:sz w:val="20"/>
        </w:rPr>
        <w:t>Slide 10: O Funil eMaintenance: Fluxo contínuo: Ingestão de dados brutos (PostgreSQL/PostGIS) → Validação de qualidade (QA/QC) → Modelagem matemática e processamento no motor FAARFIELD 2.1 → Geração do Digital Twin 3D e mapas temáticos de criticidade → Tomada de decisão de manutenção e priorização de ROI.</w:t>
      </w:r>
    </w:p>
    <w:p>
      <w:pPr>
        <w:pStyle w:val="ListBullet"/>
        <w:keepLines w:val="0"/>
        <w:spacing w:before="0" w:after="120" w:line="276" w:lineRule="auto"/>
        <w:jc w:val="both"/>
      </w:pPr>
      <w:r>
        <w:rPr>
          <w:rFonts w:ascii="Arial" w:hAnsi="Arial" w:eastAsia="Arial"/>
          <w:color w:val="202A35"/>
          <w:sz w:val="20"/>
        </w:rPr>
        <w:t>Slide 11: O Ecossistema Cooperativo da PoC: SGA Angola (fornece a infraestrutura aeroportuária, coordena acesso Airside, disponibiliza dados históricos de tráfego, as-built, e custeia INTEGRALMENTE todos os meios físicos e tecnológicos da PoC) e DWELL/AeroProf (disponibiliza a plataforma tecnológica de software, realiza processamento, suporte técnico remetido e fusão de dados).</w:t>
      </w:r>
    </w:p>
    <w:p>
      <w:pPr>
        <w:pStyle w:val="ListBullet"/>
        <w:keepLines w:val="0"/>
        <w:spacing w:before="0" w:after="120" w:line="276" w:lineRule="auto"/>
        <w:jc w:val="both"/>
      </w:pPr>
      <w:r>
        <w:rPr>
          <w:rFonts w:ascii="Arial" w:hAnsi="Arial" w:eastAsia="Arial"/>
          <w:color w:val="202A35"/>
          <w:sz w:val="20"/>
        </w:rPr>
        <w:t>Slide 12: Governança Operacional (RACI): Definição clara de papéis: SGA como Aprovador e Responsável pelo sítio piloto, acessos e furos de sondagem; DWELL como Responsável técnico pelo software e integração; ANAC Angola e ATS regulando o espaço aéreo de voos RPAS.</w:t>
      </w:r>
    </w:p>
    <w:p>
      <w:pPr>
        <w:pStyle w:val="ListBullet"/>
        <w:keepLines w:val="0"/>
        <w:spacing w:before="0" w:after="120" w:line="276" w:lineRule="auto"/>
        <w:jc w:val="both"/>
      </w:pPr>
      <w:r>
        <w:rPr>
          <w:rFonts w:ascii="Arial" w:hAnsi="Arial" w:eastAsia="Arial"/>
          <w:color w:val="202A35"/>
          <w:sz w:val="20"/>
        </w:rPr>
        <w:t>Slide 13: O Escudo Regulatório de Mitigação de Riscos: Metodologia 6M (Máquina, Meio Ambiente, Medição, Material, Método, Mão de Obra) aplicada à conformidade com as Normas Técnicas Aeronáuticas (NTAs) angolanas NTA 10, NTA 20 e NTA 36 para operações seguras de drones em aeroportos.</w:t>
      </w:r>
    </w:p>
    <w:p>
      <w:pPr>
        <w:pStyle w:val="ListBullet"/>
        <w:keepLines w:val="0"/>
        <w:spacing w:before="0" w:after="120" w:line="276" w:lineRule="auto"/>
        <w:jc w:val="both"/>
      </w:pPr>
      <w:r>
        <w:rPr>
          <w:rFonts w:ascii="Arial" w:hAnsi="Arial" w:eastAsia="Arial"/>
          <w:color w:val="202A35"/>
          <w:sz w:val="20"/>
        </w:rPr>
        <w:t>Slide 14: Protocolo de Execução e Portões (Gates): Estrutura sequencial em 9 portões críticos (Gates G0 a G9) que garantem a segurança airside e a prontidão técnica. Nenhuma atividade física ocorre sem que o Gate anterior esteja 100% verificado e autorizado.</w:t>
      </w:r>
    </w:p>
    <w:p>
      <w:pPr>
        <w:pStyle w:val="ListBullet"/>
        <w:keepLines w:val="0"/>
        <w:spacing w:before="0" w:after="120" w:line="276" w:lineRule="auto"/>
        <w:jc w:val="both"/>
      </w:pPr>
      <w:r>
        <w:rPr>
          <w:rFonts w:ascii="Arial" w:hAnsi="Arial" w:eastAsia="Arial"/>
          <w:color w:val="202A35"/>
          <w:sz w:val="20"/>
        </w:rPr>
        <w:t>Slide 15: O Produto Final Entregável: Digital Twin 3D integrado baseado em mapas Web GIS, integrando foto RGB, espessura GPR e bacia HWD por estaca de pista, oferecendo alertas de criticidade, inteligência operacional de priorização e rastreabilidade total do dado bruto.</w:t>
      </w:r>
    </w:p>
    <w:p>
      <w:pPr>
        <w:pStyle w:val="ListBullet"/>
        <w:keepLines w:val="0"/>
        <w:spacing w:before="0" w:after="120" w:line="276" w:lineRule="auto"/>
        <w:jc w:val="both"/>
      </w:pPr>
      <w:r>
        <w:rPr>
          <w:rFonts w:ascii="Arial" w:hAnsi="Arial" w:eastAsia="Arial"/>
          <w:color w:val="202A35"/>
          <w:sz w:val="20"/>
        </w:rPr>
        <w:t>Slide 16: Critérios de Sucesso e Escala de Rede: Alinhamento geoespacial absoluto de 100% dos datasets, correlação espacial das 3 camadas físicas, rastreabilidade metrológica completa auditável, reporte dinâmico e preciso do código PCR no FAARFIELD e plano de expansão comercial para a malha aeroportuária nacional sob gestão da SGA Angola.</w:t>
      </w:r>
    </w:p>
    <w:p>
      <w:pPr>
        <w:pStyle w:val="Heading1"/>
        <w:keepNext/>
        <w:pageBreakBefore/>
        <w:spacing w:before="240" w:after="240"/>
        <w:jc w:val="left"/>
        <w:pBdr>
          <w:bottom w:val="single" w:sz="8" w:space="4" w:color="D4A017"/>
        </w:pBdr>
      </w:pPr>
      <w:r>
        <w:rPr>
          <w:rFonts w:ascii="Arial" w:hAnsi="Arial" w:eastAsia="Arial"/>
          <w:b/>
          <w:color w:val="073763"/>
          <w:sz w:val="32"/>
        </w:rPr>
        <w:t>ANEXO IV — eMAINTENANCE INTELLIGENCE (ENGENHARIA E CONFORMIDADE)</w:t>
      </w:r>
    </w:p>
    <w:p>
      <w:pPr>
        <w:pStyle w:val="Heading2"/>
        <w:keepNext/>
        <w:pageBreakBefore w:val="0"/>
        <w:spacing w:before="240" w:after="120"/>
        <w:jc w:val="left"/>
      </w:pPr>
      <w:r>
        <w:rPr>
          <w:rFonts w:ascii="Arial" w:hAnsi="Arial" w:eastAsia="Arial"/>
          <w:b/>
          <w:color w:val="0D5EA6"/>
          <w:sz w:val="24"/>
        </w:rPr>
        <w:t>IV.1. Limites Metrológicos de GPR e LiDAR</w:t>
      </w:r>
    </w:p>
    <w:p>
      <w:pPr>
        <w:spacing w:before="0" w:after="120" w:line="276" w:lineRule="auto"/>
        <w:jc w:val="left"/>
      </w:pPr>
      <w:r>
        <w:rPr>
          <w:rFonts w:ascii="Arial" w:hAnsi="Arial" w:eastAsia="Arial"/>
          <w:color w:val="202A35"/>
          <w:sz w:val="20"/>
        </w:rPr>
        <w:t>De acordo com os preceitos de engenharia civil aeroportuária estabelecidos pela Federal Aviation Administration (FAA AC 150/5370-11B), sensores ópticos e eletromagnéticos não possuem capacidade metrológica de estimar capacidade de suporte de carga do pavimento por vias diretas:</w:t>
        <w:br/>
        <w:t>• O LiDAR aéreo deve ser utilizado exclusivamente para caracterização visual tridimensional da superfície da pista, modelagem de relevo, determinação de ondulações geométricas e cadastro de patologias superficiais (irregularidades longitudinais), sendo terminantemente vedada a criação de qualquer modelo computacional que atribua PCR ou suporte de carga baseado isoladamente em tais dados;</w:t>
        <w:br/>
        <w:t>• O radar de penetração no solo (GPR) é uma ferramenta de caracterização física contínua que estima as espessuras das camadas (revestimento e base granular) e localiza anomalias contínuas (vazios, infiltração de água). O GPR não afere diretamente rigidez elástica ou capacidade de carga.</w:t>
      </w:r>
    </w:p>
    <w:p>
      <w:pPr>
        <w:pStyle w:val="Heading2"/>
        <w:keepNext/>
        <w:pageBreakBefore w:val="0"/>
        <w:spacing w:before="240" w:after="120"/>
        <w:jc w:val="left"/>
      </w:pPr>
      <w:r>
        <w:rPr>
          <w:rFonts w:ascii="Arial" w:hAnsi="Arial" w:eastAsia="Arial"/>
          <w:b/>
          <w:color w:val="0D5EA6"/>
          <w:sz w:val="24"/>
        </w:rPr>
        <w:t>IV.2. Especificação Metrológica de Carga Deflectométrica (HWD vs. Rodoviário)</w:t>
      </w:r>
    </w:p>
    <w:p>
      <w:pPr>
        <w:keepNext w:val="0"/>
        <w:keepLines w:val="0"/>
        <w:widowControl/>
        <w:spacing w:before="0" w:after="100" w:line="283" w:lineRule="auto"/>
        <w:jc w:val="both"/>
      </w:pPr>
      <w:r>
        <w:rPr>
          <w:rFonts w:ascii="Arial" w:hAnsi="Arial" w:eastAsia="Arial"/>
          <w:color w:val="202A35"/>
          <w:sz w:val="21"/>
        </w:rPr>
        <w:t>A circular técnica FAA AC 150/5370-11B alerta de forma rigorosa que o uso de deflectômetros rodoviários típicos (como LWD ou FWD padrão com carga de impacto máxima de 80 a 120 kN, projetados para simular eixos rodoviários de 8,2 toneladas) é tecnicamente inadequado para avaliar pavimentos aeroportuários comerciais de grande porte. Cargas reduzidas de impacto rodoviário não dispõem de energia mecânica suficiente para propagar as tensões através de espessas camadas asfálticas e de base granulada até o topo do subleito, resultando em módulos elásticos retroanalisados distorcidos ou superestimados. Para a validade técnica da PoC na SGA Angola, a força de impacto deflectométrica deve simular de forma fiel os carregamentos de roda de aeronaves comerciais pesadas, exigindo o uso de Heavy Weight Deflectometer (HWD) com faixa de carregamento estabelecida entre 240 kN e 320 kN.</w:t>
      </w:r>
    </w:p>
    <w:p>
      <w:pPr>
        <w:pStyle w:val="Heading2"/>
        <w:keepNext/>
        <w:pageBreakBefore w:val="0"/>
        <w:spacing w:before="240" w:after="120"/>
        <w:jc w:val="left"/>
      </w:pPr>
      <w:r>
        <w:rPr>
          <w:rFonts w:ascii="Arial" w:hAnsi="Arial" w:eastAsia="Arial"/>
          <w:b/>
          <w:color w:val="0D5EA6"/>
          <w:sz w:val="24"/>
        </w:rPr>
        <w:t>IV.3. Métodos de Avaliação de Capacidade de Suporte e Cálculo de PCR (FAARFIELD)</w:t>
      </w:r>
    </w:p>
    <w:p>
      <w:pPr>
        <w:keepNext w:val="0"/>
        <w:keepLines w:val="0"/>
        <w:widowControl/>
        <w:spacing w:before="0" w:after="100" w:line="283" w:lineRule="auto"/>
        <w:jc w:val="both"/>
      </w:pPr>
      <w:r>
        <w:rPr>
          <w:rFonts w:ascii="Arial" w:hAnsi="Arial" w:eastAsia="Arial"/>
          <w:color w:val="202A35"/>
          <w:sz w:val="21"/>
        </w:rPr>
        <w:t>A plataforma AeroProf basear-se-á no motor computacional FAARFIELD 2.1/2.1.2 (Federal Aviation Administration), que utiliza modelos elásticos lineares em pavimentos flexíveis e modelos de elementos finitos em pavimentos rígidos para determinar o Fator de Dano Acumulado (CDF - Cumulative Damage Factor). O cálculo do PCR fundamenta-se na fadiga acumulada de projeto gerada pelo mix de tráfego real de aeronaves ao longo de uma vida útil operacional. O dano total exercido pelo tráfego é calculado cumulativamente (onde CDF = 0 representa pavimento sem fadiga e CDF = 1.0 indica fadiga completa, limite operacional do ativo).</w:t>
      </w:r>
    </w:p>
    <w:p>
      <w:pPr>
        <w:pStyle w:val="Heading2"/>
        <w:keepNext/>
        <w:pageBreakBefore w:val="0"/>
        <w:spacing w:before="240" w:after="120"/>
        <w:jc w:val="left"/>
      </w:pPr>
      <w:r>
        <w:rPr>
          <w:rFonts w:ascii="Arial" w:hAnsi="Arial" w:eastAsia="Arial"/>
          <w:b/>
          <w:color w:val="0D5EA6"/>
          <w:sz w:val="24"/>
        </w:rPr>
        <w:t>IV.4. Protocolos de Calibração por Sondagem (Coring) e Estruturas Desconhecidas</w:t>
      </w:r>
    </w:p>
    <w:p>
      <w:pPr>
        <w:keepNext w:val="0"/>
        <w:keepLines w:val="0"/>
        <w:widowControl/>
        <w:spacing w:before="0" w:after="100" w:line="283" w:lineRule="auto"/>
        <w:jc w:val="both"/>
      </w:pPr>
      <w:r>
        <w:rPr>
          <w:rFonts w:ascii="Arial" w:hAnsi="Arial" w:eastAsia="Arial"/>
          <w:color w:val="202A35"/>
          <w:sz w:val="21"/>
        </w:rPr>
        <w:t>Nenhum cálculo de PCR pelo método técnico (classificado com a letra 'T') será gerado de forma autônoma pela plataforma AeroProf sem que se disponha de dados as-built validados ou de furos físicos de sondagem geotécnica dirigidos de calibração (coring). A extração física de testemunhos de campo é fundamental para calibrar metrologicamente a velocidade dielétrica de propagação de ondas do GPR e medir as espessuras reais das camadas, fornecendo inputs de projeto confiáveis ao modelo matemático.</w:t>
        <w:br/>
        <w:t>Na indisponibilidade ou ausência de dados de sondagem de calibração que comprovem a estrutura interna das camadas e o CBR do subleito, a avaliação do PCR adotará compulsoriamente o Método da Aeronave Comercial (reportado com a letra 'U'). Este método puramente histórico assume que o PCR publicado corresponderá ao maior ACR de aeronave que opera regularmente na pista (mínimo de 250 movimentos anuais registrados) há mais de cinco anos sem apresentar falhas de deformação, adotando a classificação de subleito médio ('B') como premissa conservadora.</w:t>
      </w:r>
    </w:p>
    <w:p>
      <w:pPr>
        <w:pStyle w:val="Heading2"/>
        <w:keepNext/>
        <w:pageBreakBefore w:val="0"/>
        <w:spacing w:before="240" w:after="120"/>
        <w:jc w:val="left"/>
      </w:pPr>
      <w:r>
        <w:rPr>
          <w:rFonts w:ascii="Arial" w:hAnsi="Arial" w:eastAsia="Arial"/>
          <w:b/>
          <w:color w:val="0D5EA6"/>
          <w:sz w:val="24"/>
        </w:rPr>
        <w:t>IV.5. Limites de Superdimensionamento e Operações com Sobrecarga</w:t>
      </w:r>
    </w:p>
    <w:p>
      <w:pPr>
        <w:spacing w:before="0" w:after="120" w:line="276" w:lineRule="auto"/>
        <w:jc w:val="left"/>
      </w:pPr>
      <w:r>
        <w:rPr>
          <w:rFonts w:ascii="Arial" w:hAnsi="Arial" w:eastAsia="Arial"/>
          <w:color w:val="202A35"/>
          <w:sz w:val="20"/>
        </w:rPr>
        <w:t>Em trechos de pista estruturalmente superdimensionados para o mix de tráfego regular usual (gerando um CDF virtualmente nulo e vida útil teórica de projeto infinita), o cálculo automatizado resultará em valores de PCR absurdamente elevados. Nesses casos, em estrita observância ao item B.6.3.4 da circular FAA AC 150/5335-5D, o PCR reportado deve ser obrigatoriamente limitado a 1.25x o ACR da aeronave comercial mais exigente que opera regularmente no aeródromo, garantindo um código de suporte condizente com a realidade prática operacional.</w:t>
        <w:br/>
        <w:t>O manual de PCR estabelece critérios rígidos para voos com sobrecarga (onde o ACR excede o PCR publicado):</w:t>
        <w:br/>
        <w:t>• Sobrecarga dentro do Nível de Tolerância (&lt; 10%): Permitido para voos ocasionais sem restrições adicionais desde que o pavimento não apresente fadiga ou deformações ativas, a drenagem subsuperficial esteja funcional e o número de movimentos de sobrecarga anômalos não ultrapasse 5% das decolagens anuais;</w:t>
        <w:br/>
        <w:t>• Sobrecarga fora do Nível de Tolerância (&gt; 10%): Exige análise de engenharia caso a caso, na qual o engenheiro simulará no FAARFIELD a inclusão da aeronave excedente no tráfego, avaliando o percentual de redução na vida útil remanescente em contraposição aos ganhos econômicos.</w:t>
      </w:r>
    </w:p>
    <w:p>
      <w:pPr>
        <w:sectPr>
          <w:headerReference w:type="default" r:id="rId10"/>
          <w:footerReference w:type="default" r:id="rId11"/>
          <w:pgSz w:w="11906" w:h="16838"/>
          <w:pgMar w:top="1276" w:right="1134" w:bottom="1020" w:left="1134" w:header="198" w:footer="312" w:gutter="0"/>
          <w:cols w:space="720"/>
          <w:docGrid w:linePitch="360"/>
        </w:sectPr>
      </w:pPr>
    </w:p>
    <w:p>
      <w:pPr>
        <w:pStyle w:val="Heading1"/>
        <w:keepNext/>
        <w:pageBreakBefore w:val="0"/>
        <w:spacing w:before="240" w:after="240"/>
        <w:jc w:val="left"/>
        <w:pBdr>
          <w:bottom w:val="single" w:sz="8" w:space="4" w:color="D4A017"/>
        </w:pBdr>
      </w:pPr>
      <w:r>
        <w:rPr>
          <w:rFonts w:ascii="Arial" w:hAnsi="Arial" w:eastAsia="Arial"/>
          <w:b/>
          <w:color w:val="073763"/>
          <w:sz w:val="32"/>
        </w:rPr>
        <w:t>ANEXO V — MATRIZES, CRONOGRAMAS E CONTEÚDOS COMPLEMENTARES</w:t>
      </w:r>
    </w:p>
    <w:p>
      <w:pPr>
        <w:pStyle w:val="Heading2"/>
        <w:keepNext/>
        <w:pageBreakBefore w:val="0"/>
        <w:spacing w:before="240" w:after="120"/>
        <w:jc w:val="left"/>
      </w:pPr>
      <w:r>
        <w:rPr>
          <w:rFonts w:ascii="Arial" w:hAnsi="Arial" w:eastAsia="Arial"/>
          <w:b/>
          <w:color w:val="0D5EA6"/>
          <w:sz w:val="24"/>
        </w:rPr>
        <w:t>V.1. Matriz Preliminar de Responsabilidades (RACI de Campo)</w:t>
      </w:r>
    </w:p>
    <w:p>
      <w:pPr>
        <w:keepNext w:val="0"/>
        <w:keepLines w:val="0"/>
        <w:widowControl/>
        <w:spacing w:before="0" w:after="100" w:line="283" w:lineRule="auto"/>
        <w:jc w:val="both"/>
      </w:pPr>
      <w:r>
        <w:rPr>
          <w:rFonts w:ascii="Arial" w:hAnsi="Arial" w:eastAsia="Arial"/>
          <w:color w:val="202A35"/>
          <w:sz w:val="21"/>
        </w:rPr>
        <w:t>A coordenação das atividades de preparação, execução e avaliação técnica da Prova de Conceito (PoC) será regida pela matriz de atribuições a seguir (R = Executor, A = Aprovador/Responsável, C = Consultado, I = Informado):</w:t>
      </w:r>
    </w:p>
    <w:tbl>
      <w:tblPr>
        <w:jc w:val="left"/>
        <w:tblLook w:firstColumn="1" w:firstRow="1" w:lastColumn="0" w:lastRow="0" w:noHBand="0" w:noVBand="1" w:val="04A0"/>
        <w:tblW w:w="14570" w:type="dxa"/>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4600"/>
        <w:gridCol w:w="1100"/>
        <w:gridCol w:w="1100"/>
        <w:gridCol w:w="2590"/>
        <w:gridCol w:w="2590"/>
        <w:gridCol w:w="2590"/>
      </w:tblGrid>
      <w:tr>
        <w:trPr>
          <w:tblHeader w:val="true"/>
          <w:cantSplit/>
        </w:trPr>
        <w:tc>
          <w:tcPr>
            <w:tcW w:type="dxa" w:w="46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Atividade da PoC</w:t>
            </w:r>
          </w:p>
        </w:tc>
        <w:tc>
          <w:tcPr>
            <w:tcW w:type="dxa" w:w="1100"/>
            <w:shd w:fill="073763" w:val="clear"/>
            <w:tcMar>
              <w:top w:w="90" w:type="dxa"/>
              <w:bottom w:w="90" w:type="dxa"/>
              <w:left w:w="150" w:type="dxa"/>
              <w:right w:w="150" w:type="dxa"/>
              <w:start w:w="110" w:type="dxa"/>
              <w:end w:w="110" w:type="dxa"/>
            </w:tcMar>
            <w:vAlign w:val="center"/>
          </w:tcPr>
          <w:p>
            <w:pPr>
              <w:spacing w:before="0" w:after="50" w:line="252" w:lineRule="auto"/>
              <w:jc w:val="center"/>
            </w:pPr>
            <w:r>
              <w:rPr>
                <w:rFonts w:ascii="Arial" w:hAnsi="Arial" w:eastAsia="Arial"/>
                <w:b/>
                <w:color w:val="FFFFFF"/>
                <w:sz w:val="16"/>
              </w:rPr>
              <w:t>SGA</w:t>
            </w:r>
          </w:p>
        </w:tc>
        <w:tc>
          <w:tcPr>
            <w:tcW w:type="dxa" w:w="1100"/>
            <w:shd w:fill="073763" w:val="clear"/>
            <w:tcMar>
              <w:top w:w="90" w:type="dxa"/>
              <w:bottom w:w="90" w:type="dxa"/>
              <w:left w:w="150" w:type="dxa"/>
              <w:right w:w="150" w:type="dxa"/>
              <w:start w:w="110" w:type="dxa"/>
              <w:end w:w="110" w:type="dxa"/>
            </w:tcMar>
            <w:vAlign w:val="center"/>
          </w:tcPr>
          <w:p>
            <w:pPr>
              <w:spacing w:before="0" w:after="50" w:line="252" w:lineRule="auto"/>
              <w:jc w:val="center"/>
            </w:pPr>
            <w:r>
              <w:rPr>
                <w:rFonts w:ascii="Arial" w:hAnsi="Arial" w:eastAsia="Arial"/>
                <w:b/>
                <w:color w:val="FFFFFF"/>
                <w:sz w:val="16"/>
              </w:rPr>
              <w:t>Dwell</w:t>
            </w:r>
          </w:p>
        </w:tc>
        <w:tc>
          <w:tcPr>
            <w:tcW w:type="dxa" w:w="2590"/>
            <w:shd w:fill="073763" w:val="clear"/>
            <w:tcMar>
              <w:top w:w="90" w:type="dxa"/>
              <w:bottom w:w="90" w:type="dxa"/>
              <w:left w:w="150" w:type="dxa"/>
              <w:right w:w="150" w:type="dxa"/>
              <w:start w:w="110" w:type="dxa"/>
              <w:end w:w="110" w:type="dxa"/>
            </w:tcMar>
            <w:vAlign w:val="center"/>
          </w:tcPr>
          <w:p>
            <w:pPr>
              <w:spacing w:before="0" w:after="50" w:line="252" w:lineRule="auto"/>
              <w:jc w:val="center"/>
            </w:pPr>
            <w:r>
              <w:rPr>
                <w:rFonts w:ascii="Arial" w:hAnsi="Arial" w:eastAsia="Arial"/>
                <w:b/>
                <w:color w:val="FFFFFF"/>
                <w:sz w:val="16"/>
              </w:rPr>
              <w:t>Operador Drone</w:t>
            </w:r>
          </w:p>
        </w:tc>
        <w:tc>
          <w:tcPr>
            <w:tcW w:type="dxa" w:w="2590"/>
            <w:shd w:fill="073763" w:val="clear"/>
            <w:tcMar>
              <w:top w:w="90" w:type="dxa"/>
              <w:bottom w:w="90" w:type="dxa"/>
              <w:left w:w="150" w:type="dxa"/>
              <w:right w:w="150" w:type="dxa"/>
              <w:start w:w="110" w:type="dxa"/>
              <w:end w:w="110" w:type="dxa"/>
            </w:tcMar>
            <w:vAlign w:val="center"/>
          </w:tcPr>
          <w:p>
            <w:pPr>
              <w:spacing w:before="0" w:after="50" w:line="252" w:lineRule="auto"/>
              <w:jc w:val="center"/>
            </w:pPr>
            <w:r>
              <w:rPr>
                <w:rFonts w:ascii="Arial" w:hAnsi="Arial" w:eastAsia="Arial"/>
                <w:b/>
                <w:color w:val="FFFFFF"/>
                <w:sz w:val="16"/>
              </w:rPr>
              <w:t>Parceiro NDT</w:t>
            </w:r>
          </w:p>
        </w:tc>
        <w:tc>
          <w:tcPr>
            <w:tcW w:type="dxa" w:w="2590"/>
            <w:shd w:fill="073763" w:val="clear"/>
            <w:tcMar>
              <w:top w:w="90" w:type="dxa"/>
              <w:bottom w:w="90" w:type="dxa"/>
              <w:left w:w="150" w:type="dxa"/>
              <w:right w:w="150" w:type="dxa"/>
              <w:start w:w="110" w:type="dxa"/>
              <w:end w:w="110" w:type="dxa"/>
            </w:tcMar>
            <w:vAlign w:val="center"/>
          </w:tcPr>
          <w:p>
            <w:pPr>
              <w:spacing w:before="0" w:after="50" w:line="252" w:lineRule="auto"/>
              <w:jc w:val="center"/>
            </w:pPr>
            <w:r>
              <w:rPr>
                <w:rFonts w:ascii="Arial" w:hAnsi="Arial" w:eastAsia="Arial"/>
                <w:b/>
                <w:color w:val="FFFFFF"/>
                <w:sz w:val="16"/>
              </w:rPr>
              <w:t>ANAC/ATS</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Definir Sítio Piloto e Ativos</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A / R</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Fornecer Históricos/Tráfego</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A / R</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Definir Plano Técnico da Malha</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A / R</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Autorizar Acesso Airside/NOTAM</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A / R</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Regularizar RPAS/Drones (NTAs)</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R</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A / C</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Operar Drone / LiDAR / RGB</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A</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R</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Operar GPR Terrestre em Pista</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A</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R</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Operar HWD na Pista Piloto</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A</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R</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Executar Sondagens (Coring)</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A / R</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R</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QA/QC e Fusão de Dados</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A / R</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Retroanálise e Cálculo PCR</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A / R</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Aceitar Resultados Técnicos</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A / R</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C</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b/>
                <w:color w:val="202A35"/>
                <w:sz w:val="16"/>
              </w:rPr>
              <w:t>Contratar equipe de software</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A / R</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b/>
                <w:color w:val="202A35"/>
                <w:sz w:val="16"/>
              </w:rPr>
              <w:t>Fornecer infraestrutura, redes e cluster</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b/>
                <w:color w:val="202A35"/>
                <w:sz w:val="16"/>
              </w:rPr>
              <w:t>A / R</w:t>
            </w:r>
          </w:p>
        </w:tc>
        <w:tc>
          <w:tcPr>
            <w:tcW w:type="dxa" w:w="110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b/>
                <w:color w:val="202A35"/>
                <w:sz w:val="16"/>
              </w:rPr>
              <w:t>C</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b/>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b/>
                <w:color w:val="202A35"/>
                <w:sz w:val="16"/>
              </w:rPr>
              <w:t>I</w:t>
            </w:r>
          </w:p>
        </w:tc>
        <w:tc>
          <w:tcPr>
            <w:tcW w:type="dxa" w:w="2590"/>
            <w:tcMar>
              <w:top w:w="90" w:type="dxa"/>
              <w:bottom w:w="90" w:type="dxa"/>
              <w:left w:w="150" w:type="dxa"/>
              <w:right w:w="150" w:type="dxa"/>
              <w:start w:w="110" w:type="dxa"/>
              <w:end w:w="110" w:type="dxa"/>
            </w:tcMar>
            <w:vAlign w:val="center"/>
            <w:shd w:fill="F7F9FB" w:val="clear"/>
          </w:tcPr>
          <w:p>
            <w:pPr>
              <w:spacing w:after="50" w:before="0" w:line="252" w:lineRule="auto"/>
              <w:jc w:val="center"/>
            </w:pPr>
            <w:r>
              <w:rPr>
                <w:rFonts w:ascii="Arial" w:hAnsi="Arial" w:eastAsia="Arial"/>
                <w:b/>
                <w:color w:val="202A35"/>
                <w:sz w:val="16"/>
              </w:rPr>
              <w:t>I</w:t>
            </w:r>
          </w:p>
        </w:tc>
      </w:tr>
      <w:tr>
        <w:trPr>
          <w:cantSplit/>
        </w:trPr>
        <w:tc>
          <w:tcPr>
            <w:tcW w:type="dxa" w:w="4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b/>
                <w:color w:val="202A35"/>
                <w:sz w:val="16"/>
              </w:rPr>
              <w:t>Prover treinamentos específicos</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A / R</w:t>
            </w:r>
          </w:p>
        </w:tc>
        <w:tc>
          <w:tcPr>
            <w:tcW w:type="dxa" w:w="110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C</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I</w:t>
            </w:r>
          </w:p>
        </w:tc>
        <w:tc>
          <w:tcPr>
            <w:tcW w:type="dxa" w:w="2590"/>
            <w:tcMar>
              <w:top w:w="90" w:type="dxa"/>
              <w:bottom w:w="90" w:type="dxa"/>
              <w:left w:w="150" w:type="dxa"/>
              <w:right w:w="150" w:type="dxa"/>
              <w:start w:w="110" w:type="dxa"/>
              <w:end w:w="110" w:type="dxa"/>
            </w:tcMar>
            <w:vAlign w:val="center"/>
            <w:shd w:fill="FFFFFF" w:val="clear"/>
          </w:tcPr>
          <w:p>
            <w:pPr>
              <w:spacing w:after="50" w:before="0" w:line="252" w:lineRule="auto"/>
              <w:jc w:val="center"/>
            </w:pPr>
            <w:r>
              <w:rPr>
                <w:rFonts w:ascii="Arial" w:hAnsi="Arial" w:eastAsia="Arial"/>
                <w:b/>
                <w:color w:val="202A35"/>
                <w:sz w:val="16"/>
              </w:rPr>
              <w:t>I</w:t>
            </w:r>
          </w:p>
        </w:tc>
      </w:tr>
    </w:tbl>
    <w:p>
      <w:pPr>
        <w:pStyle w:val="Heading2"/>
        <w:keepNext/>
        <w:pageBreakBefore w:val="0"/>
        <w:spacing w:before="240" w:after="120"/>
        <w:jc w:val="left"/>
      </w:pPr>
      <w:r>
        <w:rPr>
          <w:rFonts w:ascii="Arial" w:hAnsi="Arial" w:eastAsia="Arial"/>
          <w:b/>
          <w:color w:val="0D5EA6"/>
          <w:sz w:val="24"/>
        </w:rPr>
        <w:t>V.2. Matriz Ishikawa de Benefícios, Riscos e Controles (6M)</w:t>
      </w:r>
    </w:p>
    <w:p>
      <w:pPr>
        <w:keepNext w:val="0"/>
        <w:keepLines w:val="0"/>
        <w:widowControl/>
        <w:spacing w:before="0" w:after="100" w:line="283" w:lineRule="auto"/>
        <w:jc w:val="both"/>
      </w:pPr>
      <w:r>
        <w:rPr>
          <w:rFonts w:ascii="Arial" w:hAnsi="Arial" w:eastAsia="Arial"/>
          <w:color w:val="202A35"/>
          <w:sz w:val="21"/>
        </w:rPr>
        <w:t>A tabela a seguir apresenta os eixos de riscos, benefícios e controles baseados na metodologia Ishikawa 6M (Máquina, Método, Meio Ambiente, Medição, Material, Mão de Obra) para a governança técnica e operacional da Prova de Conceito:</w:t>
      </w:r>
    </w:p>
    <w:tbl>
      <w:tblPr>
        <w:jc w:val="left"/>
        <w:tblLook w:firstColumn="1" w:firstRow="1" w:lastColumn="0" w:lastRow="0" w:noHBand="0" w:noVBand="1" w:val="04A0"/>
        <w:tblW w:w="14570" w:type="dxa"/>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2200"/>
        <w:gridCol w:w="3900"/>
        <w:gridCol w:w="3900"/>
        <w:gridCol w:w="4570"/>
      </w:tblGrid>
      <w:tr>
        <w:trPr>
          <w:tblHeader w:val="true"/>
          <w:cantSplit/>
        </w:trPr>
        <w:tc>
          <w:tcPr>
            <w:tcW w:type="dxa" w:w="22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Eixo Ishikawa</w:t>
            </w:r>
          </w:p>
        </w:tc>
        <w:tc>
          <w:tcPr>
            <w:tcW w:type="dxa" w:w="39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Benefício Pretendido</w:t>
            </w:r>
          </w:p>
        </w:tc>
        <w:tc>
          <w:tcPr>
            <w:tcW w:type="dxa" w:w="39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Risco Mapeado</w:t>
            </w:r>
          </w:p>
        </w:tc>
        <w:tc>
          <w:tcPr>
            <w:tcW w:type="dxa" w:w="457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Controle Técnico Proposto</w:t>
            </w:r>
          </w:p>
        </w:tc>
      </w:tr>
      <w:tr>
        <w:trPr>
          <w:cantSplit/>
        </w:trPr>
        <w:tc>
          <w:tcPr>
            <w:tcW w:type="dxa" w:w="22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Engenharia / Método</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Integração digital de evidências e comparação multidisciplinar de dados.</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Resultados computacionais divergindo das condições reais de campo.</w:t>
            </w:r>
          </w:p>
        </w:tc>
        <w:tc>
          <w:tcPr>
            <w:tcW w:type="dxa" w:w="457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Ground truth independente; calibração obrigatória via furos de sondagem (coring); e registro de divergências.</w:t>
            </w:r>
          </w:p>
        </w:tc>
      </w:tr>
      <w:tr>
        <w:trPr>
          <w:cantSplit/>
        </w:trPr>
        <w:tc>
          <w:tcPr>
            <w:tcW w:type="dxa" w:w="22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Regulação / Medição</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Contextualização regulatória regional e rastreabilidade metrológica de normas.</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Aplicação indevida de requisitos de jurisdição ou versão de norma inadequada.</w:t>
            </w:r>
          </w:p>
        </w:tc>
        <w:tc>
          <w:tcPr>
            <w:tcW w:type="dxa" w:w="457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Perfil regulatório específico; identificação da autoridade; controle de versão das NTAs; e validação por engenheiro habilitado.</w:t>
            </w:r>
          </w:p>
        </w:tc>
      </w:tr>
      <w:tr>
        <w:trPr>
          <w:cantSplit/>
        </w:trPr>
        <w:tc>
          <w:tcPr>
            <w:tcW w:type="dxa" w:w="22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Operação / Meio Amb.</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Priorização de manutenção com histórico integrado de intervenções civis.</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Interferência física nas operações e interrupção de voos comerciais de pista.</w:t>
            </w:r>
          </w:p>
        </w:tc>
        <w:tc>
          <w:tcPr>
            <w:tcW w:type="dxa" w:w="457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Coordenação direta com Operações da SGA; reserva de janelas operacionais ociosas; e emissão de NOTAM.</w:t>
            </w:r>
          </w:p>
        </w:tc>
      </w:tr>
      <w:tr>
        <w:trPr>
          <w:cantSplit/>
        </w:trPr>
        <w:tc>
          <w:tcPr>
            <w:tcW w:type="dxa" w:w="22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Espaço Aéreo / Máquina</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Aquisição rápida, aérea e georreferenciada de nuvens 3D e ortomosaicos.</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Operações com drones sem autorizações da ANAC ou uso de operadores estrangeiros impedidos.</w:t>
            </w:r>
          </w:p>
        </w:tc>
        <w:tc>
          <w:tcPr>
            <w:tcW w:type="dxa" w:w="457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A SGA e o operador aéreo providenciam antecipadamente o Certificado de Operador na ANAC Angola, planos de voo e coordenação de rádio.</w:t>
            </w:r>
          </w:p>
        </w:tc>
      </w:tr>
      <w:tr>
        <w:trPr>
          <w:cantSplit/>
        </w:trPr>
        <w:tc>
          <w:tcPr>
            <w:tcW w:type="dxa" w:w="22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Pessoas / Mão de Obra</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Capacitação técnica local e retenção do conhecimento em eMaintenance.</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Dependência tecnológica excessiva do fornecedor de software (Dwell).</w:t>
            </w:r>
          </w:p>
        </w:tc>
        <w:tc>
          <w:tcPr>
            <w:tcW w:type="dxa" w:w="457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Treinamento documentado e custeado pela SGA; participação direta dos engenheiros da SGA em campo e nas retroanálises.</w:t>
            </w:r>
          </w:p>
        </w:tc>
      </w:tr>
      <w:tr>
        <w:trPr>
          <w:cantSplit/>
        </w:trPr>
        <w:tc>
          <w:tcPr>
            <w:tcW w:type="dxa" w:w="22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Dados / Material</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Rastreabilidade total e conservação confiável de dados históricos da infraestrutura.</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Dados incompletos, sem origem metrológica documentada ou inconsistentes.</w:t>
            </w:r>
          </w:p>
        </w:tc>
        <w:tc>
          <w:tcPr>
            <w:tcW w:type="dxa" w:w="457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Indexação obrigatória de metadados mínimos de campo; controle estrito de versão de arquivos brutos; e controle de acesso.</w:t>
            </w:r>
          </w:p>
        </w:tc>
      </w:tr>
      <w:tr>
        <w:trPr>
          <w:cantSplit/>
        </w:trPr>
        <w:tc>
          <w:tcPr>
            <w:tcW w:type="dxa" w:w="22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Cibersegurança</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Centralização controlada de dados confidenciais e críticos de aeroportos.</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Acesso de terceiros não autorizados ou perda de dados por incidentes.</w:t>
            </w:r>
          </w:p>
        </w:tc>
        <w:tc>
          <w:tcPr>
            <w:tcW w:type="dxa" w:w="457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Criação de perfis de acesso segregados; backups automatizados; criptografia em repouso e trânsito; e logs de auditoria.</w:t>
            </w:r>
          </w:p>
        </w:tc>
      </w:tr>
      <w:tr>
        <w:trPr>
          <w:cantSplit/>
        </w:trPr>
        <w:tc>
          <w:tcPr>
            <w:tcW w:type="dxa" w:w="22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Financeiro</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Direcionamento otimizado de recursos fiscais e de capital para manutenção.</w:t>
            </w:r>
          </w:p>
        </w:tc>
        <w:tc>
          <w:tcPr>
            <w:tcW w:type="dxa" w:w="39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Custos operacionais e de processamento de nuvens superiores ao orçamento previsto.</w:t>
            </w:r>
          </w:p>
        </w:tc>
        <w:tc>
          <w:tcPr>
            <w:tcW w:type="dxa" w:w="457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Adoção de orçamento modular; portões de decisão (gates); e custeio integral pela SGA sem ônus para a Dwell.</w:t>
            </w:r>
          </w:p>
        </w:tc>
      </w:tr>
      <w:tr>
        <w:trPr>
          <w:cantSplit/>
        </w:trPr>
        <w:tc>
          <w:tcPr>
            <w:tcW w:type="dxa" w:w="22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Tecnologia</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Fusão de sensores e geração automática do Digital Twin de pavimentos.</w:t>
            </w:r>
          </w:p>
        </w:tc>
        <w:tc>
          <w:tcPr>
            <w:tcW w:type="dxa" w:w="39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Capacidade insuficiente de redes, nuvem ou cluster para processar dados de alta densidade.</w:t>
            </w:r>
          </w:p>
        </w:tc>
        <w:tc>
          <w:tcPr>
            <w:tcW w:type="dxa" w:w="457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Dimensionamento prévio no Gate G6; contratação ou disponibilização antecipada pela SGA de infraestrutura, licenças e suporte.</w:t>
            </w:r>
          </w:p>
        </w:tc>
      </w:tr>
    </w:tbl>
    <w:p>
      <w:pPr>
        <w:sectPr>
          <w:headerReference w:type="default" r:id="rId12"/>
          <w:footerReference w:type="default" r:id="rId13"/>
          <w:pgSz w:w="16838" w:h="11906" w:orient="landscape"/>
          <w:pgMar w:top="1276" w:right="1134" w:bottom="1020" w:left="1134" w:header="198" w:footer="312" w:gutter="0"/>
          <w:cols w:space="720"/>
          <w:docGrid w:linePitch="360"/>
        </w:sectPr>
      </w:pPr>
    </w:p>
    <w:p>
      <w:pPr>
        <w:pStyle w:val="Heading2"/>
        <w:keepNext/>
        <w:pageBreakBefore w:val="0"/>
        <w:spacing w:before="240" w:after="120"/>
        <w:jc w:val="left"/>
      </w:pPr>
      <w:r>
        <w:rPr>
          <w:rFonts w:ascii="Arial" w:hAnsi="Arial" w:eastAsia="Arial"/>
          <w:b/>
          <w:color w:val="0D5EA6"/>
          <w:sz w:val="24"/>
        </w:rPr>
        <w:t>V.3. Portões de Prontidão de Campo (Readiness Gates G0 a G9)</w:t>
      </w:r>
    </w:p>
    <w:p>
      <w:pPr>
        <w:keepNext w:val="0"/>
        <w:keepLines w:val="0"/>
        <w:widowControl/>
        <w:spacing w:before="0" w:after="100" w:line="283" w:lineRule="auto"/>
        <w:jc w:val="both"/>
      </w:pPr>
      <w:r>
        <w:rPr>
          <w:rFonts w:ascii="Arial" w:hAnsi="Arial" w:eastAsia="Arial"/>
          <w:color w:val="202A35"/>
          <w:sz w:val="21"/>
        </w:rPr>
        <w:t>A governança técnica e de segurança operacional impõe que nenhuma mobilização física ou operação de ensaio em pista ativa seja iniciada sem a verificação rigorosa e o aceite nominal de cada um dos portões de prontidão (Readiness Gates) detalhados a seguir:</w:t>
      </w:r>
    </w:p>
    <w:p>
      <w:pPr>
        <w:pStyle w:val="ListBullet"/>
        <w:keepLines w:val="0"/>
        <w:spacing w:before="0" w:after="80" w:line="276" w:lineRule="auto"/>
        <w:jc w:val="both"/>
      </w:pPr>
      <w:r>
        <w:rPr>
          <w:rFonts w:ascii="Arial" w:hAnsi="Arial" w:eastAsia="Arial"/>
          <w:color w:val="202A35"/>
          <w:sz w:val="20"/>
        </w:rPr>
        <w:t>Gate G0 (Negócio): Formalização detalhada dos objetivos da Prova de Conceito, seleção formal do aeroporto e ativos piloto, definição nominal de patrocinadores e fiscais do projeto pela SGA.</w:t>
      </w:r>
    </w:p>
    <w:p>
      <w:pPr>
        <w:pStyle w:val="ListBullet"/>
        <w:keepLines w:val="0"/>
        <w:spacing w:before="0" w:after="80" w:line="276" w:lineRule="auto"/>
        <w:jc w:val="both"/>
      </w:pPr>
      <w:r>
        <w:rPr>
          <w:rFonts w:ascii="Arial" w:hAnsi="Arial" w:eastAsia="Arial"/>
          <w:color w:val="202A35"/>
          <w:sz w:val="20"/>
        </w:rPr>
        <w:t>Gate G1 (Dados de Entrada): Entrega formal e catalogação técnica dos projetos as-built de engenharia civil, históricos de manutenção, intervenções anteriores e registros reais de tráfego/frota comercial pela SGA.</w:t>
      </w:r>
    </w:p>
    <w:p>
      <w:pPr>
        <w:pStyle w:val="ListBullet"/>
        <w:keepLines w:val="0"/>
        <w:spacing w:before="0" w:after="80" w:line="276" w:lineRule="auto"/>
        <w:jc w:val="both"/>
      </w:pPr>
      <w:r>
        <w:rPr>
          <w:rFonts w:ascii="Arial" w:hAnsi="Arial" w:eastAsia="Arial"/>
          <w:color w:val="202A35"/>
          <w:sz w:val="20"/>
        </w:rPr>
        <w:t>Gate G2 (Regulação e Autorizações): Verificação e aprovação dos Certificados de Operador de RPAS (NTA 10), registro dos drones e marcas de identificação concluídos (NTA 36), licenças válidas de pilotos remotos emitidas pela ANAC Angola, autorização formal de acesso ao aeródromo emitida pela direção do sítio e NOTAM de interdição de pista solicitado perante o ATS.</w:t>
      </w:r>
    </w:p>
    <w:p>
      <w:pPr>
        <w:pStyle w:val="ListBullet"/>
        <w:keepLines w:val="0"/>
        <w:spacing w:before="0" w:after="80" w:line="276" w:lineRule="auto"/>
        <w:jc w:val="both"/>
      </w:pPr>
      <w:r>
        <w:rPr>
          <w:rFonts w:ascii="Arial" w:hAnsi="Arial" w:eastAsia="Arial"/>
          <w:color w:val="202A35"/>
          <w:sz w:val="20"/>
        </w:rPr>
        <w:t>Gate G3 (Segurança Airside): Homologação do Plano de Segurança Operacional da campanha de campo (SGSO/SMS) e dos procedimentos JSA/AST para evacuação rápida em caso de contingência aeronáutica (&lt; 5 minutos); rádio bidirecional em frequências de coordenação local estabelecido; escolta operacional ativa na área de movimento; e verificação de EPIs de campo.</w:t>
      </w:r>
    </w:p>
    <w:p>
      <w:pPr>
        <w:pStyle w:val="ListBullet"/>
        <w:keepLines w:val="0"/>
        <w:spacing w:before="0" w:after="80" w:line="276" w:lineRule="auto"/>
        <w:jc w:val="both"/>
      </w:pPr>
      <w:r>
        <w:rPr>
          <w:rFonts w:ascii="Arial" w:hAnsi="Arial" w:eastAsia="Arial"/>
          <w:color w:val="202A35"/>
          <w:sz w:val="20"/>
        </w:rPr>
        <w:t>Gate G4 (Instrumentação): Apresentação física e verificação de validade dos certificados de calibração anual rastreáveis dos geofones e células de carga do deflectômetro HWD; especificação de antenas e frequências do GPR; e homologação de baterias de RPAS.</w:t>
      </w:r>
    </w:p>
    <w:p>
      <w:pPr>
        <w:pStyle w:val="ListBullet"/>
        <w:keepLines w:val="0"/>
        <w:spacing w:before="0" w:after="80" w:line="276" w:lineRule="auto"/>
        <w:jc w:val="both"/>
      </w:pPr>
      <w:r>
        <w:rPr>
          <w:rFonts w:ascii="Arial" w:hAnsi="Arial" w:eastAsia="Arial"/>
          <w:color w:val="202A35"/>
          <w:sz w:val="20"/>
        </w:rPr>
        <w:t>Gate G5 (Método de Ensaio): Aprovação por parte do engenheiro civil especialista da SGA do desenho geométrico exato da malha adaptativa de ensaio deflectométrico HWD, das linhas de varredura do GPR e do plano de voo da aeronave remotamente pilotada.</w:t>
      </w:r>
    </w:p>
    <w:p>
      <w:pPr>
        <w:pStyle w:val="ListBullet"/>
        <w:keepLines w:val="0"/>
        <w:spacing w:before="0" w:after="80" w:line="276" w:lineRule="auto"/>
        <w:jc w:val="both"/>
      </w:pPr>
      <w:r>
        <w:rPr>
          <w:rFonts w:ascii="Arial" w:hAnsi="Arial" w:eastAsia="Arial"/>
          <w:color w:val="202A35"/>
          <w:sz w:val="20"/>
        </w:rPr>
        <w:t>Gate G6 (TI e Governança de Dados): Validação técnica dos schemas de banco de dados espacial PostgreSQL/PostGIS, garantia de cadeia de custódia com hash MD5 para os arquivos brutos de campo, e garantia de que a infraestrutura computacional, de redes e armazenamento em nuvem e/ou cluster, devidamente dimensionada e de capacidade para geração, tratamento, visualização e conservação de nuvens de pontos (LAS/LAZ), está devidamente providenciada e custeada de forma exclusiva pela SGA Angola.</w:t>
      </w:r>
    </w:p>
    <w:p>
      <w:pPr>
        <w:pStyle w:val="ListBullet"/>
        <w:keepLines w:val="0"/>
        <w:spacing w:before="0" w:after="80" w:line="276" w:lineRule="auto"/>
        <w:jc w:val="both"/>
      </w:pPr>
      <w:r>
        <w:rPr>
          <w:rFonts w:ascii="Arial" w:hAnsi="Arial" w:eastAsia="Arial"/>
          <w:color w:val="202A35"/>
          <w:sz w:val="20"/>
        </w:rPr>
        <w:t>Gate G7 (Execução de Campo - Liberação): Verificação meteorológica local de ventos e chuva nula; sincronização física de relógios de todos os sistemas de aquisição em campo (GNSS, GPR, HWD, Drone); e liberação de decolagem e ensaio pela Torre de Controle (ATC).</w:t>
      </w:r>
    </w:p>
    <w:p>
      <w:pPr>
        <w:pStyle w:val="ListBullet"/>
        <w:keepLines w:val="0"/>
        <w:spacing w:before="0" w:after="80" w:line="276" w:lineRule="auto"/>
        <w:jc w:val="both"/>
      </w:pPr>
      <w:r>
        <w:rPr>
          <w:rFonts w:ascii="Arial" w:hAnsi="Arial" w:eastAsia="Arial"/>
          <w:color w:val="202A35"/>
          <w:sz w:val="20"/>
        </w:rPr>
        <w:t>Gate G8 (Qualidade Pós-Campo): Avaliação imediata pós-campo de completude e integridade de datasets brutos; verificação contra gaps de varredura ou ruído de GPR; e emissão de termo de desmobilização de equipe de ensaios.</w:t>
      </w:r>
    </w:p>
    <w:p>
      <w:pPr>
        <w:pStyle w:val="ListBullet"/>
        <w:keepLines w:val="0"/>
        <w:spacing w:before="0" w:after="80" w:line="276" w:lineRule="auto"/>
        <w:jc w:val="both"/>
      </w:pPr>
      <w:r>
        <w:rPr>
          <w:rFonts w:ascii="Arial" w:hAnsi="Arial" w:eastAsia="Arial"/>
          <w:color w:val="202A35"/>
          <w:sz w:val="20"/>
        </w:rPr>
        <w:t>Gate G9 (Aceitação Técnica): Conclusão bem-sucedida de todos os processamentos e fusão de dados no AeroProf, apresentação dos resultados de cálculo de PCR, assinatura digital do Relatório Técnico Conclusivo pelas equipes e emissão de termo de aceitação técnica pela fiscalização da SGA Angola.</w:t>
      </w:r>
    </w:p>
    <w:p>
      <w:pPr>
        <w:pStyle w:val="Heading2"/>
        <w:keepNext/>
        <w:pageBreakBefore w:val="0"/>
        <w:spacing w:before="240" w:after="120"/>
        <w:jc w:val="left"/>
      </w:pPr>
      <w:r>
        <w:rPr>
          <w:rFonts w:ascii="Arial" w:hAnsi="Arial" w:eastAsia="Arial"/>
          <w:b/>
          <w:color w:val="0D5EA6"/>
          <w:sz w:val="24"/>
        </w:rPr>
        <w:t>V.4. Referências Técnicas, Normativas e Cadastrais</w:t>
      </w:r>
    </w:p>
    <w:p>
      <w:pPr>
        <w:pStyle w:val="ListBullet"/>
        <w:keepLines w:val="0"/>
        <w:spacing w:before="0" w:after="80" w:line="276" w:lineRule="auto"/>
        <w:jc w:val="both"/>
      </w:pPr>
      <w:r>
        <w:rPr>
          <w:rFonts w:ascii="Arial" w:hAnsi="Arial" w:eastAsia="Arial"/>
          <w:color w:val="202A35"/>
          <w:sz w:val="20"/>
        </w:rPr>
        <w:t>REPÚBLICA DE ANGOLA. Decreto Presidencial n.º 207/19, de 1 de julho. Transforma a ENANA, E.P. e aprova o Estatuto da Sociedade Gestora de Aeroportos, S.A. (SGA, S.A.).</w:t>
      </w:r>
    </w:p>
    <w:p>
      <w:pPr>
        <w:pStyle w:val="ListBullet"/>
        <w:keepLines w:val="0"/>
        <w:spacing w:before="0" w:after="80" w:line="276" w:lineRule="auto"/>
        <w:jc w:val="both"/>
      </w:pPr>
      <w:r>
        <w:rPr>
          <w:rFonts w:ascii="Arial" w:hAnsi="Arial" w:eastAsia="Arial"/>
          <w:color w:val="202A35"/>
          <w:sz w:val="20"/>
        </w:rPr>
        <w:t>AUTORIDADE NACIONAL DA AVIAÇÃO CIVIL DE ANGOLA. Normas Técnicas Aeronáuticas (NTA 10, NTA 20 e NTA 36) aplicáveis ao registo, operação de RPAS e requisitos para operadores estrangeiros.</w:t>
      </w:r>
    </w:p>
    <w:p>
      <w:pPr>
        <w:pStyle w:val="ListBullet"/>
        <w:keepLines w:val="0"/>
        <w:spacing w:before="0" w:after="80" w:line="276" w:lineRule="auto"/>
        <w:jc w:val="both"/>
      </w:pPr>
      <w:r>
        <w:rPr>
          <w:rFonts w:ascii="Arial" w:hAnsi="Arial" w:eastAsia="Arial"/>
          <w:color w:val="202A35"/>
          <w:sz w:val="20"/>
        </w:rPr>
        <w:t>FEDERAL AVIATION ADMINISTRATION. Advisory Circular AC 150/5335-5D: 'Standardized Method of Reporting Airport Pavement Strength - PCR'. Método ACR/PCR e diretrizes do motor computacional FAARFIELD.</w:t>
      </w:r>
    </w:p>
    <w:p>
      <w:pPr>
        <w:pStyle w:val="ListBullet"/>
        <w:keepLines w:val="0"/>
        <w:spacing w:before="0" w:after="80" w:line="276" w:lineRule="auto"/>
        <w:jc w:val="both"/>
      </w:pPr>
      <w:r>
        <w:rPr>
          <w:rFonts w:ascii="Arial" w:hAnsi="Arial" w:eastAsia="Arial"/>
          <w:color w:val="202A35"/>
          <w:sz w:val="20"/>
        </w:rPr>
        <w:t>FEDERAL AVIATION ADMINISTRATION. Advisory Circular AC 150/5370-11B: 'Use of Nondestructive Testing in the Evaluation of Airport Pavements'. Princípios de deflectometria HWD e investigações contínuas GPR.</w:t>
      </w:r>
    </w:p>
    <w:p>
      <w:pPr>
        <w:pStyle w:val="ListBullet"/>
        <w:keepLines w:val="0"/>
        <w:spacing w:before="0" w:after="80" w:line="276" w:lineRule="auto"/>
        <w:jc w:val="both"/>
      </w:pPr>
      <w:r>
        <w:rPr>
          <w:rFonts w:ascii="Arial" w:hAnsi="Arial" w:eastAsia="Arial"/>
          <w:color w:val="202A35"/>
          <w:sz w:val="20"/>
        </w:rPr>
        <w:t>ICAO (Organização de Aviação Civil Internacional). Regulamentos internacionais para notificação de capacidade de carga de pavimentos aeroportuários aplicáveis sob o paradigma ACR/PCR (em vigor internacionalmente desde 28 de novembro de 2024).</w:t>
      </w:r>
    </w:p>
    <w:p>
      <w:pPr>
        <w:pStyle w:val="ListBullet"/>
        <w:keepLines w:val="0"/>
        <w:spacing w:before="0" w:after="80" w:line="276" w:lineRule="auto"/>
        <w:jc w:val="both"/>
      </w:pPr>
      <w:r>
        <w:rPr>
          <w:rFonts w:ascii="Arial" w:hAnsi="Arial" w:eastAsia="Arial"/>
          <w:color w:val="202A35"/>
          <w:sz w:val="20"/>
        </w:rPr>
        <w:t>FEDERAL AVIATION ADMINISTRATION. FAARFIELD 2.1/2.1.2: Software oficial da FAA adotado como ferramenta técnica internacional de projeto e retroanálise estrutural de pavimentos aeroportuários.</w:t>
      </w:r>
    </w:p>
    <w:p>
      <w:pPr>
        <w:pStyle w:val="ListBullet"/>
        <w:keepLines w:val="0"/>
        <w:spacing w:before="0" w:after="80" w:line="276" w:lineRule="auto"/>
        <w:jc w:val="both"/>
      </w:pPr>
      <w:r>
        <w:rPr>
          <w:rFonts w:ascii="Arial" w:hAnsi="Arial" w:eastAsia="Arial"/>
          <w:color w:val="202A35"/>
          <w:sz w:val="20"/>
        </w:rPr>
        <w:t>RECEITA FEDERAL DO BRASIL. Comprovante de Inscrição e de Situação Cadastral da DWELL SISTEMAS PARA INTERNET. INOVA SIMPLES (I.S.), CNPJ 68.123.423/0001-32, emitido em 10/08/2026.</w:t>
      </w:r>
    </w:p>
    <w:p>
      <w:pPr>
        <w:keepNext w:val="0"/>
        <w:keepLines w:val="0"/>
        <w:widowControl/>
        <w:spacing w:before="0" w:after="100" w:line="283" w:lineRule="auto"/>
        <w:jc w:val="both"/>
      </w:pPr>
      <w:r>
        <w:rPr>
          <w:rFonts w:ascii="Arial" w:hAnsi="Arial" w:eastAsia="Arial"/>
          <w:i/>
          <w:color w:val="202A35"/>
          <w:sz w:val="21"/>
        </w:rPr>
        <w:t>Dados cadastrais das entidades partícipes para controle e revisões jurídicas:</w:t>
      </w:r>
    </w:p>
    <w:tbl>
      <w:tblPr>
        <w:jc w:val="left"/>
        <w:tblLook w:firstColumn="1" w:firstRow="1" w:lastColumn="0" w:lastRow="0" w:noHBand="0" w:noVBand="1" w:val="04A0"/>
        <w:tblW w:w="9638" w:type="dxa"/>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2800"/>
        <w:gridCol w:w="2500"/>
        <w:gridCol w:w="4338"/>
      </w:tblGrid>
      <w:tr>
        <w:trPr>
          <w:tblHeader w:val="true"/>
          <w:cantSplit/>
        </w:trPr>
        <w:tc>
          <w:tcPr>
            <w:tcW w:type="dxa" w:w="28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Entidade</w:t>
            </w:r>
          </w:p>
        </w:tc>
        <w:tc>
          <w:tcPr>
            <w:tcW w:type="dxa" w:w="25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Identificador Confirmado</w:t>
            </w:r>
          </w:p>
        </w:tc>
        <w:tc>
          <w:tcPr>
            <w:tcW w:type="dxa" w:w="4338"/>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7"/>
              </w:rPr>
              <w:t>Observação</w:t>
            </w:r>
          </w:p>
        </w:tc>
      </w:tr>
      <w:tr>
        <w:trPr>
          <w:cantSplit/>
        </w:trPr>
        <w:tc>
          <w:tcPr>
            <w:tcW w:type="dxa" w:w="28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DWELL SISTEMAS PARA INTERNET. INOVA SIMPLES (I.S.)</w:t>
            </w:r>
          </w:p>
        </w:tc>
        <w:tc>
          <w:tcPr>
            <w:tcW w:type="dxa" w:w="25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CNPJ 68.123.423/0001-32</w:t>
            </w:r>
          </w:p>
        </w:tc>
        <w:tc>
          <w:tcPr>
            <w:tcW w:type="dxa" w:w="4338"/>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7"/>
              </w:rPr>
              <w:t>Confirmado pelo Cartão CNPJ emitido em 10/08/2026; natureza 234-8 - Empresa Simples de Inovação; Sede em Salvador, Bahia, Brasil.</w:t>
            </w:r>
          </w:p>
        </w:tc>
      </w:tr>
      <w:tr>
        <w:trPr>
          <w:cantSplit/>
        </w:trPr>
        <w:tc>
          <w:tcPr>
            <w:tcW w:type="dxa" w:w="28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SOCIEDADE GESTORA DE AEROPORTOS, S.A. - SGA, S.A.</w:t>
            </w:r>
          </w:p>
        </w:tc>
        <w:tc>
          <w:tcPr>
            <w:tcW w:type="dxa" w:w="25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Decreto Presidencial n.º 207/19, de 1 de julho</w:t>
            </w:r>
          </w:p>
        </w:tc>
        <w:tc>
          <w:tcPr>
            <w:tcW w:type="dxa" w:w="4338"/>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7"/>
              </w:rPr>
              <w:t>Constituição, estatuto e domínio público de Angola confirmados. NIF/identificador fiscal não foi inserido por não ter sido confirmado em fonte oficial consultada.</w:t>
            </w:r>
          </w:p>
        </w:tc>
      </w:tr>
    </w:tbl>
    <w:p>
      <w:pPr>
        <w:sectPr>
          <w:headerReference w:type="default" r:id="rId14"/>
          <w:footerReference w:type="default" r:id="rId15"/>
          <w:pgSz w:w="11906" w:h="16838"/>
          <w:pgMar w:top="1276" w:right="1134" w:bottom="1020" w:left="1134" w:header="198" w:footer="312" w:gutter="0"/>
          <w:cols w:space="720"/>
          <w:docGrid w:linePitch="360"/>
        </w:sectPr>
      </w:pPr>
    </w:p>
    <w:p>
      <w:pPr>
        <w:pStyle w:val="Heading2"/>
        <w:keepNext/>
        <w:pageBreakBefore w:val="0"/>
        <w:spacing w:before="240" w:after="120"/>
        <w:jc w:val="left"/>
      </w:pPr>
      <w:r>
        <w:rPr>
          <w:rFonts w:ascii="Arial" w:hAnsi="Arial" w:eastAsia="Arial"/>
          <w:b/>
          <w:color w:val="0D5EA6"/>
          <w:sz w:val="24"/>
        </w:rPr>
        <w:t>V.5. Controle do Documento e Histórico de Revisões</w:t>
      </w:r>
    </w:p>
    <w:tbl>
      <w:tblPr>
        <w:jc w:val="left"/>
        <w:tblLook w:firstColumn="1" w:firstRow="1" w:lastColumn="0" w:lastRow="0" w:noHBand="0" w:noVBand="1" w:val="04A0"/>
        <w:tblW w:w="14570" w:type="dxa"/>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1250"/>
        <w:gridCol w:w="1600"/>
        <w:gridCol w:w="2600"/>
        <w:gridCol w:w="9120"/>
      </w:tblGrid>
      <w:tr>
        <w:trPr>
          <w:tblHeader w:val="true"/>
          <w:cantSplit/>
        </w:trPr>
        <w:tc>
          <w:tcPr>
            <w:tcW w:type="dxa" w:w="125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Versão</w:t>
            </w:r>
          </w:p>
        </w:tc>
        <w:tc>
          <w:tcPr>
            <w:tcW w:type="dxa" w:w="16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Data</w:t>
            </w:r>
          </w:p>
        </w:tc>
        <w:tc>
          <w:tcPr>
            <w:tcW w:type="dxa" w:w="260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Situação / Status</w:t>
            </w:r>
          </w:p>
        </w:tc>
        <w:tc>
          <w:tcPr>
            <w:tcW w:type="dxa" w:w="9120"/>
            <w:shd w:fill="073763" w:val="clear"/>
            <w:tcMar>
              <w:top w:w="90" w:type="dxa"/>
              <w:bottom w:w="90" w:type="dxa"/>
              <w:left w:w="150" w:type="dxa"/>
              <w:right w:w="150" w:type="dxa"/>
              <w:start w:w="110" w:type="dxa"/>
              <w:end w:w="110" w:type="dxa"/>
            </w:tcMar>
            <w:vAlign w:val="center"/>
          </w:tcPr>
          <w:p>
            <w:pPr>
              <w:spacing w:before="0" w:after="50" w:line="252" w:lineRule="auto"/>
              <w:jc w:val="left"/>
            </w:pPr>
            <w:r>
              <w:rPr>
                <w:rFonts w:ascii="Arial" w:hAnsi="Arial" w:eastAsia="Arial"/>
                <w:b/>
                <w:color w:val="FFFFFF"/>
                <w:sz w:val="16"/>
              </w:rPr>
              <w:t>Alterações Principais</w:t>
            </w:r>
          </w:p>
        </w:tc>
      </w:tr>
      <w:tr>
        <w:trPr>
          <w:cantSplit/>
        </w:trPr>
        <w:tc>
          <w:tcPr>
            <w:tcW w:type="dxa" w:w="12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1.0</w:t>
            </w:r>
          </w:p>
        </w:tc>
        <w:tc>
          <w:tcPr>
            <w:tcW w:type="dxa" w:w="1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19/08/2026</w:t>
            </w:r>
          </w:p>
        </w:tc>
        <w:tc>
          <w:tcPr>
            <w:tcW w:type="dxa" w:w="2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Substituída (Rascunho)</w:t>
            </w:r>
          </w:p>
        </w:tc>
        <w:tc>
          <w:tcPr>
            <w:tcW w:type="dxa" w:w="912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Esboço preliminar de engenharia dos requisitos de campo e eixos Ishikawa.</w:t>
            </w:r>
          </w:p>
        </w:tc>
      </w:tr>
      <w:tr>
        <w:trPr>
          <w:cantSplit/>
        </w:trPr>
        <w:tc>
          <w:tcPr>
            <w:tcW w:type="dxa" w:w="12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2.0</w:t>
            </w:r>
          </w:p>
        </w:tc>
        <w:tc>
          <w:tcPr>
            <w:tcW w:type="dxa" w:w="1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21/08/2026</w:t>
            </w:r>
          </w:p>
        </w:tc>
        <w:tc>
          <w:tcPr>
            <w:tcW w:type="dxa" w:w="2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Substituída (Minuta)</w:t>
            </w:r>
          </w:p>
        </w:tc>
        <w:tc>
          <w:tcPr>
            <w:tcW w:type="dxa" w:w="912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Estruturação hierárquica das cláusulas, inclusão do Sumário e identificadores de discussão.</w:t>
            </w:r>
          </w:p>
        </w:tc>
      </w:tr>
      <w:tr>
        <w:trPr>
          <w:cantSplit/>
        </w:trPr>
        <w:tc>
          <w:tcPr>
            <w:tcW w:type="dxa" w:w="12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3.0</w:t>
            </w:r>
          </w:p>
        </w:tc>
        <w:tc>
          <w:tcPr>
            <w:tcW w:type="dxa" w:w="1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24/08/2026</w:t>
            </w:r>
          </w:p>
        </w:tc>
        <w:tc>
          <w:tcPr>
            <w:tcW w:type="dxa" w:w="2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Substituída (Minuta)</w:t>
            </w:r>
          </w:p>
        </w:tc>
        <w:tc>
          <w:tcPr>
            <w:tcW w:type="dxa" w:w="912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Introdução da arquitetura regulatória contextual e rastreável do AeroProf; fortalecimento da proveniência normativa; atualização da matriz de riscos regulatórios; e consolidação final do Projeto Técnico.</w:t>
            </w:r>
          </w:p>
        </w:tc>
      </w:tr>
      <w:tr>
        <w:trPr>
          <w:cantSplit/>
        </w:trPr>
        <w:tc>
          <w:tcPr>
            <w:tcW w:type="dxa" w:w="12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4.0</w:t>
            </w:r>
          </w:p>
        </w:tc>
        <w:tc>
          <w:tcPr>
            <w:tcW w:type="dxa" w:w="1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02/09/2026</w:t>
            </w:r>
          </w:p>
        </w:tc>
        <w:tc>
          <w:tcPr>
            <w:tcW w:type="dxa" w:w="2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Substituída (Minuta)</w:t>
            </w:r>
          </w:p>
        </w:tc>
        <w:tc>
          <w:tcPr>
            <w:tcW w:type="dxa" w:w="912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color w:val="202A35"/>
                <w:sz w:val="16"/>
              </w:rPr>
              <w:t>Retirada de terceiro participante institucional para adequação à parceria direta; inclusão da descrição institucional da SGA; renumeração integral de parágrafos.</w:t>
            </w:r>
          </w:p>
        </w:tc>
      </w:tr>
      <w:tr>
        <w:trPr>
          <w:cantSplit/>
        </w:trPr>
        <w:tc>
          <w:tcPr>
            <w:tcW w:type="dxa" w:w="125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5.0</w:t>
            </w:r>
          </w:p>
        </w:tc>
        <w:tc>
          <w:tcPr>
            <w:tcW w:type="dxa" w:w="1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03/09/2026</w:t>
            </w:r>
          </w:p>
        </w:tc>
        <w:tc>
          <w:tcPr>
            <w:tcW w:type="dxa" w:w="260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Substituída (Minuta)</w:t>
            </w:r>
          </w:p>
        </w:tc>
        <w:tc>
          <w:tcPr>
            <w:tcW w:type="dxa" w:w="9120"/>
            <w:tcMar>
              <w:top w:w="90" w:type="dxa"/>
              <w:bottom w:w="90" w:type="dxa"/>
              <w:left w:w="150" w:type="dxa"/>
              <w:right w:w="150" w:type="dxa"/>
              <w:start w:w="110" w:type="dxa"/>
              <w:end w:w="110" w:type="dxa"/>
            </w:tcMar>
            <w:vAlign w:val="center"/>
            <w:shd w:fill="FFFFFF" w:val="clear"/>
          </w:tcPr>
          <w:p>
            <w:pPr>
              <w:spacing w:after="50" w:before="0" w:line="252" w:lineRule="auto"/>
              <w:jc w:val="left"/>
            </w:pPr>
            <w:r>
              <w:rPr>
                <w:rFonts w:ascii="Arial" w:hAnsi="Arial" w:eastAsia="Arial"/>
                <w:color w:val="202A35"/>
                <w:sz w:val="16"/>
              </w:rPr>
              <w:t>Inclusão dos requisitos de apoio especializado de software, infraestrutura computacional de redes, cluster, nuvens de pontos, treinamentos específicos e custeio integral da PoC pela SGA.</w:t>
            </w:r>
          </w:p>
        </w:tc>
      </w:tr>
      <w:tr>
        <w:trPr>
          <w:cantSplit/>
        </w:trPr>
        <w:tc>
          <w:tcPr>
            <w:tcW w:type="dxa" w:w="125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b/>
                <w:color w:val="202A35"/>
                <w:sz w:val="16"/>
              </w:rPr>
              <w:t>6.0</w:t>
            </w:r>
          </w:p>
        </w:tc>
        <w:tc>
          <w:tcPr>
            <w:tcW w:type="dxa" w:w="1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b/>
                <w:color w:val="202A35"/>
                <w:sz w:val="16"/>
              </w:rPr>
              <w:t>03/09/2026</w:t>
            </w:r>
          </w:p>
        </w:tc>
        <w:tc>
          <w:tcPr>
            <w:tcW w:type="dxa" w:w="260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b/>
                <w:color w:val="202A35"/>
                <w:sz w:val="16"/>
              </w:rPr>
              <w:t>Minuta Vigente</w:t>
            </w:r>
          </w:p>
        </w:tc>
        <w:tc>
          <w:tcPr>
            <w:tcW w:type="dxa" w:w="9120"/>
            <w:tcMar>
              <w:top w:w="90" w:type="dxa"/>
              <w:bottom w:w="90" w:type="dxa"/>
              <w:left w:w="150" w:type="dxa"/>
              <w:right w:w="150" w:type="dxa"/>
              <w:start w:w="110" w:type="dxa"/>
              <w:end w:w="110" w:type="dxa"/>
            </w:tcMar>
            <w:vAlign w:val="center"/>
            <w:shd w:fill="F7F9FB" w:val="clear"/>
          </w:tcPr>
          <w:p>
            <w:pPr>
              <w:spacing w:after="50" w:before="0" w:line="252" w:lineRule="auto"/>
              <w:jc w:val="left"/>
            </w:pPr>
            <w:r>
              <w:rPr>
                <w:rFonts w:ascii="Arial" w:hAnsi="Arial" w:eastAsia="Arial"/>
                <w:b/>
                <w:color w:val="202A35"/>
                <w:sz w:val="16"/>
              </w:rPr>
              <w:t>Consolidação técnica definitiva de todos os anexos em um Dossiê Institucional integrado para apresentação às autoridades governamentais e regulatórias de Angola.</w:t>
            </w:r>
          </w:p>
        </w:tc>
      </w:tr>
    </w:tbl>
    <w:p>
      <w:pPr>
        <w:sectPr>
          <w:headerReference w:type="default" r:id="rId16"/>
          <w:footerReference w:type="default" r:id="rId17"/>
          <w:pgSz w:w="16838" w:h="11906" w:orient="landscape"/>
          <w:pgMar w:top="1276" w:right="1134" w:bottom="1020" w:left="1134" w:header="198" w:footer="312" w:gutter="0"/>
          <w:cols w:space="720"/>
          <w:docGrid w:linePitch="360"/>
        </w:sectPr>
      </w:pPr>
    </w:p>
    <w:p>
      <w:pPr>
        <w:pStyle w:val="Heading2"/>
        <w:keepNext/>
        <w:pageBreakBefore w:val="0"/>
        <w:spacing w:before="240" w:after="120"/>
        <w:jc w:val="left"/>
      </w:pPr>
      <w:r>
        <w:rPr>
          <w:rFonts w:ascii="Arial" w:hAnsi="Arial" w:eastAsia="Arial"/>
          <w:b/>
          <w:color w:val="0D5EA6"/>
          <w:sz w:val="24"/>
        </w:rPr>
        <w:t>V.6. Campo de Assinaturas e Controle Institucional</w:t>
      </w:r>
    </w:p>
    <w:p>
      <w:pPr>
        <w:keepNext w:val="0"/>
        <w:keepLines w:val="0"/>
        <w:widowControl/>
        <w:spacing w:before="0" w:after="100" w:line="283" w:lineRule="auto"/>
        <w:jc w:val="both"/>
      </w:pPr>
      <w:r>
        <w:rPr>
          <w:rFonts w:ascii="Arial" w:hAnsi="Arial" w:eastAsia="Arial"/>
          <w:color w:val="202A35"/>
          <w:sz w:val="21"/>
        </w:rPr>
        <w:t>As Partes declaram que esta minuta reflete o entendimento técnico preliminar sobre a cooperação proposta. A assinatura formal deste instrumento somente ocorrerá após a devida revisão e aprovação final pelas respectivas diretrizes jurídicas, empresariais e de conformidade de ambas as instituições.</w:t>
      </w:r>
    </w:p>
    <w:tbl>
      <w:tblPr>
        <w:tblLook w:firstColumn="1" w:firstRow="1" w:lastColumn="0" w:lastRow="0" w:noHBand="0" w:noVBand="1" w:val="04A0"/>
        <w:tblW w:w="9638" w:type="dxa"/>
        <w:jc w:val="center"/>
        <w:tblInd w:w="110" w:type="dxa"/>
        <w:tblLayout w:type="fixed"/>
        <w:tblBorders>
          <w:top w:val="single" w:sz="4" w:color="AEBBC7"/>
          <w:left w:val="single" w:sz="4" w:color="AEBBC7"/>
          <w:bottom w:val="single" w:sz="4" w:color="AEBBC7"/>
          <w:right w:val="single" w:sz="4" w:color="AEBBC7"/>
          <w:insideH w:val="single" w:sz="4" w:color="AEBBC7"/>
          <w:insideV w:val="single" w:sz="4" w:color="AEBBC7"/>
        </w:tblBorders>
      </w:tblPr>
      <w:tblGrid>
        <w:gridCol w:w="4819"/>
        <w:gridCol w:w="4819"/>
      </w:tblGrid>
      <w:tr>
        <w:trPr>
          <w:cantSplit/>
        </w:trPr>
        <w:tc>
          <w:tcPr>
            <w:tcW w:type="dxa" w:w="4819"/>
            <w:tcMar>
              <w:top w:w="90" w:type="dxa"/>
              <w:bottom w:w="90" w:type="dxa"/>
              <w:left w:w="150" w:type="dxa"/>
              <w:right w:w="150" w:type="dxa"/>
              <w:start w:w="110" w:type="dxa"/>
              <w:end w:w="110" w:type="dxa"/>
            </w:tcMar>
            <w:vAlign w:val="center"/>
            <w:shd w:fill="F7F9FB" w:val="clear"/>
          </w:tcPr>
          <w:p>
            <w:pPr>
              <w:spacing w:before="0" w:after="60" w:line="252" w:lineRule="auto"/>
              <w:jc w:val="center"/>
            </w:pPr>
            <w:r>
              <w:rPr>
                <w:rFonts w:ascii="Arial" w:hAnsi="Arial" w:eastAsia="Arial"/>
                <w:color w:val="202A35"/>
                <w:sz w:val="18"/>
              </w:rPr>
              <w:t>PELA SOCIEDADE GESTORA DE AEROPORTOS, S.A.</w:t>
              <w:br/>
              <w:t>(SGA, S.A.)</w:t>
              <w:br/>
              <w:br/>
              <w:br/>
              <w:t>____________________________________________</w:t>
              <w:br/>
              <w:t>Representante Autorizado</w:t>
              <w:br/>
              <w:t>Cargo / Função:</w:t>
              <w:br/>
              <w:t>Data: ____ / ____ / 2026</w:t>
            </w:r>
          </w:p>
        </w:tc>
        <w:tc>
          <w:tcPr>
            <w:tcW w:type="dxa" w:w="4819"/>
            <w:tcMar>
              <w:top w:w="90" w:type="dxa"/>
              <w:bottom w:w="90" w:type="dxa"/>
              <w:left w:w="150" w:type="dxa"/>
              <w:right w:w="150" w:type="dxa"/>
              <w:start w:w="110" w:type="dxa"/>
              <w:end w:w="110" w:type="dxa"/>
            </w:tcMar>
            <w:vAlign w:val="center"/>
            <w:shd w:fill="F7F9FB" w:val="clear"/>
          </w:tcPr>
          <w:p>
            <w:pPr>
              <w:spacing w:before="0" w:after="60" w:line="252" w:lineRule="auto"/>
              <w:jc w:val="center"/>
            </w:pPr>
            <w:r>
              <w:rPr>
                <w:rFonts w:ascii="Arial" w:hAnsi="Arial" w:eastAsia="Arial"/>
                <w:color w:val="202A35"/>
                <w:sz w:val="18"/>
              </w:rPr>
              <w:t>PELA DWELL SISTEMAS PARA INTERNET</w:t>
              <w:br/>
              <w:t>INOVA SIMPLES (I.S.)</w:t>
              <w:br/>
              <w:br/>
              <w:br/>
              <w:t>____________________________________________</w:t>
              <w:br/>
              <w:t>Wellington Vieira dos Santos</w:t>
              <w:br/>
              <w:t>Representante Legal / Proponente Tecnológico</w:t>
              <w:br/>
              <w:t>Data: ____ / ____ / 2026</w:t>
            </w:r>
          </w:p>
        </w:tc>
      </w:tr>
    </w:tbl>
    <w:sectPr w:rsidR="00FC693F" w:rsidRPr="0006063C" w:rsidSect="00034616">
      <w:headerReference w:type="default" r:id="rId18"/>
      <w:footerReference w:type="default" r:id="rId19"/>
      <w:pgSz w:w="11906" w:h="16838"/>
      <w:pgMar w:top="1276" w:right="1134" w:bottom="1020" w:left="1134" w:header="198"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9637" w:type="dxa"/>
      <w:tblInd w:w="0" w:type="dxa"/>
      <w:tblLayout w:type="fixed"/>
      <w:tblBorders>
        <w:top w:val="single" w:sz="0" w:color="FFFFFF"/>
        <w:left w:val="single" w:sz="0" w:color="FFFFFF"/>
        <w:bottom w:val="single" w:sz="0" w:color="FFFFFF"/>
        <w:right w:val="single" w:sz="0" w:color="FFFFFF"/>
        <w:insideH w:val="single" w:sz="0" w:color="FFFFFF"/>
        <w:insideV w:val="single" w:sz="0" w:color="FFFFFF"/>
      </w:tblBorders>
    </w:tblPr>
    <w:tblGrid>
      <w:gridCol w:w="7324"/>
      <w:gridCol w:w="2313"/>
    </w:tblGrid>
    <w:tr>
      <w:tc>
        <w:tcPr>
          <w:tcW w:type="dxa" w:w="7324"/>
        </w:tcPr>
        <w:p>
          <w:pPr>
            <w:spacing w:after="0"/>
          </w:pPr>
          <w:r>
            <w:rPr>
              <w:rFonts w:ascii="Arial" w:hAnsi="Arial" w:eastAsia="Arial"/>
              <w:color w:val="5C6670"/>
              <w:sz w:val="14"/>
            </w:rPr>
            <w:t>Documento institucional · Cooperação tecnológica · Confidencial</w:t>
          </w:r>
        </w:p>
      </w:tc>
      <w:tc>
        <w:tcPr>
          <w:tcW w:type="dxa" w:w="2313"/>
        </w:tcPr>
        <w:p>
          <w:pPr>
            <w:spacing w:after="0"/>
            <w:jc w:val="right"/>
          </w:pPr>
          <w:r>
            <w:rPr>
              <w:rFonts w:ascii="Arial" w:hAnsi="Arial" w:eastAsia="Arial"/>
              <w:color w:val="5C6670"/>
              <w:sz w:val="14"/>
            </w:rPr>
            <w:t xml:space="preserve">Página </w:t>
          </w:r>
          <w:r>
            <w:rPr>
              <w:rFonts w:ascii="Arial" w:hAnsi="Arial" w:eastAsia="Arial"/>
              <w:color w:val="5C6670"/>
              <w:sz w:val="16"/>
            </w:rPr>
            <w:fldChar w:fldCharType="begin"/>
            <w:instrText xml:space="preserve"> PAGE </w:instrText>
            <w:fldChar w:fldCharType="end"/>
          </w:r>
        </w:p>
      </w:tc>
    </w:tr>
  </w:tbl>
  <w:p>
    <w:pPr>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14569" w:type="dxa"/>
      <w:tblInd w:w="0" w:type="dxa"/>
      <w:tblLayout w:type="fixed"/>
      <w:tblBorders>
        <w:top w:val="single" w:sz="0" w:color="FFFFFF"/>
        <w:left w:val="single" w:sz="0" w:color="FFFFFF"/>
        <w:bottom w:val="single" w:sz="0" w:color="FFFFFF"/>
        <w:right w:val="single" w:sz="0" w:color="FFFFFF"/>
        <w:insideH w:val="single" w:sz="0" w:color="FFFFFF"/>
        <w:insideV w:val="single" w:sz="0" w:color="FFFFFF"/>
      </w:tblBorders>
    </w:tblPr>
    <w:tblGrid>
      <w:gridCol w:w="11073"/>
      <w:gridCol w:w="3496"/>
    </w:tblGrid>
    <w:tr>
      <w:tc>
        <w:tcPr>
          <w:tcW w:type="dxa" w:w="11073"/>
        </w:tcPr>
        <w:p>
          <w:pPr>
            <w:spacing w:after="0"/>
          </w:pPr>
          <w:r>
            <w:rPr>
              <w:rFonts w:ascii="Arial" w:hAnsi="Arial" w:eastAsia="Arial"/>
              <w:color w:val="5C6670"/>
              <w:sz w:val="14"/>
            </w:rPr>
            <w:t>Documento institucional · Cooperação tecnológica · Confidencial</w:t>
          </w:r>
        </w:p>
      </w:tc>
      <w:tc>
        <w:tcPr>
          <w:tcW w:type="dxa" w:w="3496"/>
        </w:tcPr>
        <w:p>
          <w:pPr>
            <w:spacing w:after="0"/>
            <w:jc w:val="right"/>
          </w:pPr>
          <w:r>
            <w:rPr>
              <w:rFonts w:ascii="Arial" w:hAnsi="Arial" w:eastAsia="Arial"/>
              <w:color w:val="5C6670"/>
              <w:sz w:val="14"/>
            </w:rPr>
            <w:t xml:space="preserve">Página </w:t>
          </w:r>
          <w:r>
            <w:rPr>
              <w:rFonts w:ascii="Arial" w:hAnsi="Arial" w:eastAsia="Arial"/>
              <w:color w:val="5C6670"/>
              <w:sz w:val="16"/>
            </w:rPr>
            <w:fldChar w:fldCharType="begin"/>
            <w:instrText xml:space="preserve"> PAGE </w:instrText>
            <w:fldChar w:fldCharType="end"/>
          </w:r>
        </w:p>
      </w:tc>
    </w:tr>
  </w:tbl>
  <w:p>
    <w:pPr>
      <w:spacing w:after="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9637" w:type="dxa"/>
      <w:tblInd w:w="0" w:type="dxa"/>
      <w:tblLayout w:type="fixed"/>
      <w:tblBorders>
        <w:top w:val="single" w:sz="0" w:color="FFFFFF"/>
        <w:left w:val="single" w:sz="0" w:color="FFFFFF"/>
        <w:bottom w:val="single" w:sz="0" w:color="FFFFFF"/>
        <w:right w:val="single" w:sz="0" w:color="FFFFFF"/>
        <w:insideH w:val="single" w:sz="0" w:color="FFFFFF"/>
        <w:insideV w:val="single" w:sz="0" w:color="FFFFFF"/>
      </w:tblBorders>
    </w:tblPr>
    <w:tblGrid>
      <w:gridCol w:w="7324"/>
      <w:gridCol w:w="2313"/>
    </w:tblGrid>
    <w:tr>
      <w:tc>
        <w:tcPr>
          <w:tcW w:type="dxa" w:w="7324"/>
        </w:tcPr>
        <w:p>
          <w:pPr>
            <w:spacing w:after="0"/>
          </w:pPr>
          <w:r>
            <w:rPr>
              <w:rFonts w:ascii="Arial" w:hAnsi="Arial" w:eastAsia="Arial"/>
              <w:color w:val="5C6670"/>
              <w:sz w:val="14"/>
            </w:rPr>
            <w:t>Documento institucional · Cooperação tecnológica · Confidencial</w:t>
          </w:r>
        </w:p>
      </w:tc>
      <w:tc>
        <w:tcPr>
          <w:tcW w:type="dxa" w:w="2313"/>
        </w:tcPr>
        <w:p>
          <w:pPr>
            <w:spacing w:after="0"/>
            <w:jc w:val="right"/>
          </w:pPr>
          <w:r>
            <w:rPr>
              <w:rFonts w:ascii="Arial" w:hAnsi="Arial" w:eastAsia="Arial"/>
              <w:color w:val="5C6670"/>
              <w:sz w:val="14"/>
            </w:rPr>
            <w:t xml:space="preserve">Página </w:t>
          </w:r>
          <w:r>
            <w:rPr>
              <w:rFonts w:ascii="Arial" w:hAnsi="Arial" w:eastAsia="Arial"/>
              <w:color w:val="5C6670"/>
              <w:sz w:val="16"/>
            </w:rPr>
            <w:fldChar w:fldCharType="begin"/>
            <w:instrText xml:space="preserve"> PAGE </w:instrText>
            <w:fldChar w:fldCharType="end"/>
          </w:r>
        </w:p>
      </w:tc>
    </w:tr>
  </w:tbl>
  <w:p>
    <w:pPr>
      <w:spacing w:after="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14569" w:type="dxa"/>
      <w:tblInd w:w="0" w:type="dxa"/>
      <w:tblLayout w:type="fixed"/>
      <w:tblBorders>
        <w:top w:val="single" w:sz="0" w:color="FFFFFF"/>
        <w:left w:val="single" w:sz="0" w:color="FFFFFF"/>
        <w:bottom w:val="single" w:sz="0" w:color="FFFFFF"/>
        <w:right w:val="single" w:sz="0" w:color="FFFFFF"/>
        <w:insideH w:val="single" w:sz="0" w:color="FFFFFF"/>
        <w:insideV w:val="single" w:sz="0" w:color="FFFFFF"/>
      </w:tblBorders>
    </w:tblPr>
    <w:tblGrid>
      <w:gridCol w:w="11073"/>
      <w:gridCol w:w="3496"/>
    </w:tblGrid>
    <w:tr>
      <w:tc>
        <w:tcPr>
          <w:tcW w:type="dxa" w:w="11073"/>
        </w:tcPr>
        <w:p>
          <w:pPr>
            <w:spacing w:after="0"/>
          </w:pPr>
          <w:r>
            <w:rPr>
              <w:rFonts w:ascii="Arial" w:hAnsi="Arial" w:eastAsia="Arial"/>
              <w:color w:val="5C6670"/>
              <w:sz w:val="14"/>
            </w:rPr>
            <w:t>Documento institucional · Cooperação tecnológica · Confidencial</w:t>
          </w:r>
        </w:p>
      </w:tc>
      <w:tc>
        <w:tcPr>
          <w:tcW w:type="dxa" w:w="3496"/>
        </w:tcPr>
        <w:p>
          <w:pPr>
            <w:spacing w:after="0"/>
            <w:jc w:val="right"/>
          </w:pPr>
          <w:r>
            <w:rPr>
              <w:rFonts w:ascii="Arial" w:hAnsi="Arial" w:eastAsia="Arial"/>
              <w:color w:val="5C6670"/>
              <w:sz w:val="14"/>
            </w:rPr>
            <w:t xml:space="preserve">Página </w:t>
          </w:r>
          <w:r>
            <w:rPr>
              <w:rFonts w:ascii="Arial" w:hAnsi="Arial" w:eastAsia="Arial"/>
              <w:color w:val="5C6670"/>
              <w:sz w:val="16"/>
            </w:rPr>
            <w:fldChar w:fldCharType="begin"/>
            <w:instrText xml:space="preserve"> PAGE </w:instrText>
            <w:fldChar w:fldCharType="end"/>
          </w:r>
        </w:p>
      </w:tc>
    </w:tr>
  </w:tbl>
  <w:p>
    <w:pPr>
      <w:spacing w:after="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9637" w:type="dxa"/>
      <w:tblInd w:w="0" w:type="dxa"/>
      <w:tblLayout w:type="fixed"/>
      <w:tblBorders>
        <w:top w:val="single" w:sz="0" w:color="FFFFFF"/>
        <w:left w:val="single" w:sz="0" w:color="FFFFFF"/>
        <w:bottom w:val="single" w:sz="0" w:color="FFFFFF"/>
        <w:right w:val="single" w:sz="0" w:color="FFFFFF"/>
        <w:insideH w:val="single" w:sz="0" w:color="FFFFFF"/>
        <w:insideV w:val="single" w:sz="0" w:color="FFFFFF"/>
      </w:tblBorders>
    </w:tblPr>
    <w:tblGrid>
      <w:gridCol w:w="7324"/>
      <w:gridCol w:w="2313"/>
    </w:tblGrid>
    <w:tr>
      <w:tc>
        <w:tcPr>
          <w:tcW w:type="dxa" w:w="7324"/>
        </w:tcPr>
        <w:p>
          <w:pPr>
            <w:spacing w:after="0"/>
          </w:pPr>
          <w:r>
            <w:rPr>
              <w:rFonts w:ascii="Arial" w:hAnsi="Arial" w:eastAsia="Arial"/>
              <w:color w:val="5C6670"/>
              <w:sz w:val="14"/>
            </w:rPr>
            <w:t>Documento institucional · Cooperação tecnológica · Confidencial</w:t>
          </w:r>
        </w:p>
      </w:tc>
      <w:tc>
        <w:tcPr>
          <w:tcW w:type="dxa" w:w="2313"/>
        </w:tcPr>
        <w:p>
          <w:pPr>
            <w:spacing w:after="0"/>
            <w:jc w:val="right"/>
          </w:pPr>
          <w:r>
            <w:rPr>
              <w:rFonts w:ascii="Arial" w:hAnsi="Arial" w:eastAsia="Arial"/>
              <w:color w:val="5C6670"/>
              <w:sz w:val="14"/>
            </w:rPr>
            <w:t xml:space="preserve">Página </w:t>
          </w:r>
          <w:r>
            <w:rPr>
              <w:rFonts w:ascii="Arial" w:hAnsi="Arial" w:eastAsia="Arial"/>
              <w:color w:val="5C6670"/>
              <w:sz w:val="16"/>
            </w:rPr>
            <w:fldChar w:fldCharType="begin"/>
            <w:instrText xml:space="preserve"> PAGE </w:instrText>
            <w:fldChar w:fldCharType="end"/>
          </w:r>
        </w:p>
      </w:tc>
    </w:tr>
  </w:tbl>
  <w:p>
    <w:pP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9638" w:type="dxa"/>
      <w:tblInd w:w="0" w:type="dxa"/>
      <w:tblLayout w:type="fixed"/>
      <w:tblBorders>
        <w:top w:val="single" w:sz="0" w:color="001124"/>
        <w:left w:val="single" w:sz="0" w:color="001124"/>
        <w:bottom w:val="single" w:sz="0" w:color="001124"/>
        <w:right w:val="single" w:sz="0" w:color="001124"/>
        <w:insideH w:val="single" w:sz="0" w:color="001124"/>
        <w:insideV w:val="single" w:sz="0" w:color="001124"/>
      </w:tblBorders>
    </w:tblPr>
    <w:tblGrid>
      <w:gridCol w:w="3700"/>
      <w:gridCol w:w="4138"/>
      <w:gridCol w:w="1800"/>
    </w:tblGrid>
    <w:tr>
      <w:tc>
        <w:tcPr>
          <w:tcW w:type="dxa" w:w="3700"/>
          <w:shd w:fill="001124" w:val="clear"/>
          <w:tcMar>
            <w:top w:w="45" w:type="dxa"/>
            <w:start w:w="80" w:type="dxa"/>
            <w:bottom w:w="45" w:type="dxa"/>
            <w:end w:w="80" w:type="dxa"/>
          </w:tcMar>
          <w:vAlign w:val="center"/>
        </w:tcPr>
        <w:p>
          <w:pPr>
            <w:spacing w:after="0"/>
            <w:jc w:val="left"/>
          </w:pPr>
          <w:r>
            <w:drawing>
              <wp:inline xmlns:a="http://schemas.openxmlformats.org/drawingml/2006/main" xmlns:pic="http://schemas.openxmlformats.org/drawingml/2006/picture">
                <wp:extent cx="1261872" cy="477982"/>
                <wp:docPr id="1" name="Picture 1"/>
                <wp:cNvGraphicFramePr>
                  <a:graphicFrameLocks noChangeAspect="1"/>
                </wp:cNvGraphicFramePr>
                <a:graphic>
                  <a:graphicData uri="http://schemas.openxmlformats.org/drawingml/2006/picture">
                    <pic:pic>
                      <pic:nvPicPr>
                        <pic:cNvPr id="0" name="logos_dwell_sga.png"/>
                        <pic:cNvPicPr/>
                      </pic:nvPicPr>
                      <pic:blipFill>
                        <a:blip r:embed="rId1"/>
                        <a:stretch>
                          <a:fillRect/>
                        </a:stretch>
                      </pic:blipFill>
                      <pic:spPr>
                        <a:xfrm>
                          <a:off x="0" y="0"/>
                          <a:ext cx="1261872" cy="477982"/>
                        </a:xfrm>
                        <a:prstGeom prst="rect"/>
                      </pic:spPr>
                    </pic:pic>
                  </a:graphicData>
                </a:graphic>
              </wp:inline>
            </w:drawing>
          </w:r>
        </w:p>
      </w:tc>
      <w:tc>
        <w:tcPr>
          <w:tcW w:type="dxa" w:w="4138"/>
          <w:shd w:fill="001124" w:val="clear"/>
          <w:tcMar>
            <w:top w:w="45" w:type="dxa"/>
            <w:start w:w="80" w:type="dxa"/>
            <w:bottom w:w="45" w:type="dxa"/>
            <w:end w:w="80" w:type="dxa"/>
          </w:tcMar>
          <w:vAlign w:val="center"/>
        </w:tcPr>
        <w:p>
          <w:pPr>
            <w:spacing w:after="0"/>
            <w:jc w:val="center"/>
          </w:pPr>
          <w:r>
            <w:rPr>
              <w:rFonts w:ascii="Arial" w:hAnsi="Arial" w:eastAsia="Arial"/>
              <w:b/>
              <w:color w:val="FFFFFF"/>
              <w:sz w:val="15"/>
            </w:rPr>
            <w:t>DOSSIÊ INSTITUCIONAL AEROPROF · SGA ANGOLA</w:t>
          </w:r>
          <w:r>
            <w:rPr>
              <w:rFonts w:ascii="Arial" w:hAnsi="Arial" w:eastAsia="Arial"/>
              <w:color w:val="BFD2E5"/>
              <w:sz w:val="13"/>
            </w:rPr>
            <w:br/>
            <w:t>DWELL · CNPJ 68.123.423/0001-32</w:t>
          </w:r>
        </w:p>
      </w:tc>
      <w:tc>
        <w:tcPr>
          <w:tcW w:type="dxa" w:w="1800"/>
          <w:shd w:fill="001124" w:val="clear"/>
          <w:tcMar>
            <w:top w:w="45" w:type="dxa"/>
            <w:start w:w="80" w:type="dxa"/>
            <w:bottom w:w="45" w:type="dxa"/>
            <w:end w:w="80" w:type="dxa"/>
          </w:tcMar>
          <w:vAlign w:val="center"/>
        </w:tcPr>
        <w:p>
          <w:pPr>
            <w:spacing w:after="0"/>
            <w:jc w:val="right"/>
          </w:pPr>
          <w:r>
            <w:drawing>
              <wp:inline xmlns:a="http://schemas.openxmlformats.org/drawingml/2006/main" xmlns:pic="http://schemas.openxmlformats.org/drawingml/2006/picture">
                <wp:extent cx="256032" cy="170688"/>
                <wp:docPr id="2" name="Picture 2"/>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256032" cy="170688"/>
                        </a:xfrm>
                        <a:prstGeom prst="rect"/>
                      </pic:spPr>
                    </pic:pic>
                  </a:graphicData>
                </a:graphic>
              </wp:inline>
            </w:drawing>
          </w:r>
          <w:r>
            <w:rPr>
              <w:rFonts w:ascii="Arial" w:hAnsi="Arial" w:eastAsia="Arial"/>
              <w:color w:val="FFFFFF"/>
              <w:sz w:val="10"/>
            </w:rPr>
            <w:t xml:space="preserve">  </w:t>
          </w:r>
          <w:r>
            <w:drawing>
              <wp:inline xmlns:a="http://schemas.openxmlformats.org/drawingml/2006/main" xmlns:pic="http://schemas.openxmlformats.org/drawingml/2006/picture">
                <wp:extent cx="256032" cy="170688"/>
                <wp:docPr id="3" name="Picture 3"/>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256032" cy="170688"/>
                        </a:xfrm>
                        <a:prstGeom prst="rect"/>
                      </pic:spPr>
                    </pic:pic>
                  </a:graphicData>
                </a:graphic>
              </wp:inline>
            </w:drawing>
          </w:r>
        </w:p>
      </w:tc>
    </w:tr>
  </w:tbl>
  <w:p>
    <w:pP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14570" w:type="dxa"/>
      <w:tblInd w:w="0" w:type="dxa"/>
      <w:tblLayout w:type="fixed"/>
      <w:tblBorders>
        <w:top w:val="single" w:sz="0" w:color="001124"/>
        <w:left w:val="single" w:sz="0" w:color="001124"/>
        <w:bottom w:val="single" w:sz="0" w:color="001124"/>
        <w:right w:val="single" w:sz="0" w:color="001124"/>
        <w:insideH w:val="single" w:sz="0" w:color="001124"/>
        <w:insideV w:val="single" w:sz="0" w:color="001124"/>
      </w:tblBorders>
    </w:tblPr>
    <w:tblGrid>
      <w:gridCol w:w="3700"/>
      <w:gridCol w:w="9070"/>
      <w:gridCol w:w="1800"/>
    </w:tblGrid>
    <w:tr>
      <w:tc>
        <w:tcPr>
          <w:tcW w:type="dxa" w:w="3700"/>
          <w:shd w:fill="001124" w:val="clear"/>
          <w:tcMar>
            <w:top w:w="45" w:type="dxa"/>
            <w:start w:w="80" w:type="dxa"/>
            <w:bottom w:w="45" w:type="dxa"/>
            <w:end w:w="80" w:type="dxa"/>
          </w:tcMar>
          <w:vAlign w:val="center"/>
        </w:tcPr>
        <w:p>
          <w:pPr>
            <w:spacing w:after="0"/>
            <w:jc w:val="left"/>
          </w:pPr>
          <w:r>
            <w:drawing>
              <wp:inline xmlns:a="http://schemas.openxmlformats.org/drawingml/2006/main" xmlns:pic="http://schemas.openxmlformats.org/drawingml/2006/picture">
                <wp:extent cx="1261872" cy="477982"/>
                <wp:docPr id="1" name="Picture 1"/>
                <wp:cNvGraphicFramePr>
                  <a:graphicFrameLocks noChangeAspect="1"/>
                </wp:cNvGraphicFramePr>
                <a:graphic>
                  <a:graphicData uri="http://schemas.openxmlformats.org/drawingml/2006/picture">
                    <pic:pic>
                      <pic:nvPicPr>
                        <pic:cNvPr id="0" name="logos_dwell_sga.png"/>
                        <pic:cNvPicPr/>
                      </pic:nvPicPr>
                      <pic:blipFill>
                        <a:blip r:embed="rId1"/>
                        <a:stretch>
                          <a:fillRect/>
                        </a:stretch>
                      </pic:blipFill>
                      <pic:spPr>
                        <a:xfrm>
                          <a:off x="0" y="0"/>
                          <a:ext cx="1261872" cy="477982"/>
                        </a:xfrm>
                        <a:prstGeom prst="rect"/>
                      </pic:spPr>
                    </pic:pic>
                  </a:graphicData>
                </a:graphic>
              </wp:inline>
            </w:drawing>
          </w:r>
        </w:p>
      </w:tc>
      <w:tc>
        <w:tcPr>
          <w:tcW w:type="dxa" w:w="9070"/>
          <w:shd w:fill="001124" w:val="clear"/>
          <w:tcMar>
            <w:top w:w="45" w:type="dxa"/>
            <w:start w:w="80" w:type="dxa"/>
            <w:bottom w:w="45" w:type="dxa"/>
            <w:end w:w="80" w:type="dxa"/>
          </w:tcMar>
          <w:vAlign w:val="center"/>
        </w:tcPr>
        <w:p>
          <w:pPr>
            <w:spacing w:after="0"/>
            <w:jc w:val="center"/>
          </w:pPr>
          <w:r>
            <w:rPr>
              <w:rFonts w:ascii="Arial" w:hAnsi="Arial" w:eastAsia="Arial"/>
              <w:b/>
              <w:color w:val="FFFFFF"/>
              <w:sz w:val="15"/>
            </w:rPr>
            <w:t>DOSSIÊ INSTITUCIONAL AEROPROF · SGA ANGOLA</w:t>
          </w:r>
          <w:r>
            <w:rPr>
              <w:rFonts w:ascii="Arial" w:hAnsi="Arial" w:eastAsia="Arial"/>
              <w:color w:val="BFD2E5"/>
              <w:sz w:val="13"/>
            </w:rPr>
            <w:br/>
            <w:t>DWELL · CNPJ 68.123.423/0001-32</w:t>
          </w:r>
        </w:p>
      </w:tc>
      <w:tc>
        <w:tcPr>
          <w:tcW w:type="dxa" w:w="1800"/>
          <w:shd w:fill="001124" w:val="clear"/>
          <w:tcMar>
            <w:top w:w="45" w:type="dxa"/>
            <w:start w:w="80" w:type="dxa"/>
            <w:bottom w:w="45" w:type="dxa"/>
            <w:end w:w="80" w:type="dxa"/>
          </w:tcMar>
          <w:vAlign w:val="center"/>
        </w:tcPr>
        <w:p>
          <w:pPr>
            <w:spacing w:after="0"/>
            <w:jc w:val="right"/>
          </w:pPr>
          <w:r>
            <w:drawing>
              <wp:inline xmlns:a="http://schemas.openxmlformats.org/drawingml/2006/main" xmlns:pic="http://schemas.openxmlformats.org/drawingml/2006/picture">
                <wp:extent cx="256032" cy="170688"/>
                <wp:docPr id="2" name="Picture 2"/>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256032" cy="170688"/>
                        </a:xfrm>
                        <a:prstGeom prst="rect"/>
                      </pic:spPr>
                    </pic:pic>
                  </a:graphicData>
                </a:graphic>
              </wp:inline>
            </w:drawing>
          </w:r>
          <w:r>
            <w:rPr>
              <w:rFonts w:ascii="Arial" w:hAnsi="Arial" w:eastAsia="Arial"/>
              <w:color w:val="FFFFFF"/>
              <w:sz w:val="10"/>
            </w:rPr>
            <w:t xml:space="preserve">  </w:t>
          </w:r>
          <w:r>
            <w:drawing>
              <wp:inline xmlns:a="http://schemas.openxmlformats.org/drawingml/2006/main" xmlns:pic="http://schemas.openxmlformats.org/drawingml/2006/picture">
                <wp:extent cx="256032" cy="170688"/>
                <wp:docPr id="3" name="Picture 3"/>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256032" cy="170688"/>
                        </a:xfrm>
                        <a:prstGeom prst="rect"/>
                      </pic:spPr>
                    </pic:pic>
                  </a:graphicData>
                </a:graphic>
              </wp:inline>
            </w:drawing>
          </w:r>
        </w:p>
      </w:tc>
    </w:tr>
  </w:tbl>
  <w:p>
    <w:pPr>
      <w:spacing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9638" w:type="dxa"/>
      <w:tblInd w:w="0" w:type="dxa"/>
      <w:tblLayout w:type="fixed"/>
      <w:tblBorders>
        <w:top w:val="single" w:sz="0" w:color="001124"/>
        <w:left w:val="single" w:sz="0" w:color="001124"/>
        <w:bottom w:val="single" w:sz="0" w:color="001124"/>
        <w:right w:val="single" w:sz="0" w:color="001124"/>
        <w:insideH w:val="single" w:sz="0" w:color="001124"/>
        <w:insideV w:val="single" w:sz="0" w:color="001124"/>
      </w:tblBorders>
    </w:tblPr>
    <w:tblGrid>
      <w:gridCol w:w="3700"/>
      <w:gridCol w:w="4138"/>
      <w:gridCol w:w="1800"/>
    </w:tblGrid>
    <w:tr>
      <w:tc>
        <w:tcPr>
          <w:tcW w:type="dxa" w:w="3700"/>
          <w:shd w:fill="001124" w:val="clear"/>
          <w:tcMar>
            <w:top w:w="45" w:type="dxa"/>
            <w:start w:w="80" w:type="dxa"/>
            <w:bottom w:w="45" w:type="dxa"/>
            <w:end w:w="80" w:type="dxa"/>
          </w:tcMar>
          <w:vAlign w:val="center"/>
        </w:tcPr>
        <w:p>
          <w:pPr>
            <w:spacing w:after="0"/>
            <w:jc w:val="left"/>
          </w:pPr>
          <w:r>
            <w:drawing>
              <wp:inline xmlns:a="http://schemas.openxmlformats.org/drawingml/2006/main" xmlns:pic="http://schemas.openxmlformats.org/drawingml/2006/picture">
                <wp:extent cx="1261872" cy="477982"/>
                <wp:docPr id="1" name="Picture 1"/>
                <wp:cNvGraphicFramePr>
                  <a:graphicFrameLocks noChangeAspect="1"/>
                </wp:cNvGraphicFramePr>
                <a:graphic>
                  <a:graphicData uri="http://schemas.openxmlformats.org/drawingml/2006/picture">
                    <pic:pic>
                      <pic:nvPicPr>
                        <pic:cNvPr id="0" name="logos_dwell_sga.png"/>
                        <pic:cNvPicPr/>
                      </pic:nvPicPr>
                      <pic:blipFill>
                        <a:blip r:embed="rId1"/>
                        <a:stretch>
                          <a:fillRect/>
                        </a:stretch>
                      </pic:blipFill>
                      <pic:spPr>
                        <a:xfrm>
                          <a:off x="0" y="0"/>
                          <a:ext cx="1261872" cy="477982"/>
                        </a:xfrm>
                        <a:prstGeom prst="rect"/>
                      </pic:spPr>
                    </pic:pic>
                  </a:graphicData>
                </a:graphic>
              </wp:inline>
            </w:drawing>
          </w:r>
        </w:p>
      </w:tc>
      <w:tc>
        <w:tcPr>
          <w:tcW w:type="dxa" w:w="4138"/>
          <w:shd w:fill="001124" w:val="clear"/>
          <w:tcMar>
            <w:top w:w="45" w:type="dxa"/>
            <w:start w:w="80" w:type="dxa"/>
            <w:bottom w:w="45" w:type="dxa"/>
            <w:end w:w="80" w:type="dxa"/>
          </w:tcMar>
          <w:vAlign w:val="center"/>
        </w:tcPr>
        <w:p>
          <w:pPr>
            <w:spacing w:after="0"/>
            <w:jc w:val="center"/>
          </w:pPr>
          <w:r>
            <w:rPr>
              <w:rFonts w:ascii="Arial" w:hAnsi="Arial" w:eastAsia="Arial"/>
              <w:b/>
              <w:color w:val="FFFFFF"/>
              <w:sz w:val="15"/>
            </w:rPr>
            <w:t>DOSSIÊ INSTITUCIONAL AEROPROF · SGA ANGOLA</w:t>
          </w:r>
          <w:r>
            <w:rPr>
              <w:rFonts w:ascii="Arial" w:hAnsi="Arial" w:eastAsia="Arial"/>
              <w:color w:val="BFD2E5"/>
              <w:sz w:val="13"/>
            </w:rPr>
            <w:br/>
            <w:t>DWELL · CNPJ 68.123.423/0001-32</w:t>
          </w:r>
        </w:p>
      </w:tc>
      <w:tc>
        <w:tcPr>
          <w:tcW w:type="dxa" w:w="1800"/>
          <w:shd w:fill="001124" w:val="clear"/>
          <w:tcMar>
            <w:top w:w="45" w:type="dxa"/>
            <w:start w:w="80" w:type="dxa"/>
            <w:bottom w:w="45" w:type="dxa"/>
            <w:end w:w="80" w:type="dxa"/>
          </w:tcMar>
          <w:vAlign w:val="center"/>
        </w:tcPr>
        <w:p>
          <w:pPr>
            <w:spacing w:after="0"/>
            <w:jc w:val="right"/>
          </w:pPr>
          <w:r>
            <w:drawing>
              <wp:inline xmlns:a="http://schemas.openxmlformats.org/drawingml/2006/main" xmlns:pic="http://schemas.openxmlformats.org/drawingml/2006/picture">
                <wp:extent cx="256032" cy="170688"/>
                <wp:docPr id="2" name="Picture 2"/>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256032" cy="170688"/>
                        </a:xfrm>
                        <a:prstGeom prst="rect"/>
                      </pic:spPr>
                    </pic:pic>
                  </a:graphicData>
                </a:graphic>
              </wp:inline>
            </w:drawing>
          </w:r>
          <w:r>
            <w:rPr>
              <w:rFonts w:ascii="Arial" w:hAnsi="Arial" w:eastAsia="Arial"/>
              <w:color w:val="FFFFFF"/>
              <w:sz w:val="10"/>
            </w:rPr>
            <w:t xml:space="preserve">  </w:t>
          </w:r>
          <w:r>
            <w:drawing>
              <wp:inline xmlns:a="http://schemas.openxmlformats.org/drawingml/2006/main" xmlns:pic="http://schemas.openxmlformats.org/drawingml/2006/picture">
                <wp:extent cx="256032" cy="170688"/>
                <wp:docPr id="3" name="Picture 3"/>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256032" cy="170688"/>
                        </a:xfrm>
                        <a:prstGeom prst="rect"/>
                      </pic:spPr>
                    </pic:pic>
                  </a:graphicData>
                </a:graphic>
              </wp:inline>
            </w:drawing>
          </w:r>
        </w:p>
      </w:tc>
    </w:tr>
  </w:tbl>
  <w:p>
    <w:pPr>
      <w:spacing w:after="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14570" w:type="dxa"/>
      <w:tblInd w:w="0" w:type="dxa"/>
      <w:tblLayout w:type="fixed"/>
      <w:tblBorders>
        <w:top w:val="single" w:sz="0" w:color="001124"/>
        <w:left w:val="single" w:sz="0" w:color="001124"/>
        <w:bottom w:val="single" w:sz="0" w:color="001124"/>
        <w:right w:val="single" w:sz="0" w:color="001124"/>
        <w:insideH w:val="single" w:sz="0" w:color="001124"/>
        <w:insideV w:val="single" w:sz="0" w:color="001124"/>
      </w:tblBorders>
    </w:tblPr>
    <w:tblGrid>
      <w:gridCol w:w="3700"/>
      <w:gridCol w:w="9070"/>
      <w:gridCol w:w="1800"/>
    </w:tblGrid>
    <w:tr>
      <w:tc>
        <w:tcPr>
          <w:tcW w:type="dxa" w:w="3700"/>
          <w:shd w:fill="001124" w:val="clear"/>
          <w:tcMar>
            <w:top w:w="45" w:type="dxa"/>
            <w:start w:w="80" w:type="dxa"/>
            <w:bottom w:w="45" w:type="dxa"/>
            <w:end w:w="80" w:type="dxa"/>
          </w:tcMar>
          <w:vAlign w:val="center"/>
        </w:tcPr>
        <w:p>
          <w:pPr>
            <w:spacing w:after="0"/>
            <w:jc w:val="left"/>
          </w:pPr>
          <w:r>
            <w:drawing>
              <wp:inline xmlns:a="http://schemas.openxmlformats.org/drawingml/2006/main" xmlns:pic="http://schemas.openxmlformats.org/drawingml/2006/picture">
                <wp:extent cx="1261872" cy="477982"/>
                <wp:docPr id="1" name="Picture 1"/>
                <wp:cNvGraphicFramePr>
                  <a:graphicFrameLocks noChangeAspect="1"/>
                </wp:cNvGraphicFramePr>
                <a:graphic>
                  <a:graphicData uri="http://schemas.openxmlformats.org/drawingml/2006/picture">
                    <pic:pic>
                      <pic:nvPicPr>
                        <pic:cNvPr id="0" name="logos_dwell_sga.png"/>
                        <pic:cNvPicPr/>
                      </pic:nvPicPr>
                      <pic:blipFill>
                        <a:blip r:embed="rId1"/>
                        <a:stretch>
                          <a:fillRect/>
                        </a:stretch>
                      </pic:blipFill>
                      <pic:spPr>
                        <a:xfrm>
                          <a:off x="0" y="0"/>
                          <a:ext cx="1261872" cy="477982"/>
                        </a:xfrm>
                        <a:prstGeom prst="rect"/>
                      </pic:spPr>
                    </pic:pic>
                  </a:graphicData>
                </a:graphic>
              </wp:inline>
            </w:drawing>
          </w:r>
        </w:p>
      </w:tc>
      <w:tc>
        <w:tcPr>
          <w:tcW w:type="dxa" w:w="9070"/>
          <w:shd w:fill="001124" w:val="clear"/>
          <w:tcMar>
            <w:top w:w="45" w:type="dxa"/>
            <w:start w:w="80" w:type="dxa"/>
            <w:bottom w:w="45" w:type="dxa"/>
            <w:end w:w="80" w:type="dxa"/>
          </w:tcMar>
          <w:vAlign w:val="center"/>
        </w:tcPr>
        <w:p>
          <w:pPr>
            <w:spacing w:after="0"/>
            <w:jc w:val="center"/>
          </w:pPr>
          <w:r>
            <w:rPr>
              <w:rFonts w:ascii="Arial" w:hAnsi="Arial" w:eastAsia="Arial"/>
              <w:b/>
              <w:color w:val="FFFFFF"/>
              <w:sz w:val="15"/>
            </w:rPr>
            <w:t>DOSSIÊ INSTITUCIONAL AEROPROF · SGA ANGOLA</w:t>
          </w:r>
          <w:r>
            <w:rPr>
              <w:rFonts w:ascii="Arial" w:hAnsi="Arial" w:eastAsia="Arial"/>
              <w:color w:val="BFD2E5"/>
              <w:sz w:val="13"/>
            </w:rPr>
            <w:br/>
            <w:t>DWELL · CNPJ 68.123.423/0001-32</w:t>
          </w:r>
        </w:p>
      </w:tc>
      <w:tc>
        <w:tcPr>
          <w:tcW w:type="dxa" w:w="1800"/>
          <w:shd w:fill="001124" w:val="clear"/>
          <w:tcMar>
            <w:top w:w="45" w:type="dxa"/>
            <w:start w:w="80" w:type="dxa"/>
            <w:bottom w:w="45" w:type="dxa"/>
            <w:end w:w="80" w:type="dxa"/>
          </w:tcMar>
          <w:vAlign w:val="center"/>
        </w:tcPr>
        <w:p>
          <w:pPr>
            <w:spacing w:after="0"/>
            <w:jc w:val="right"/>
          </w:pPr>
          <w:r>
            <w:drawing>
              <wp:inline xmlns:a="http://schemas.openxmlformats.org/drawingml/2006/main" xmlns:pic="http://schemas.openxmlformats.org/drawingml/2006/picture">
                <wp:extent cx="256032" cy="170688"/>
                <wp:docPr id="2" name="Picture 2"/>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256032" cy="170688"/>
                        </a:xfrm>
                        <a:prstGeom prst="rect"/>
                      </pic:spPr>
                    </pic:pic>
                  </a:graphicData>
                </a:graphic>
              </wp:inline>
            </w:drawing>
          </w:r>
          <w:r>
            <w:rPr>
              <w:rFonts w:ascii="Arial" w:hAnsi="Arial" w:eastAsia="Arial"/>
              <w:color w:val="FFFFFF"/>
              <w:sz w:val="10"/>
            </w:rPr>
            <w:t xml:space="preserve">  </w:t>
          </w:r>
          <w:r>
            <w:drawing>
              <wp:inline xmlns:a="http://schemas.openxmlformats.org/drawingml/2006/main" xmlns:pic="http://schemas.openxmlformats.org/drawingml/2006/picture">
                <wp:extent cx="256032" cy="170688"/>
                <wp:docPr id="3" name="Picture 3"/>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256032" cy="170688"/>
                        </a:xfrm>
                        <a:prstGeom prst="rect"/>
                      </pic:spPr>
                    </pic:pic>
                  </a:graphicData>
                </a:graphic>
              </wp:inline>
            </w:drawing>
          </w:r>
        </w:p>
      </w:tc>
    </w:tr>
  </w:tbl>
  <w:p>
    <w:pPr>
      <w:spacing w:after="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left"/>
      <w:tblLook w:firstColumn="1" w:firstRow="1" w:lastColumn="0" w:lastRow="0" w:noHBand="0" w:noVBand="1" w:val="04A0"/>
      <w:tblW w:w="9638" w:type="dxa"/>
      <w:tblInd w:w="0" w:type="dxa"/>
      <w:tblLayout w:type="fixed"/>
      <w:tblBorders>
        <w:top w:val="single" w:sz="0" w:color="001124"/>
        <w:left w:val="single" w:sz="0" w:color="001124"/>
        <w:bottom w:val="single" w:sz="0" w:color="001124"/>
        <w:right w:val="single" w:sz="0" w:color="001124"/>
        <w:insideH w:val="single" w:sz="0" w:color="001124"/>
        <w:insideV w:val="single" w:sz="0" w:color="001124"/>
      </w:tblBorders>
    </w:tblPr>
    <w:tblGrid>
      <w:gridCol w:w="3700"/>
      <w:gridCol w:w="4138"/>
      <w:gridCol w:w="1800"/>
    </w:tblGrid>
    <w:tr>
      <w:tc>
        <w:tcPr>
          <w:tcW w:type="dxa" w:w="3700"/>
          <w:shd w:fill="001124" w:val="clear"/>
          <w:tcMar>
            <w:top w:w="45" w:type="dxa"/>
            <w:start w:w="80" w:type="dxa"/>
            <w:bottom w:w="45" w:type="dxa"/>
            <w:end w:w="80" w:type="dxa"/>
          </w:tcMar>
          <w:vAlign w:val="center"/>
        </w:tcPr>
        <w:p>
          <w:pPr>
            <w:spacing w:after="0"/>
            <w:jc w:val="left"/>
          </w:pPr>
          <w:r>
            <w:drawing>
              <wp:inline xmlns:a="http://schemas.openxmlformats.org/drawingml/2006/main" xmlns:pic="http://schemas.openxmlformats.org/drawingml/2006/picture">
                <wp:extent cx="1261872" cy="477982"/>
                <wp:docPr id="1" name="Picture 1"/>
                <wp:cNvGraphicFramePr>
                  <a:graphicFrameLocks noChangeAspect="1"/>
                </wp:cNvGraphicFramePr>
                <a:graphic>
                  <a:graphicData uri="http://schemas.openxmlformats.org/drawingml/2006/picture">
                    <pic:pic>
                      <pic:nvPicPr>
                        <pic:cNvPr id="0" name="logos_dwell_sga.png"/>
                        <pic:cNvPicPr/>
                      </pic:nvPicPr>
                      <pic:blipFill>
                        <a:blip r:embed="rId1"/>
                        <a:stretch>
                          <a:fillRect/>
                        </a:stretch>
                      </pic:blipFill>
                      <pic:spPr>
                        <a:xfrm>
                          <a:off x="0" y="0"/>
                          <a:ext cx="1261872" cy="477982"/>
                        </a:xfrm>
                        <a:prstGeom prst="rect"/>
                      </pic:spPr>
                    </pic:pic>
                  </a:graphicData>
                </a:graphic>
              </wp:inline>
            </w:drawing>
          </w:r>
        </w:p>
      </w:tc>
      <w:tc>
        <w:tcPr>
          <w:tcW w:type="dxa" w:w="4138"/>
          <w:shd w:fill="001124" w:val="clear"/>
          <w:tcMar>
            <w:top w:w="45" w:type="dxa"/>
            <w:start w:w="80" w:type="dxa"/>
            <w:bottom w:w="45" w:type="dxa"/>
            <w:end w:w="80" w:type="dxa"/>
          </w:tcMar>
          <w:vAlign w:val="center"/>
        </w:tcPr>
        <w:p>
          <w:pPr>
            <w:spacing w:after="0"/>
            <w:jc w:val="center"/>
          </w:pPr>
          <w:r>
            <w:rPr>
              <w:rFonts w:ascii="Arial" w:hAnsi="Arial" w:eastAsia="Arial"/>
              <w:b/>
              <w:color w:val="FFFFFF"/>
              <w:sz w:val="15"/>
            </w:rPr>
            <w:t>DOSSIÊ INSTITUCIONAL AEROPROF · SGA ANGOLA</w:t>
          </w:r>
          <w:r>
            <w:rPr>
              <w:rFonts w:ascii="Arial" w:hAnsi="Arial" w:eastAsia="Arial"/>
              <w:color w:val="BFD2E5"/>
              <w:sz w:val="13"/>
            </w:rPr>
            <w:br/>
            <w:t>DWELL · CNPJ 68.123.423/0001-32</w:t>
          </w:r>
        </w:p>
      </w:tc>
      <w:tc>
        <w:tcPr>
          <w:tcW w:type="dxa" w:w="1800"/>
          <w:shd w:fill="001124" w:val="clear"/>
          <w:tcMar>
            <w:top w:w="45" w:type="dxa"/>
            <w:start w:w="80" w:type="dxa"/>
            <w:bottom w:w="45" w:type="dxa"/>
            <w:end w:w="80" w:type="dxa"/>
          </w:tcMar>
          <w:vAlign w:val="center"/>
        </w:tcPr>
        <w:p>
          <w:pPr>
            <w:spacing w:after="0"/>
            <w:jc w:val="right"/>
          </w:pPr>
          <w:r>
            <w:drawing>
              <wp:inline xmlns:a="http://schemas.openxmlformats.org/drawingml/2006/main" xmlns:pic="http://schemas.openxmlformats.org/drawingml/2006/picture">
                <wp:extent cx="256032" cy="170688"/>
                <wp:docPr id="2" name="Picture 2"/>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256032" cy="170688"/>
                        </a:xfrm>
                        <a:prstGeom prst="rect"/>
                      </pic:spPr>
                    </pic:pic>
                  </a:graphicData>
                </a:graphic>
              </wp:inline>
            </w:drawing>
          </w:r>
          <w:r>
            <w:rPr>
              <w:rFonts w:ascii="Arial" w:hAnsi="Arial" w:eastAsia="Arial"/>
              <w:color w:val="FFFFFF"/>
              <w:sz w:val="10"/>
            </w:rPr>
            <w:t xml:space="preserve">  </w:t>
          </w:r>
          <w:r>
            <w:drawing>
              <wp:inline xmlns:a="http://schemas.openxmlformats.org/drawingml/2006/main" xmlns:pic="http://schemas.openxmlformats.org/drawingml/2006/picture">
                <wp:extent cx="256032" cy="170688"/>
                <wp:docPr id="3" name="Picture 3"/>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256032" cy="170688"/>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83" w:lineRule="auto"/>
      <w:jc w:val="both"/>
    </w:pPr>
    <w:rPr>
      <w:rFonts w:ascii="Arial" w:hAnsi="Arial"/>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7376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D5E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81"/>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200" w:line="276" w:lineRule="auto"/>
      <w:jc w:val="center"/>
    </w:pPr>
    <w:rPr>
      <w:rFonts w:ascii="Arial" w:hAnsi="Arial"/>
      <w:b/>
      <w:color w:val="073763"/>
      <w:sz w:val="20"/>
    </w:rPr>
  </w:style>
  <w:style w:type="paragraph" w:customStyle="1" w:styleId="CoverTitle">
    <w:name w:val="Cover Title"/>
    <w:pPr>
      <w:spacing w:before="0" w:after="160" w:line="276" w:lineRule="auto"/>
      <w:jc w:val="center"/>
    </w:pPr>
    <w:rPr>
      <w:rFonts w:ascii="Arial" w:hAnsi="Arial"/>
      <w:b/>
      <w:color w:val="073763"/>
      <w:sz w:val="50"/>
    </w:rPr>
  </w:style>
  <w:style w:type="paragraph" w:customStyle="1" w:styleId="CoverSubtitle">
    <w:name w:val="Cover Subtitle"/>
    <w:pPr>
      <w:spacing w:before="0" w:after="280" w:line="276" w:lineRule="auto"/>
      <w:jc w:val="center"/>
    </w:pPr>
    <w:rPr>
      <w:rFonts w:ascii="Arial" w:hAnsi="Arial"/>
      <w:b w:val="0"/>
      <w:color w:val="5C6670"/>
      <w:sz w:val="26"/>
    </w:rPr>
  </w:style>
  <w:style w:type="paragraph" w:customStyle="1" w:styleId="CoverMeta">
    <w:name w:val="Cover Meta"/>
    <w:pPr>
      <w:spacing w:before="0" w:after="80" w:line="276" w:lineRule="auto"/>
      <w:jc w:val="center"/>
    </w:pPr>
    <w:rPr>
      <w:rFonts w:ascii="Arial" w:hAnsi="Arial"/>
      <w:b w:val="0"/>
      <w:color w:val="5C6670"/>
      <w:sz w:val="19"/>
    </w:rPr>
  </w:style>
  <w:style w:type="paragraph" w:customStyle="1" w:styleId="TOCTitle">
    <w:name w:val="TOC Title"/>
    <w:pPr>
      <w:keepLines/>
      <w:spacing w:before="0" w:after="320" w:line="252" w:lineRule="auto"/>
      <w:jc w:val="left"/>
    </w:pPr>
    <w:rPr>
      <w:rFonts w:ascii="Arial" w:hAnsi="Arial"/>
      <w:b/>
      <w:color w:val="073763"/>
      <w:sz w:val="36"/>
    </w:rPr>
  </w:style>
  <w:style w:type="paragraph" w:customStyle="1" w:styleId="TOC1">
    <w:name w:val="TOC 1"/>
    <w:pPr>
      <w:keepLines/>
      <w:spacing w:before="0" w:after="60" w:line="252" w:lineRule="auto"/>
      <w:jc w:val="left"/>
    </w:pPr>
    <w:rPr>
      <w:rFonts w:ascii="Arial" w:hAnsi="Arial"/>
      <w:b/>
      <w:color w:val="073763"/>
      <w:sz w:val="19"/>
    </w:rPr>
  </w:style>
  <w:style w:type="paragraph" w:customStyle="1" w:styleId="TOC2">
    <w:name w:val="TOC 2"/>
    <w:pPr>
      <w:keepLines/>
      <w:spacing w:before="0" w:after="20" w:line="252" w:lineRule="auto"/>
      <w:jc w:val="left"/>
    </w:pPr>
    <w:rPr>
      <w:rFonts w:ascii="Arial" w:hAnsi="Arial"/>
      <w:b w:val="0"/>
      <w:color w:val="5C6670"/>
      <w:sz w:val="17"/>
    </w:rPr>
  </w:style>
  <w:style w:type="paragraph" w:customStyle="1" w:styleId="DocumentNote">
    <w:name w:val="Document Note"/>
    <w:pPr>
      <w:spacing w:before="0" w:after="160" w:line="276" w:lineRule="auto"/>
      <w:jc w:val="both"/>
    </w:pPr>
    <w:rPr>
      <w:rFonts w:ascii="Arial" w:hAnsi="Arial"/>
      <w:b w:val="0"/>
      <w:color w:val="5C6670"/>
      <w:sz w:val="19"/>
    </w:rPr>
  </w:style>
  <w:style w:type="paragraph" w:customStyle="1" w:styleId="DocumentQuote">
    <w:name w:val="Document Quote"/>
    <w:pPr>
      <w:spacing w:before="80" w:after="160" w:line="276" w:lineRule="auto"/>
      <w:jc w:val="left"/>
    </w:pPr>
    <w:rPr>
      <w:rFonts w:ascii="Arial" w:hAnsi="Arial"/>
      <w:b w:val="0"/>
      <w:color w:val="202A35"/>
      <w:sz w:val="21"/>
    </w:rPr>
  </w:style>
  <w:style w:type="paragraph" w:customStyle="1" w:styleId="PipelineCallout">
    <w:name w:val="Pipeline Callout"/>
    <w:pPr>
      <w:spacing w:before="120" w:after="160" w:line="276" w:lineRule="auto"/>
      <w:jc w:val="center"/>
    </w:pPr>
    <w:rPr>
      <w:rFonts w:ascii="Arial" w:hAnsi="Arial"/>
      <w:b/>
      <w:color w:val="07376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Institucional AeroProf – SGA Angola</dc:title>
  <dc:subject>Cooperação tecnológica para estruturação e validação do AeroProf Intelligence</dc:subject>
  <dc:creator>DWELL Sistemas para Internet – Inova Simples (I.S.)</dc:creator>
  <cp:keywords>AeroProf Intelligence; SGA Angola; cooperação tecnológica; infraestrutura aeroportuária; PoC</cp:keywords>
  <dc:description>generated by python-docx</dc:description>
  <cp:lastModifiedBy/>
  <cp:revision>1</cp:revision>
  <dcterms:created xsi:type="dcterms:W3CDTF">2013-12-23T23:15:00Z</dcterms:created>
  <dcterms:modified xsi:type="dcterms:W3CDTF">2013-12-23T23:15:00Z</dcterms:modified>
  <cp:category/>
</cp:coreProperties>
</file>