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Política de Privacidade do Valen Barber</w:t>
      </w:r>
    </w:p>
    <w:p>
      <w:r/>
      <w:r>
        <w:rPr>
          <w:b/>
        </w:rPr>
        <w:t>Minuta consolidada para revisão em 15 de setembro de 2026. Não publicada e sem data de vigência.</w:t>
      </w:r>
      <w:r/>
    </w:p>
    <w:p>
      <w:r>
        <w:t>Esta política explica o tratamento de informações de administradores, profissionais e clientes no Valen Barber. Reúne o funcionamento identificado e as regras aprovadas para a operação. O anexo identifica o que precisa ser confirmado antes da publicação; funcionalidades preparadas localmente não são apresentadas como disponíveis em produção.</w:t>
      </w:r>
    </w:p>
    <w:p>
      <w:pPr>
        <w:pStyle w:val="Heading1"/>
      </w:pPr>
      <w:r>
        <w:rPr>
          <w:color w:val="000000"/>
        </w:rPr>
        <w:t>1 Responsável e contato</w:t>
      </w:r>
    </w:p>
    <w:p>
      <w:r>
        <w:t>O Valen Barber é oferecido por Wellinton Pereira Alves, pessoa física, identificado nos Termos de Uso, com endereço na Av. Moaçara, 2070, bairro Diamantino, Santarém, PA, CEP 68025-740.</w:t>
      </w:r>
    </w:p>
    <w:p>
      <w:r>
        <w:t xml:space="preserve">Para dúvidas e solicitações de privacidade, utilize </w:t>
      </w:r>
      <w:r>
        <w:rPr>
          <w:b/>
        </w:rPr>
        <w:t>wellintonalves1910@gmail.com</w:t>
      </w:r>
      <w:r>
        <w:t>. O atendimento ocorre de segunda a sexta-feira, das 8h às 12h e das 14h às 18h, no horário de Brasília. Pedidos podem ser enviados fora desse horário. Uma futura mudança para pessoa jurídica será acompanhada da atualização da identificação e da comunicação pertinente.</w:t>
      </w:r>
    </w:p>
    <w:p>
      <w:pPr>
        <w:pStyle w:val="Heading1"/>
      </w:pPr>
      <w:r>
        <w:rPr>
          <w:color w:val="000000"/>
        </w:rPr>
        <w:t>2 Responsabilidades pelo tratamento</w:t>
      </w:r>
    </w:p>
    <w:p>
      <w:r>
        <w:t>O Valen Barber decide sobre o tratamento necessário à administração das suas contas, assinaturas, suporte, segurança e campanhas próprias. Cada barbearia decide sobre seus atendimentos, registros comerciais e campanhas. Nas operações realizadas em nome da barbearia, o sistema trata os dados para prestar o serviço contratado. A classificação de controlador e operador deve acompanhar cada operação concreta.</w:t>
      </w:r>
    </w:p>
    <w:p>
      <w:r>
        <w:t>Pedidos relacionados ao atendimento ou aos registros de uma barbearia podem exigir sua participação. Isso não impede o contato pelo canal desta política. A conta global de um cliente pode possuir vínculos com vários estabelecimentos; esse vínculo não autoriza acesso irrestrito de uma barbearia aos registros das demais.</w:t>
      </w:r>
    </w:p>
    <w:p>
      <w:pPr>
        <w:pStyle w:val="Heading1"/>
      </w:pPr>
      <w:r>
        <w:rPr>
          <w:color w:val="000000"/>
        </w:rPr>
        <w:t>3 Dados utilizados</w:t>
      </w:r>
    </w:p>
    <w:p>
      <w:r/>
      <w:r>
        <w:rPr>
          <w:b/>
        </w:rPr>
        <w:t>Contas e acesso.</w:t>
      </w:r>
      <w:r>
        <w:t xml:space="preserve"> Nome, e-mail, credencial de autenticação, perfil de acesso, vínculo com a barbearia, informações de verificação de e-mail e registros de criação da conta. As senhas são armazenadas por hash e as sessões utilizam tokens.</w:t>
      </w:r>
    </w:p>
    <w:p>
      <w:r/>
      <w:r>
        <w:rPr>
          <w:b/>
        </w:rPr>
        <w:t>Clientes.</w:t>
      </w:r>
      <w:r>
        <w:t xml:space="preserve"> Telefone, data de nascimento, observações e código de indicação, conforme os campos utilizados. A implementação local prevê nascimento no novo cadastro e edição no perfil. Clientes antigos sem essa informação permanecem com idade desconhecida. A data declarada não comprova identidade nem autorização de responsável.</w:t>
      </w:r>
    </w:p>
    <w:p>
      <w:r/>
      <w:r>
        <w:rPr>
          <w:b/>
        </w:rPr>
        <w:t>Profissionais.</w:t>
      </w:r>
      <w:r>
        <w:t xml:space="preserve"> Foto, telefone, especialidades, disponibilidade e horários, comissão, situação do cadastro e avaliações, além dos dados da conta.</w:t>
      </w:r>
    </w:p>
    <w:p>
      <w:r/>
      <w:r>
        <w:rPr>
          <w:b/>
        </w:rPr>
        <w:t>Operações.</w:t>
      </w:r>
      <w:r>
        <w:t xml:space="preserve"> Agendamentos, serviços, remarcações, profissional escolhido, valores, descontos, formas de pagamento registradas, lançamentos, compras presenciais, fidelidade, resgates, indicações e avaliações. Estoque e produtos podem estar associados a operações identificadas.</w:t>
      </w:r>
    </w:p>
    <w:p>
      <w:r/>
      <w:r>
        <w:rPr>
          <w:b/>
        </w:rPr>
        <w:t>Comunicações e preferências.</w:t>
      </w:r>
      <w:r>
        <w:t xml:space="preserve"> Mensagens do chat e suporte, remetente, data e situação de leitura, além das escolhas promocionais por origem e canal. Evite inserir informações sensíveis desnecessárias em mensagens ou campos de observações.</w:t>
      </w:r>
    </w:p>
    <w:p>
      <w:pPr>
        <w:pStyle w:val="Heading1"/>
      </w:pPr>
      <w:r>
        <w:rPr>
          <w:color w:val="000000"/>
        </w:rPr>
        <w:t>4 Finalidades</w:t>
      </w:r>
    </w:p>
    <w:p>
      <w:pPr/>
      <w:r/>
      <w:r>
        <w:rPr>
          <w:b/>
        </w:rPr>
        <w:t>Registro dos documentos apresentados.</w:t>
      </w:r>
      <w:r>
        <w:t xml:space="preserve"> Para novas contas, registramos a data da confirmação, a origem e as versões dos Termos de Uso e da Política de Privacidade apresentadas. Contas antigas não recebem datas ou confirmações retroativas. Para barbearias em transição para planos, registramos a apresentação do aviso e os prazos de contratação e consulta/exportação. Esses registros permitem explicar as condições aplicáveis e atender solicitações relativas à conta; não substituem as escolhas promocionais por canal e remetente.</w:t>
      </w:r>
    </w:p>
    <w:p>
      <w:r>
        <w:t>Os dados apoiam a criação e administração de contas, autenticação, agenda, disponibilidade dos profissionais, registro de operações, consulta de histórico, fidelidade e comunicação com a barbearia. Também permitem suporte, proteção das contas e administração da assinatura.</w:t>
      </w:r>
    </w:p>
    <w:p>
      <w:r>
        <w:t>A data de nascimento já possui uso nas funções de aniversário da fidelidade e na listagem de aniversariantes. Sua utilização para determinar idade declarada deve ser distinguida de eventuais mecanismos específicos de verificação de idade, que exigem avaliação própria.</w:t>
      </w:r>
    </w:p>
    <w:p>
      <w:r>
        <w:t>As hipóteses legais devem ser definidas por finalidade, considerando execução contratual, obrigações legais, exercício de direitos, consentimento ou legítimo interesse quando cabível. O aceite geral desta política não substitui escolhas específicas necessárias. O enquadramento detalhado ainda será revisado antes da publicação.</w:t>
      </w:r>
    </w:p>
    <w:p>
      <w:pPr>
        <w:pStyle w:val="Heading1"/>
      </w:pPr>
      <w:r>
        <w:rPr>
          <w:color w:val="000000"/>
        </w:rPr>
        <w:t>5 Promoções por e-mail e pelo aplicativo</w:t>
      </w:r>
    </w:p>
    <w:p>
      <w:r>
        <w:t>Estão previstas campanhas das barbearias e campanhas próprias do Valen Barber. O cliente poderá escolher separadamente o remetente e o canal, e desativar cada escolha quando quiser. Aceitar mensagens de uma barbearia não autoriza campanhas de outra ou do Valen Barber.</w:t>
      </w:r>
    </w:p>
    <w:p>
      <w:r>
        <w:t>As preferências começam desligadas até uma escolha afirmativa. Recusar promoções não impede os avisos necessários de agendamento, segurança e administração da conta. As mensagens deverão identificar claramente quem as envia e oferecer um caminho simples para alterar as preferências.</w:t>
      </w:r>
    </w:p>
    <w:p>
      <w:r>
        <w:t>A implementação local já registra essas escolhas e suas alterações. A ativação está bloqueada para menores de dezoito anos ou pessoas com idade desconhecida. O mecanismo de envio de campanhas e notificações ainda não foi implementado; o armazenamento de preferências não significa que campanhas já sejam entregues.</w:t>
      </w:r>
    </w:p>
    <w:p>
      <w:pPr>
        <w:pStyle w:val="Heading1"/>
      </w:pPr>
      <w:r>
        <w:rPr>
          <w:color w:val="000000"/>
        </w:rPr>
        <w:t>6 Fornecedores e acesso</w:t>
      </w:r>
    </w:p>
    <w:p>
      <w:r>
        <w:t>Os perfis de acesso e vínculos determinam as informações disponíveis para administradores e profissionais. As exportações devem respeitar a unidade do administrador e não incluir credenciais ou informações alheias a esse contexto.</w:t>
      </w:r>
    </w:p>
    <w:p>
      <w:r>
        <w:t xml:space="preserve">Foram identificados </w:t>
      </w:r>
      <w:r>
        <w:rPr>
          <w:b/>
        </w:rPr>
        <w:t>Railway</w:t>
      </w:r>
      <w:r>
        <w:t xml:space="preserve">, para hospedagem e bancos PostgreSQL; </w:t>
      </w:r>
      <w:r>
        <w:rPr>
          <w:b/>
        </w:rPr>
        <w:t>Supabase Storage</w:t>
      </w:r>
      <w:r>
        <w:t xml:space="preserve">, para fotos e logos; e </w:t>
      </w:r>
      <w:r>
        <w:rPr>
          <w:b/>
        </w:rPr>
        <w:t>Resend</w:t>
      </w:r>
      <w:r>
        <w:t>, para e-mails de verificação, recuperação e alertas operacionais. Fotos e logos nos buckets atualmente configurados podem ser acessados por URLs públicas.</w:t>
      </w:r>
    </w:p>
    <w:p>
      <w:r>
        <w:t xml:space="preserve">O </w:t>
      </w:r>
      <w:r>
        <w:rPr>
          <w:b/>
        </w:rPr>
        <w:t>Asaas</w:t>
      </w:r>
      <w:r>
        <w:t xml:space="preserve"> foi escolhido para a cobrança futura, mas permanece desativado. Antes da integração, a política deverá detalhar os dados transmitidos para cobrança e conciliação. A futura loja virtual também exigirá atualização compatível com seu funcionamento.</w:t>
      </w:r>
    </w:p>
    <w:p>
      <w:pPr>
        <w:pStyle w:val="Heading1"/>
      </w:pPr>
      <w:r>
        <w:rPr>
          <w:color w:val="000000"/>
        </w:rPr>
        <w:t>7 Localização e armazenamento no navegador</w:t>
      </w:r>
    </w:p>
    <w:p>
      <w:r>
        <w:t>O painel Railway consultado mostra o backend no leste dos Estados Unidos e o banco principal na Virgínia. Outro banco, denominado postgres-dev, está na Califórnia; sua função exata ainda precisa ser confirmada. Portanto, há tratamento fora do Brasil. A região do Supabase e os instrumentos aplicáveis às transferências internacionais permanecem em conferência.</w:t>
      </w:r>
    </w:p>
    <w:p>
      <w:r>
        <w:t>O navegador armazena tokens e dados básicos da sessão, tema, preferências de agenda e som do chat e informações temporárias de convites. Remover esses dados pode exigir novo login e redefinir preferências, mas não exclui automaticamente registros dos servidores. Não foi identificada integração de análise publicitária no código pesquisado; a aplicação publicada ainda deve ser conferida.</w:t>
      </w:r>
    </w:p>
    <w:p>
      <w:pPr>
        <w:pStyle w:val="Heading1"/>
      </w:pPr>
      <w:r>
        <w:rPr>
          <w:color w:val="000000"/>
        </w:rPr>
        <w:t>8 Exportação conservação e exclusão</w:t>
      </w:r>
    </w:p>
    <w:p>
      <w:r>
        <w:t xml:space="preserve">A regra aprovada prevê </w:t>
      </w:r>
      <w:r>
        <w:rPr>
          <w:b/>
        </w:rPr>
        <w:t>trinta dias de consulta e exportação</w:t>
      </w:r>
      <w:r>
        <w:t xml:space="preserve"> após o encerramento do acesso contratado, sem novos lançamentos. A exportação preparada utiliza um pacote ZIP com arquivos CSV por categoria, manifesto e instruções, preservando relações entre registros e excluindo senhas, tokens e códigos de autenticação. Inclui os dados operacionais pertinentes à barbearia. Sua disponibilidade depende da aplicação e validação das alterações no ambiente de operação.</w:t>
      </w:r>
    </w:p>
    <w:p>
      <w:commentRangeStart w:id="0"/>
      <w:r>
        <w:t>Após a janela de trinta dias, será iniciada a triagem dos dados para revisão da conservação e eventual exclusão autorizada. O fim da janela encerra o acesso de consulta e exportação da barbearia, mesmo quando determinados dados precisem continuar armazenados com acesso interno restrito.</w:t>
      </w:r>
      <w:commentRangeEnd w:id="0"/>
      <w:r>
        <w:rPr>
          <w:rStyle w:val="CommentReference"/>
        </w:rPr>
        <w:commentReference w:id="0"/>
      </w:r>
    </w:p>
    <w:p>
      <w:pPr/>
      <w:r/>
      <w:r>
        <w:rPr>
          <w:b/>
        </w:rPr>
        <w:t>Histórico financeiro: prazo operacional de doze meses.</w:t>
      </w:r>
      <w:r>
        <w:t xml:space="preserve"> Para atendimento de suporte, foi definido conservar o histórico financeiro por doze meses de calendário. Nesta minuta, o marco inicial adotado é o fim do acesso contratado, e não a data de cada lançamento; esse marco é uma premissa operacional explicitada para revisão. Se a data correspondente não existir no ano seguinte, utiliza-se o último dia do mês. A conservação interna não prolonga o acesso da barbearia após os trinta dias.</w:t>
      </w:r>
    </w:p>
    <w:p>
      <w:pPr/>
      <w:r>
        <w:t>Esse prazo não foi validado por advogado e não é apresentado como suficiente para cumprir todas as obrigações legais. Se houver obrigação legal ou disputa que justifique conservação adicional, os dados necessários permanecerão restritos, com justificativa registrada e revisão do prazo. Ao completar doze meses, a fila encaminha o caso para revisão; não executa exclusão automática de histórico financeiro. A tabela de retenção das demais categorias e o procedimento de autorização ainda precisam ser concluídos.</w:t>
      </w:r>
    </w:p>
    <w:p>
      <w:r>
        <w:t xml:space="preserve">A regra operacional aprovada prevê que os dados excluídos da base principal saiam dos backups em </w:t>
      </w:r>
      <w:r>
        <w:rPr>
          <w:b/>
        </w:rPr>
        <w:t>até trinta dias após essa exclusão</w:t>
      </w:r>
      <w:r>
        <w:t>, ressalvada conservação legal necessária. A aplicação desse prazo a todas as cópias ainda depende da configuração e validação da retenção externa. Esse prazo não se confunde com a janela de exportação. Cópias manuais e snapshots dos fornecedores devem ser abrangidos, e restaurações devem respeitar exclusões já registradas. A fila local de revisão não comprova exclusão nem limpeza de snapshots.</w:t>
      </w:r>
    </w:p>
    <w:p>
      <w:r>
        <w:t>Arquivar um cadastro por limite de plano não significa eliminar dados pessoais. O encerramento de um vínculo não deve apagar indevidamente a conta global ou o histórico de outras barbearias. Os direitos individuais não ficam limitados ao prazo comercial de exportação.</w:t>
      </w:r>
    </w:p>
    <w:p>
      <w:pPr>
        <w:pStyle w:val="Heading1"/>
      </w:pPr>
      <w:r>
        <w:rPr>
          <w:color w:val="000000"/>
        </w:rPr>
        <w:t>9 Direitos e solicitações</w:t>
      </w:r>
    </w:p>
    <w:p>
      <w:r>
        <w:t>O titular pode solicitar confirmação e acesso, correção, informações sobre compartilhamento e, quando cabível, eliminação, anonimização, bloqueio ou portabilidade. Também pode revogar consentimentos e exercer oposição e revisão de decisões automatizadas nas hipóteses legais. O canal é o e-mail indicado nesta política.</w:t>
      </w:r>
    </w:p>
    <w:p>
      <w:r>
        <w:t>A identidade poderá ser conferida proporcionalmente para evitar acesso por terceiros. A resposta deverá explicar eventuais limitações legais e a participação necessária da barbearia. O titular também pode recorrer à ANPD e aos órgãos competentes.</w:t>
      </w:r>
    </w:p>
    <w:p>
      <w:pPr>
        <w:pStyle w:val="Heading1"/>
      </w:pPr>
      <w:r>
        <w:rPr>
          <w:color w:val="000000"/>
        </w:rPr>
        <w:t>10 Crianças e adolescentes</w:t>
      </w:r>
    </w:p>
    <w:p>
      <w:r>
        <w:t>O fluxo de idade, agendamento e participação de responsáveis permanece em revisão. A proposta de agendamento a partir de quinze anos não constitui conclusão jurídica nem dispensa automática da atuação de responsável. Esta minuta não autoriza a ativação desse fluxo antes da definição e validação das salvaguardas aplicáveis.</w:t>
      </w:r>
    </w:p>
    <w:p>
      <w:pPr>
        <w:pStyle w:val="Heading1"/>
      </w:pPr>
      <w:r>
        <w:rPr>
          <w:color w:val="000000"/>
        </w:rPr>
        <w:t>11 Segurança e atualizações</w:t>
      </w:r>
    </w:p>
    <w:p>
      <w:r>
        <w:t>Os controles identificados incluem hash de senhas, autenticação por tokens, limitação de tentativas de login e permissões por perfil e unidade. Reduzem riscos, mas não representam garantia de invulnerabilidade. Situações suspeitas podem ser comunicadas pelo canal de privacidade para avaliação e providências pertinentes.</w:t>
      </w:r>
    </w:p>
    <w:p>
      <w:r>
        <w:t>Alterações relevantes serão comunicadas de forma acessível. A versão publicada deverá indicar sua vigência e preservar o registro das versões anteriores. Novas finalidades que dependam de consentimento exigirão escolha apropriada, sem presumir autorização retroativa.</w:t>
      </w:r>
    </w:p>
    <w:p>
      <w:pPr>
        <w:pStyle w:val="Heading1"/>
        <w:pageBreakBefore/>
      </w:pPr>
      <w:r>
        <w:rPr>
          <w:color w:val="000000"/>
        </w:rPr>
        <w:t>Anexo de verificação antes da publicação</w:t>
      </w:r>
    </w:p>
    <w:p>
      <w:r>
        <w:t>Este anexo acompanha a minuta para revisão e não constitui uma política pública já aprovada.</w:t>
      </w:r>
    </w:p>
    <w:p>
      <w:pPr>
        <w:pStyle w:val="ListBullet"/>
      </w:pPr>
      <w:r>
        <w:t>Concluir as regras de menores e responsáveis, considerando LGPD e ECA Digital.</w:t>
      </w:r>
    </w:p>
    <w:p>
      <w:pPr>
        <w:pStyle w:val="ListBullet"/>
      </w:pPr>
      <w:r>
        <w:t>Confirmar região, contratos e retenção do Supabase e Resend, função do segundo banco e instrumentos de transferência internacional.</w:t>
      </w:r>
    </w:p>
    <w:p>
      <w:pPr>
        <w:pStyle w:val="ListBullet"/>
      </w:pPr>
      <w:r>
        <w:t>Definir prazos legais por categoria e abranger banco principal, espelho, snapshots, arquivos e demais cópias.</w:t>
      </w:r>
    </w:p>
    <w:p>
      <w:pPr>
        <w:pStyle w:val="ListBullet"/>
      </w:pPr>
      <w:r>
        <w:t>Preparar a migração operacional com revisão de drift, backup, rollback, monitoramento e janela autorizada. Migrações, cópia e restauração já foram validadas em PostgreSQL local descartável; as telas de assinatura já foram inspecionadas.</w:t>
      </w:r>
    </w:p>
    <w:p>
      <w:pPr>
        <w:pStyle w:val="ListBullet"/>
      </w:pPr>
      <w:r>
        <w:t>Conferir finalidade, hipótese legal, campos e permissões efetivas de cada fluxo em produção.</w:t>
      </w:r>
    </w:p>
    <w:p>
      <w:pPr>
        <w:pStyle w:val="ListBullet"/>
      </w:pPr>
      <w:r>
        <w:t>Definir o procedimento de atendimento de direitos e de resposta a incidentes, com responsáveis operacionais.</w:t>
      </w:r>
    </w:p>
    <w:p>
      <w:pPr>
        <w:pStyle w:val="ListBullet"/>
      </w:pPr>
      <w:r>
        <w:t>Antes de ativar campanhas, implementar envio que respeite as preferências. Antes de habilitar Asaas, homologar o Sandbox real e detalhar os dados transmitidos. Loja virtual permanece futura e exigirá atualização própria.</w:t>
      </w:r>
    </w:p>
    <w:p>
      <w:r/>
      <w:r>
        <w:rPr>
          <w:b/>
        </w:rPr>
        <w:t>Estado técnico informado pelo executor.</w:t>
      </w:r>
      <w:r>
        <w:t xml:space="preserve"> Testes do backend e frontend, builds, validação Prisma e exportação com dez mil linhas foram aprovados. As migrações foram aplicadas somente em PostgreSQL local descartável, sem drift e com preservação dos registros financeiros e de comissão; cópia e restauração também foram validadas nesse ambiente. Não houve aplicação de schema em produção, publicação nem cobrança real no Asaas. A exclusão física continua desativada. A implementação local registra uma fila idempotente de revisão por assinatura após a janela de trinta dias, incluindo o prazo operacional financeiro de doze meses; não registra uma exclusão principal fictícia nem autoriza limpeza de snapshots. As telas de demonstração e a área autenticada de assinatura foram inspecionadas visualmente. Atualizações compatíveis reduziram a auditoria de dependências de vinte e cinco alertas para três, todos ligados à ferramenta de desenvolvimento do Prisma; a correção restante exige uma versão principal incompatível e deverá ser acompanhada separadamente.</w:t>
      </w:r>
    </w:p>
    <w:p>
      <w:r/>
      <w:r>
        <w:rPr>
          <w:b/>
        </w:rPr>
        <w:t>Backups observados.</w:t>
      </w:r>
      <w:r>
        <w:t xml:space="preserve"> Os dois bancos consultados no Railway estavam sem recuperação contínua e sem agendamento de snapshots. Há cópias manuais antigas. Sua idade não comprova descumprimento de um prazo contado da exclusão, mas elas precisam integrar o procedimento de retenção. A rotina de cópia encontrada no código é distinta dos snapshots do Railway.</w:t>
      </w:r>
    </w:p>
    <w:p>
      <w:r/>
      <w:r>
        <w:rPr>
          <w:b/>
        </w:rPr>
        <w:t>Referências:</w:t>
      </w:r>
      <w:r>
        <w:t xml:space="preserve"> </w:t>
      </w:r>
      <w:hyperlink r:id="rId9">
        <w:r>
          <w:rPr>
            <w:color w:val="174A70"/>
          </w:rPr>
          <w:t>LGPD</w:t>
        </w:r>
      </w:hyperlink>
      <w:r>
        <w:t xml:space="preserve">, </w:t>
      </w:r>
      <w:hyperlink r:id="rId10">
        <w:r>
          <w:rPr>
            <w:color w:val="174A70"/>
          </w:rPr>
          <w:t>ECA Digital</w:t>
        </w:r>
      </w:hyperlink>
      <w:r>
        <w:t xml:space="preserve">, </w:t>
      </w:r>
      <w:hyperlink r:id="rId11">
        <w:r>
          <w:rPr>
            <w:color w:val="174A70"/>
          </w:rPr>
          <w:t>regiões do Supabase</w:t>
        </w:r>
      </w:hyperlink>
      <w:r>
        <w:t xml:space="preserve">, </w:t>
      </w:r>
      <w:hyperlink r:id="rId12">
        <w:r>
          <w:rPr>
            <w:color w:val="174A70"/>
          </w:rPr>
          <w:t>acordo de tratamento do Railway</w:t>
        </w:r>
      </w:hyperlink>
      <w:r>
        <w:t xml:space="preserve"> e </w:t>
      </w:r>
      <w:hyperlink r:id="rId13">
        <w:r>
          <w:rPr>
            <w:color w:val="174A70"/>
          </w:rPr>
          <w:t>acordo de tratamento do Resend</w:t>
        </w:r>
      </w:hyperlink>
      <w:r>
        <w:t>. Esta minuta não certifica conformidade jurídica ou disponibilidade em produção.</w:t>
      </w:r>
    </w:p>
    <w:sectPr w:rsidR="00FC693F" w:rsidRPr="0006063C" w:rsidSect="00034616">
      <w:footerReference w:type="default" r:id="rId14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local" w:initials="RL" w:date="2026-09-15T13:29:10Z">
    <w:p>
      <w:pPr>
        <w:pStyle w:val="CommentText"/>
      </w:pPr>
      <w:r>
        <w:rPr>
          <w:rStyle w:val="CommentReference"/>
        </w:rPr>
        <w:annotationRef/>
      </w:r>
      <w:r>
        <w:t>Atualização conforme a decisão operacional registrada; a fila revisa conservação e não apaga dados.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Minuta para revisão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lanalto.gov.br/ccivil_03/_ato2015-2018/2018/lei/l13709compilado.htm" TargetMode="External"/><Relationship Id="rId10" Type="http://schemas.openxmlformats.org/officeDocument/2006/relationships/hyperlink" Target="https://www.planalto.gov.br/ccivil_03/_ato2023-2026/2025/lei/l15211.htm" TargetMode="External"/><Relationship Id="rId11" Type="http://schemas.openxmlformats.org/officeDocument/2006/relationships/hyperlink" Target="https://supabase.com/docs/guides/platform/regions" TargetMode="External"/><Relationship Id="rId12" Type="http://schemas.openxmlformats.org/officeDocument/2006/relationships/hyperlink" Target="https://railway.com/legal/dpa" TargetMode="External"/><Relationship Id="rId13" Type="http://schemas.openxmlformats.org/officeDocument/2006/relationships/hyperlink" Target="https://resend.com/legal/dpa" TargetMode="External"/><Relationship Id="rId14" Type="http://schemas.openxmlformats.org/officeDocument/2006/relationships/footer" Target="footer1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Privacidade do Valen Barber</dc:title>
  <dc:subject/>
  <dc:creator>Wellinton Pereira Alves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