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Termos de Uso do Valen Barber</w:t>
      </w:r>
    </w:p>
    <w:p>
      <w:r>
        <w:rPr>
          <w:b/>
        </w:rPr>
        <w:t>Minuta de trabalho iniciada em 14 de setembro de 2026 e atualizada em 15 de setembro de 2026 — não publicada.</w:t>
      </w:r>
    </w:p>
    <w:p>
      <w:r>
        <w:t>Este texto consolida as decisões comerciais da conversa. As cláusulas gerais são propostas de redação. A oferta, os fluxos do sistema e as pendências indicadas ao final devem ser conferidos antes de estabelecer uma data de vigência. Este arquivo não certifica implementação técnica nem revisão jurídica.</w:t>
      </w:r>
    </w:p>
    <w:p>
      <w:pPr>
        <w:pStyle w:val="Heading1"/>
      </w:pPr>
      <w:r>
        <w:rPr>
          <w:color w:val="000000"/>
        </w:rPr>
        <w:t>1  Responsável e alcance</w:t>
      </w:r>
    </w:p>
    <w:p>
      <w:r>
        <w:t xml:space="preserve">O Valen Barber é um sistema de gestão de barbearias oferecido por </w:t>
      </w:r>
      <w:r>
        <w:rPr>
          <w:b/>
        </w:rPr>
        <w:t>Wellinton Pereira Alves</w:t>
      </w:r>
      <w:r>
        <w:t xml:space="preserve">, pessoa física, com contato pelo e-mail </w:t>
      </w:r>
      <w:r>
        <w:rPr>
          <w:b/>
        </w:rPr>
        <w:t>wellintonalves1910@gmail.com</w:t>
      </w:r>
      <w:r>
        <w:t>.</w:t>
      </w:r>
    </w:p>
    <w:p>
      <w:r>
        <w:rPr>
          <w:b/>
        </w:rPr>
        <w:t>Endereço:</w:t>
      </w:r>
      <w:r>
        <w:t xml:space="preserve"> Av. Moaçara, 2070, bairro Diamantino, Santarém, PA, CEP 68025-740.</w:t>
      </w:r>
    </w:p>
    <w:p>
      <w:r>
        <w:rPr>
          <w:b/>
        </w:rPr>
        <w:t>CPF do fornecedor:</w:t>
      </w:r>
      <w:r>
        <w:t xml:space="preserve"> 067.700.012-09.</w:t>
      </w:r>
    </w:p>
    <w:p>
      <w:r>
        <w:t>Estes termos regulam a contratação da assinatura pela barbearia e o uso por seus administradores e profissionais autorizados. O contratante deve ter capacidade para contratar e autorização para representar o estabelecimento. O acesso dos clientes finais, inclusive menores de idade, terá condições específicas a definir; este documento não resolve esse fluxo.</w:t>
      </w:r>
    </w:p>
    <w:p>
      <w:r>
        <w:rPr>
          <w:b/>
        </w:rPr>
        <w:t>Proposta em revisão para clientes finais:</w:t>
      </w:r>
      <w:r>
        <w:t xml:space="preserve"> permitir que o cliente agende a partir de quinze anos e exigir autorização de responsável abaixo dessa idade. A proposta foi apresentada pelo responsável pelo produto e ainda depende de avaliação jurídica e definição do mecanismo de idade e atuação do responsável. A data de nascimento informada no cadastro, isoladamente, não comprova identidade nem registra essa autorização. Esta nota não libera o fluxo de menores para publicação.</w:t>
      </w:r>
    </w:p>
    <w:p>
      <w:r>
        <w:t>A futura constituição de pessoa jurídica será acompanhada da atualização da identificação do fornecedor e da comunicação pertinente aos contratantes, observadas as regras aplicáveis à eventual transferência dos contratos e dos dados.</w:t>
      </w:r>
    </w:p>
    <w:p>
      <w:pPr>
        <w:pStyle w:val="Heading1"/>
      </w:pPr>
      <w:r>
        <w:rPr>
          <w:color w:val="000000"/>
        </w:rPr>
        <w:t>2  Serviço e planos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09"/>
        <w:gridCol w:w="2551"/>
        <w:gridCol w:w="2551"/>
      </w:tblGrid>
      <w:tr>
        <w:trPr>
          <w:cantSplit/>
          <w:tblHeader/>
        </w:trPr>
        <w:tc>
          <w:tcPr>
            <w:tcW w:type="dxa" w:w="4309"/>
            <w:vAlign w:val="center"/>
            <w:tcMar>
              <w:top w:w="95" w:type="dxa"/>
              <w:left w:w="95" w:type="dxa"/>
              <w:bottom w:w="95" w:type="dxa"/>
              <w:right w:w="95" w:type="dxa"/>
            </w:tcMar>
            <w:shd w:fill="E8EDF2"/>
          </w:tcPr>
          <w:p>
            <w:pPr>
              <w:spacing w:after="40" w:before="40"/>
              <w:jc w:val="left"/>
            </w:pPr>
            <w:r>
              <w:rPr>
                <w:b/>
                <w:sz w:val="20"/>
              </w:rPr>
              <w:t>Condição</w:t>
            </w:r>
          </w:p>
        </w:tc>
        <w:tc>
          <w:tcPr>
            <w:tcW w:type="dxa" w:w="2551"/>
            <w:vAlign w:val="center"/>
            <w:tcMar>
              <w:top w:w="95" w:type="dxa"/>
              <w:left w:w="95" w:type="dxa"/>
              <w:bottom w:w="95" w:type="dxa"/>
              <w:right w:w="95" w:type="dxa"/>
            </w:tcMar>
            <w:shd w:fill="E8EDF2"/>
          </w:tcPr>
          <w:p>
            <w:pPr>
              <w:spacing w:after="40" w:before="40"/>
              <w:jc w:val="center"/>
            </w:pPr>
            <w:r>
              <w:rPr>
                <w:b/>
                <w:sz w:val="20"/>
              </w:rPr>
              <w:t>Básico</w:t>
            </w:r>
          </w:p>
        </w:tc>
        <w:tc>
          <w:tcPr>
            <w:tcW w:type="dxa" w:w="2551"/>
            <w:vAlign w:val="center"/>
            <w:tcMar>
              <w:top w:w="95" w:type="dxa"/>
              <w:left w:w="95" w:type="dxa"/>
              <w:bottom w:w="95" w:type="dxa"/>
              <w:right w:w="95" w:type="dxa"/>
            </w:tcMar>
            <w:shd w:fill="E8EDF2"/>
          </w:tcPr>
          <w:p>
            <w:pPr>
              <w:spacing w:after="40" w:before="40"/>
              <w:jc w:val="center"/>
            </w:pPr>
            <w:r>
              <w:rPr>
                <w:b/>
                <w:sz w:val="20"/>
              </w:rPr>
              <w:t>Pró</w:t>
            </w:r>
          </w:p>
        </w:tc>
      </w:tr>
      <w:tr>
        <w:trPr>
          <w:cantSplit/>
        </w:trPr>
        <w:tc>
          <w:tcPr>
            <w:tcW w:type="dxa" w:w="4309"/>
            <w:vAlign w:val="center"/>
            <w:tcMar>
              <w:top w:w="95" w:type="dxa"/>
              <w:left w:w="95" w:type="dxa"/>
              <w:bottom w:w="95" w:type="dxa"/>
              <w:right w:w="95" w:type="dxa"/>
            </w:tcMar>
          </w:tcPr>
          <w:p>
            <w:pPr>
              <w:spacing w:after="40" w:before="40"/>
              <w:jc w:val="left"/>
            </w:pPr>
            <w:r>
              <w:rPr>
                <w:b w:val="0"/>
                <w:sz w:val="20"/>
              </w:rPr>
              <w:t>Mensalidade</w:t>
            </w:r>
          </w:p>
        </w:tc>
        <w:tc>
          <w:tcPr>
            <w:tcW w:type="dxa" w:w="2551"/>
            <w:vAlign w:val="center"/>
            <w:tcMar>
              <w:top w:w="95" w:type="dxa"/>
              <w:left w:w="95" w:type="dxa"/>
              <w:bottom w:w="95" w:type="dxa"/>
              <w:right w:w="95" w:type="dxa"/>
            </w:tcMar>
          </w:tcPr>
          <w:p>
            <w:pPr>
              <w:spacing w:after="40" w:before="40"/>
              <w:jc w:val="center"/>
            </w:pPr>
            <w:r>
              <w:rPr>
                <w:b w:val="0"/>
                <w:sz w:val="20"/>
              </w:rPr>
              <w:t>R$ 39,99</w:t>
            </w:r>
          </w:p>
        </w:tc>
        <w:tc>
          <w:tcPr>
            <w:tcW w:type="dxa" w:w="2551"/>
            <w:vAlign w:val="center"/>
            <w:tcMar>
              <w:top w:w="95" w:type="dxa"/>
              <w:left w:w="95" w:type="dxa"/>
              <w:bottom w:w="95" w:type="dxa"/>
              <w:right w:w="95" w:type="dxa"/>
            </w:tcMar>
          </w:tcPr>
          <w:p>
            <w:pPr>
              <w:spacing w:after="40" w:before="40"/>
              <w:jc w:val="center"/>
            </w:pPr>
            <w:r>
              <w:rPr>
                <w:b w:val="0"/>
                <w:sz w:val="20"/>
              </w:rPr>
              <w:t>R$ 69,99</w:t>
            </w:r>
          </w:p>
        </w:tc>
      </w:tr>
      <w:tr>
        <w:trPr>
          <w:cantSplit/>
        </w:trPr>
        <w:tc>
          <w:tcPr>
            <w:tcW w:type="dxa" w:w="4309"/>
            <w:vAlign w:val="center"/>
            <w:tcMar>
              <w:top w:w="95" w:type="dxa"/>
              <w:left w:w="95" w:type="dxa"/>
              <w:bottom w:w="95" w:type="dxa"/>
              <w:right w:w="95" w:type="dxa"/>
            </w:tcMar>
          </w:tcPr>
          <w:p>
            <w:pPr>
              <w:spacing w:after="40" w:before="40"/>
              <w:jc w:val="left"/>
            </w:pPr>
            <w:r>
              <w:rPr>
                <w:b w:val="0"/>
                <w:sz w:val="20"/>
              </w:rPr>
              <w:t>Assinatura anual, pagamento único</w:t>
            </w:r>
          </w:p>
        </w:tc>
        <w:tc>
          <w:tcPr>
            <w:tcW w:type="dxa" w:w="2551"/>
            <w:vAlign w:val="center"/>
            <w:tcMar>
              <w:top w:w="95" w:type="dxa"/>
              <w:left w:w="95" w:type="dxa"/>
              <w:bottom w:w="95" w:type="dxa"/>
              <w:right w:w="95" w:type="dxa"/>
            </w:tcMar>
          </w:tcPr>
          <w:p>
            <w:pPr>
              <w:spacing w:after="40" w:before="40"/>
              <w:jc w:val="center"/>
            </w:pPr>
            <w:r>
              <w:rPr>
                <w:b w:val="0"/>
                <w:sz w:val="20"/>
              </w:rPr>
              <w:t>R$ 399,90</w:t>
            </w:r>
          </w:p>
        </w:tc>
        <w:tc>
          <w:tcPr>
            <w:tcW w:type="dxa" w:w="2551"/>
            <w:vAlign w:val="center"/>
            <w:tcMar>
              <w:top w:w="95" w:type="dxa"/>
              <w:left w:w="95" w:type="dxa"/>
              <w:bottom w:w="95" w:type="dxa"/>
              <w:right w:w="95" w:type="dxa"/>
            </w:tcMar>
          </w:tcPr>
          <w:p>
            <w:pPr>
              <w:spacing w:after="40" w:before="40"/>
              <w:jc w:val="center"/>
            </w:pPr>
            <w:r>
              <w:rPr>
                <w:b w:val="0"/>
                <w:sz w:val="20"/>
              </w:rPr>
              <w:t>R$ 699,90</w:t>
            </w:r>
          </w:p>
        </w:tc>
      </w:tr>
      <w:tr>
        <w:trPr>
          <w:cantSplit/>
        </w:trPr>
        <w:tc>
          <w:tcPr>
            <w:tcW w:type="dxa" w:w="4309"/>
            <w:vAlign w:val="center"/>
            <w:tcMar>
              <w:top w:w="95" w:type="dxa"/>
              <w:left w:w="95" w:type="dxa"/>
              <w:bottom w:w="95" w:type="dxa"/>
              <w:right w:w="95" w:type="dxa"/>
            </w:tcMar>
          </w:tcPr>
          <w:p>
            <w:pPr>
              <w:spacing w:after="40" w:before="40"/>
              <w:jc w:val="left"/>
            </w:pPr>
            <w:r>
              <w:rPr>
                <w:b w:val="0"/>
                <w:sz w:val="20"/>
              </w:rPr>
              <w:t>Barbeiros ativos por barbearia</w:t>
            </w:r>
          </w:p>
        </w:tc>
        <w:tc>
          <w:tcPr>
            <w:tcW w:type="dxa" w:w="2551"/>
            <w:vAlign w:val="center"/>
            <w:tcMar>
              <w:top w:w="95" w:type="dxa"/>
              <w:left w:w="95" w:type="dxa"/>
              <w:bottom w:w="95" w:type="dxa"/>
              <w:right w:w="95" w:type="dxa"/>
            </w:tcMar>
          </w:tcPr>
          <w:p>
            <w:pPr>
              <w:spacing w:after="40" w:before="40"/>
              <w:jc w:val="center"/>
            </w:pPr>
            <w:r>
              <w:rPr>
                <w:b w:val="0"/>
                <w:sz w:val="20"/>
              </w:rPr>
              <w:t>Até 8</w:t>
            </w:r>
          </w:p>
        </w:tc>
        <w:tc>
          <w:tcPr>
            <w:tcW w:type="dxa" w:w="2551"/>
            <w:vAlign w:val="center"/>
            <w:tcMar>
              <w:top w:w="95" w:type="dxa"/>
              <w:left w:w="95" w:type="dxa"/>
              <w:bottom w:w="95" w:type="dxa"/>
              <w:right w:w="95" w:type="dxa"/>
            </w:tcMar>
          </w:tcPr>
          <w:p>
            <w:pPr>
              <w:spacing w:after="40" w:before="40"/>
              <w:jc w:val="center"/>
            </w:pPr>
            <w:r>
              <w:rPr>
                <w:b w:val="0"/>
                <w:sz w:val="20"/>
              </w:rPr>
              <w:t>Sem limite numérico de cadastros</w:t>
            </w:r>
          </w:p>
        </w:tc>
      </w:tr>
      <w:tr>
        <w:trPr>
          <w:cantSplit/>
        </w:trPr>
        <w:tc>
          <w:tcPr>
            <w:tcW w:type="dxa" w:w="4309"/>
            <w:vAlign w:val="center"/>
            <w:tcMar>
              <w:top w:w="95" w:type="dxa"/>
              <w:left w:w="95" w:type="dxa"/>
              <w:bottom w:w="95" w:type="dxa"/>
              <w:right w:w="95" w:type="dxa"/>
            </w:tcMar>
          </w:tcPr>
          <w:p>
            <w:pPr>
              <w:spacing w:after="40" w:before="40"/>
              <w:jc w:val="left"/>
            </w:pPr>
            <w:r>
              <w:rPr>
                <w:b w:val="0"/>
                <w:sz w:val="20"/>
              </w:rPr>
              <w:t>Clientes ativos por barbearia</w:t>
            </w:r>
          </w:p>
        </w:tc>
        <w:tc>
          <w:tcPr>
            <w:tcW w:type="dxa" w:w="2551"/>
            <w:vAlign w:val="center"/>
            <w:tcMar>
              <w:top w:w="95" w:type="dxa"/>
              <w:left w:w="95" w:type="dxa"/>
              <w:bottom w:w="95" w:type="dxa"/>
              <w:right w:w="95" w:type="dxa"/>
            </w:tcMar>
          </w:tcPr>
          <w:p>
            <w:pPr>
              <w:spacing w:after="40" w:before="40"/>
              <w:jc w:val="center"/>
            </w:pPr>
            <w:r>
              <w:rPr>
                <w:b w:val="0"/>
                <w:sz w:val="20"/>
              </w:rPr>
              <w:t>Até 200</w:t>
            </w:r>
          </w:p>
        </w:tc>
        <w:tc>
          <w:tcPr>
            <w:tcW w:type="dxa" w:w="2551"/>
            <w:vAlign w:val="center"/>
            <w:tcMar>
              <w:top w:w="95" w:type="dxa"/>
              <w:left w:w="95" w:type="dxa"/>
              <w:bottom w:w="95" w:type="dxa"/>
              <w:right w:w="95" w:type="dxa"/>
            </w:tcMar>
          </w:tcPr>
          <w:p>
            <w:pPr>
              <w:spacing w:after="40" w:before="40"/>
              <w:jc w:val="center"/>
            </w:pPr>
            <w:r>
              <w:rPr>
                <w:b w:val="0"/>
                <w:sz w:val="20"/>
              </w:rPr>
              <w:t>Sem limite numérico de cadastros</w:t>
            </w:r>
          </w:p>
        </w:tc>
      </w:tr>
      <w:tr>
        <w:trPr>
          <w:cantSplit/>
        </w:trPr>
        <w:tc>
          <w:tcPr>
            <w:tcW w:type="dxa" w:w="4309"/>
            <w:vAlign w:val="center"/>
            <w:tcMar>
              <w:top w:w="95" w:type="dxa"/>
              <w:left w:w="95" w:type="dxa"/>
              <w:bottom w:w="95" w:type="dxa"/>
              <w:right w:w="95" w:type="dxa"/>
            </w:tcMar>
          </w:tcPr>
          <w:p>
            <w:pPr>
              <w:spacing w:after="40" w:before="40"/>
              <w:jc w:val="left"/>
            </w:pPr>
            <w:r>
              <w:rPr>
                <w:b w:val="0"/>
                <w:sz w:val="20"/>
              </w:rPr>
              <w:t>Loja virtual</w:t>
            </w:r>
          </w:p>
        </w:tc>
        <w:tc>
          <w:tcPr>
            <w:tcW w:type="dxa" w:w="2551"/>
            <w:vAlign w:val="center"/>
            <w:tcMar>
              <w:top w:w="95" w:type="dxa"/>
              <w:left w:w="95" w:type="dxa"/>
              <w:bottom w:w="95" w:type="dxa"/>
              <w:right w:w="95" w:type="dxa"/>
            </w:tcMar>
          </w:tcPr>
          <w:p>
            <w:pPr>
              <w:spacing w:after="40" w:before="40"/>
              <w:jc w:val="center"/>
            </w:pPr>
            <w:r>
              <w:rPr>
                <w:b w:val="0"/>
                <w:sz w:val="20"/>
              </w:rPr>
              <w:t>Não incluída</w:t>
            </w:r>
          </w:p>
        </w:tc>
        <w:tc>
          <w:tcPr>
            <w:tcW w:type="dxa" w:w="2551"/>
            <w:vAlign w:val="center"/>
            <w:tcMar>
              <w:top w:w="95" w:type="dxa"/>
              <w:left w:w="95" w:type="dxa"/>
              <w:bottom w:w="95" w:type="dxa"/>
              <w:right w:w="95" w:type="dxa"/>
            </w:tcMar>
          </w:tcPr>
          <w:p>
            <w:pPr>
              <w:spacing w:after="40" w:before="40"/>
              <w:jc w:val="center"/>
            </w:pPr>
            <w:r>
              <w:rPr>
                <w:b w:val="0"/>
                <w:sz w:val="20"/>
              </w:rPr>
              <w:t>Recurso futuro, sujeito à disponibilização</w:t>
            </w:r>
          </w:p>
        </w:tc>
      </w:tr>
    </w:tbl>
    <w:p>
      <w:pPr>
        <w:spacing w:after="0"/>
      </w:pPr>
    </w:p>
    <w:p>
      <w:r>
        <w:t>O sistema oferece agendamentos, gestão da agenda e da disponibilidade dos barbeiros, cadastro de barbeiros, serviços e produtos, lançamentos automáticos relacionados à operação, lançamentos manuais e controle de estoque e de vendas presenciais. Os lançamentos automáticos aqui mencionados são registros da operação da barbearia, e não uma afirmação de que a cobrança recorrente de assinaturas já esteja implementada.</w:t>
      </w:r>
    </w:p>
    <w:p>
      <w:r>
        <w:t>Esses recursos atuais foram confirmados pelo responsável em 14 de setembro de 2026. O histórico do projeto também descreve clientes, financeiro, comissões e fidelidade. A relação final de funcionalidades por plano deve ser apresentada antes da contratação. Recursos anunciados como futuros não são considerados disponíveis nem têm entrega garantida por esta minuta. A venda de produtos pela internet ainda não está disponível.</w:t>
      </w:r>
    </w:p>
    <w:p>
      <w:r>
        <w:t>O anual dá direito a doze meses de acesso pelo equivalente a dez mensalidades. Trata-se de pagamento integral, e não de dez parcelas. A renovação ocorre anualmente, salvo cancelamento ou alteração válida antes da renovação.</w:t>
      </w:r>
    </w:p>
    <w:p>
      <w:r>
        <w:t>A oferta efetiva deve identificar a barbearia coberta, o plano, os recursos disponíveis, a periodicidade, o total cobrado e a data da próxima cobrança. A ausência de limite numérico no Pró se refere aos cadastros de barbeiros e clientes; não constitui promessa de capacidade técnica infinita nem autoriza limites comerciais ocultos.</w:t>
      </w:r>
    </w:p>
    <w:p>
      <w:r>
        <w:rPr>
          <w:b/>
        </w:rPr>
        <w:t>Disponibilidade do Pró:</w:t>
      </w:r>
      <w:r>
        <w:t xml:space="preserve"> a contratação e a apresentação comercial deste plano dependem da definição e disponibilização dos seus diferenciais. Sua presença nesta minuta não significa que já esteja à venda.</w:t>
      </w:r>
    </w:p>
    <w:p>
      <w:pPr>
        <w:pStyle w:val="Heading1"/>
      </w:pPr>
      <w:r>
        <w:rPr>
          <w:color w:val="000000"/>
        </w:rPr>
        <w:t>3  Limites e aviso antecipado</w:t>
      </w:r>
    </w:p>
    <w:p>
      <w:pPr/>
      <w:commentRangeStart w:id="0"/>
      <w:r/>
      <w:r>
        <w:rPr>
          <w:b/>
        </w:rPr>
        <w:t>Transição das barbearias existentes.</w:t>
      </w:r>
      <w:r>
        <w:t xml:space="preserve"> As barbearias que utilizavam gratuitamente o sistema antes da implantação dos planos terão cinco dias corridos após a apresentação do aviso ao administrador para contratar um plano. O aviso mostrará a data final, os preços e o caminho para a contratação. O prazo não começa enquanto a contratação estiver indisponível. Não haverá cobrança automática por silêncio ou por ausência de escolha. Sem contratação ao final, novos lançamentos e demais operações ficam bloqueados, preservando trinta dias para consulta e exportação. Essa transição é distinta do teste gratuito de sete dias para novas barbearias. A implantação desta regra depende da comunicação da oferta e da conferência das condições previamente aplicáveis a cada conta.</w:t>
      </w:r>
      <w:commentRangeEnd w:id="0"/>
      <w:r>
        <w:rPr>
          <w:rStyle w:val="CommentReference"/>
        </w:rPr>
        <w:commentReference w:id="0"/>
      </w:r>
    </w:p>
    <w:p>
      <w:pPr/>
      <w:commentRangeStart w:id="1"/>
      <w:r/>
      <w:r>
        <w:rPr>
          <w:b/>
        </w:rPr>
        <w:t>Registro do aceite.</w:t>
      </w:r>
      <w:r>
        <w:t xml:space="preserve"> Novas contas confirmam os Termos de Uso e a ciência da Política de Privacidade antes da criação. O sistema registra a versão de cada documento, a data e a origem da confirmação. Contas anteriores à exigência são tratadas como legadas, sem atribuir a elas uma confirmação que não foi realizada. A contratação de uma assinatura exige confirmação específica da oferta, inclusive por administradores de contas legadas. A ciência da política não autoriza campanhas promocionais; essas escolhas são separadas.</w:t>
      </w:r>
      <w:commentRangeEnd w:id="1"/>
      <w:r>
        <w:rPr>
          <w:rStyle w:val="CommentReference"/>
        </w:rPr>
        <w:commentReference w:id="1"/>
      </w:r>
    </w:p>
    <w:p>
      <w:r>
        <w:t>No Básico, o administrador será avisado quando a barbearia atingir 180 clientes ativos, restando 20 vagas até o limite. Ao atingir 200 clientes ativos ou 8 barbeiros ativos, novas inclusões da respectiva categoria serão bloqueadas. Os cadastros existentes continuarão disponíveis, observadas as demais condições da assinatura.</w:t>
      </w:r>
    </w:p>
    <w:p>
      <w:r>
        <w:t>A mudança de plano será oferecida como opção. Atingir o limite não autoriza alteração de plano ou cobrança adicional sem concordância do contratante.</w:t>
      </w:r>
    </w:p>
    <w:p>
      <w:r>
        <w:t>Somente cadastros ativos entram na contagem dos limites. Cadastros inativos ou arquivados ficam fora da contagem, com preservação do histórico. A reativação depende de vaga disponível na respectiva categoria e volta a contar para o limite. O arquivamento não implica exclusão automática do histórico.</w:t>
      </w:r>
    </w:p>
    <w:p>
      <w:pPr>
        <w:pStyle w:val="Heading1"/>
      </w:pPr>
      <w:r>
        <w:rPr>
          <w:color w:val="000000"/>
        </w:rPr>
        <w:t>4  Teste gratuito e cobrança</w:t>
      </w:r>
    </w:p>
    <w:p>
      <w:r>
        <w:t>Novas barbearias terão sete dias gratuitos, com cadastro de forma de pagamento desde o início. Antes da confirmação, serão informados o início e o fim do teste, o plano selecionado, o valor da primeira cobrança e a periodicidade escolhida.</w:t>
      </w:r>
    </w:p>
    <w:p>
      <w:r>
        <w:t>Se o contratante não cancelar antes do fim do teste, a assinatura passará a ser paga, com cobrança automática do plano selecionado. No anual, será cobrado o valor integral do ano. As cobranças seguintes serão mensais ou anuais, conforme a contratação.</w:t>
      </w:r>
    </w:p>
    <w:p>
      <w:r>
        <w:t>O teste gratuito é um benefício comercial e não substitui nem afasta direitos legais de arrependimento eventualmente aplicáveis.</w:t>
      </w:r>
    </w:p>
    <w:p>
      <w:r>
        <w:t>Operação pendente: homologar no Sandbox real o fluxo de cartão recorrente, a primeira cobrança e a conciliação. Calendário em America/Sao_Paulo, ajuste proporcional e processamento de eventos já foram implementados e testados localmente. Isso não comprova habilitação da conta do fornecedor, cobrança externa ou prontidão de produção.</w:t>
      </w:r>
    </w:p>
    <w:p>
      <w:pPr>
        <w:pStyle w:val="Heading1"/>
      </w:pPr>
      <w:r>
        <w:rPr>
          <w:color w:val="000000"/>
        </w:rPr>
        <w:t>5  Mudança de plano</w:t>
      </w:r>
    </w:p>
    <w:p>
      <w:pPr>
        <w:pStyle w:val="Heading2"/>
      </w:pPr>
      <w:r>
        <w:rPr>
          <w:color w:val="000000"/>
        </w:rPr>
        <w:t>5 1 Do Básico para o Pró</w:t>
      </w:r>
    </w:p>
    <w:p>
      <w:r>
        <w:t>Mantida a periodicidade, a mudança preservará a data de vencimento. Será cobrada apenas a diferença entre os valores dos planos proporcionalmente ao tempo restante do ciclo já pago. No anual, serão usados os valores anuais, considerando os descontos contratados.</w:t>
      </w:r>
    </w:p>
    <w:p>
      <w:r>
        <w:t>O valor adicional será apresentado antes da confirmação. O Pró será liberado após a confirmação do pagamento. Na próxima renovação, será cobrado o valor integral do Pró correspondente à periodicidade escolhida, ressalvados reajustes previamente comunicados.</w:t>
      </w:r>
    </w:p>
    <w:p>
      <w:r>
        <w:t>Para um ciclo pago, a regra comercial é: diferença de preço entre os planos multiplicada pela fração do ciclo ainda não utilizada. A precisão temporal, o arredondamento e a prévia devem ser consistentes com a cobrança efetiva. Não se concede crédito como se uma fatura não paga já tivesse sido quitada.</w:t>
      </w:r>
    </w:p>
    <w:p>
      <w:pPr>
        <w:pStyle w:val="Heading2"/>
      </w:pPr>
      <w:r>
        <w:rPr>
          <w:color w:val="000000"/>
        </w:rPr>
        <w:t>5 2 Do Pró para o Básico</w:t>
      </w:r>
    </w:p>
    <w:p>
      <w:r>
        <w:t>A redução produzirá efeito na próxima renovação, preservando os benefícios do Pró até o fim do período pago. Antes da redução, o administrador deverá arquivar cadastros excedentes aos limites do Básico, preservando o histórico. Não haverá exclusão automática de cadastros para enquadramento no plano.</w:t>
      </w:r>
    </w:p>
    <w:p>
      <w:r>
        <w:t>Se o administrador solicitar a redução, mas não ajustar os cadastros ativos aos limites do Básico até a próxima renovação, será avisado de que a renovação será encerrada, sem cobrança de um novo período do Pró. Ao fim do período já pago, serão disponibilizados trinta dias para consulta e exportação, conforme a seção de encerramento e dados. A exigência de ajuste e a consequência de não realizá-lo serão informadas ao solicitar a redução.</w:t>
      </w:r>
    </w:p>
    <w:p>
      <w:r>
        <w:t>As condições futuras da loja virtual deverão definir também o tratamento da loja e de pedidos pendentes em caso de redução de plano.</w:t>
      </w:r>
    </w:p>
    <w:p>
      <w:r>
        <w:t>Mudanças entre pagamento mensal e anual produzirão efeito apenas na próxima renovação, preservando o período já pago. O novo valor total, a periodicidade e a data de início serão apresentados antes da confirmação pelo contratante. No caso de pagamento anual, o valor informado será cobrado integralmente no início do novo ciclo.</w:t>
      </w:r>
    </w:p>
    <w:p>
      <w:pPr>
        <w:pStyle w:val="Heading1"/>
      </w:pPr>
      <w:r>
        <w:rPr>
          <w:color w:val="000000"/>
        </w:rPr>
        <w:t>6  Cancelamento e restituições</w:t>
      </w:r>
    </w:p>
    <w:p>
      <w:r>
        <w:t>O cancelamento durante o teste gratuito impede a primeira cobrança. Após o início do período pago, o cancelamento impede as próximas renovações e mantém o acesso até o final do ciclo mensal ou anual já pago.</w:t>
      </w:r>
    </w:p>
    <w:p>
      <w:r>
        <w:t>No cancelamento por conveniência, fora das hipóteses legais de restituição, não haverá reembolso proporcional pelo período não utilizado. Permanecem preservados os direitos aplicáveis de arrependimento, restituição por cobrança indevida, falha na prestação do serviço ou outras situações previstas em lei. Não há renúncia geral a reembolso.</w:t>
      </w:r>
    </w:p>
    <w:p>
      <w:r>
        <w:t xml:space="preserve">O administrador poderá solicitar o cancelamento pelo próprio sistema ou pelo e-mail </w:t>
      </w:r>
      <w:r>
        <w:rPr>
          <w:b/>
        </w:rPr>
        <w:t>wellintonalves1910@gmail.com</w:t>
      </w:r>
      <w:r>
        <w:t>, inclusive para exercer o direito de arrependimento quando aplicável. O pedido terá confirmação de recebimento e registro de data e horário. Seu efeito considerará o momento de registro no sistema ou de recebimento pelo e-mail, e não o momento em que a equipe concluir o atendimento. O horário do suporte não poderá tornar ineficaz um pedido tempestivo. A identificação do solicitante poderá ser verificada para evitar cancelamentos não autorizados, sem criar obstáculos indevidos ao exercício do direito.</w:t>
      </w:r>
    </w:p>
    <w:p>
      <w:pPr>
        <w:pStyle w:val="Heading1"/>
      </w:pPr>
      <w:r>
        <w:rPr>
          <w:color w:val="000000"/>
        </w:rPr>
        <w:t>7  Pagamento recusado</w:t>
      </w:r>
    </w:p>
    <w:p>
      <w:r>
        <w:t>Em caso de recusa de pagamento, o administrador será avisado no sistema e terá sete dias, contados da apresentação efetiva desse aviso, para regularização antes da suspensão do uso. A data final será exibida, e reabrir o aviso não reiniciará o prazo. A suspensão por esse motivo não apagará os dados naquele momento.</w:t>
      </w:r>
    </w:p>
    <w:p>
      <w:r>
        <w:t>Se o pagamento continuar pendente após os sete dias de aviso, a renovação será encerrada, sem geração de cobranças de novos ciclos. Começará então o prazo de trinta dias para consulta e exportação, sem novos lançamentos, conforme a seção de encerramento e dados. Essa regra não autoriza tratar como dívida uma cobrança indevida.</w:t>
      </w:r>
    </w:p>
    <w:p>
      <w:r>
        <w:t>Se a cobrança que deu origem ao aviso não for regularizada nesse prazo, ela será cancelada e os sete dias serão considerados tolerância gratuita, sem dívida de assinatura relativa a esse ciclo. Não haverá geração de cobranças de novos ciclos após o encerramento da renovação.</w:t>
      </w:r>
    </w:p>
    <w:p>
      <w:r>
        <w:t>Operação pendente: validar o canal operacional de avisos e o cancelamento efetivo junto ao provedor no Sandbox real. Localmente, a janela começa na apresentação efetiva do aviso; eventos repetidos não reiniciam o prazo nem um ciclo já pago.</w:t>
      </w:r>
    </w:p>
    <w:p>
      <w:pPr>
        <w:pStyle w:val="Heading1"/>
      </w:pPr>
      <w:r>
        <w:rPr>
          <w:color w:val="000000"/>
        </w:rPr>
        <w:t>8  Encerramento e dados</w:t>
      </w:r>
    </w:p>
    <w:p>
      <w:r>
        <w:t>Após o fim do acesso contratado, haverá trinta dias para consulta e exportação dos dados da barbearia, sem novos lançamentos. A exportação deverá respeitar as permissões de acesso e os direitos das pessoas a quem os dados se referem.</w:t>
      </w:r>
    </w:p>
    <w:p>
      <w:commentRangeStart w:id="2"/>
      <w:r>
        <w:t>Após esse prazo, será iniciada a triagem para revisão da conservação e eventual exclusão autorizada. A janela de consulta e exportação se encerra mesmo quando alguns dados precisem permanecer armazenados com acesso interno restrito. A triagem não executa exclusão automática.</w:t>
      </w:r>
      <w:commentRangeEnd w:id="2"/>
      <w:r>
        <w:rPr>
          <w:rStyle w:val="CommentReference"/>
        </w:rPr>
        <w:commentReference w:id="2"/>
      </w:r>
    </w:p>
    <w:p>
      <w:pPr/>
      <w:r>
        <w:t>Para suporte, foi definido um prazo operacional de doze meses de calendário para o histórico financeiro, contado do fim do acesso contratado, conforme a Política de Privacidade. Esse marco permanece sujeito a revisão e não constitui prazo legal validado. Obrigações legais ou disputas podem justificar conservação adicional dos dados necessários, com justificativa e revisão registradas. A conservação não autoriza uso para finalidades incompatíveis.</w:t>
      </w:r>
    </w:p>
    <w:p>
      <w:r>
        <w:t>O arquivamento para adequação de plano não equivale a exclusão de dados pessoais. A Política de Privacidade detalhará retenção, eliminação, tratamento de cópias de segurança e atendimento aos titulares. A exclusão da conta de uma barbearia não deverá eliminar, sem análise, dados que integrem uma conta de cliente legitimamente vinculada a outros estabelecimentos.</w:t>
      </w:r>
    </w:p>
    <w:p>
      <w:r>
        <w:t>Operação pendente: concluir a tabela de retenção por categoria, as autorizações e o tratamento de snapshots externos. A exportação ZIP com CSVs e a restauração com preservação das exclusões já foram testadas localmente. Trinta dias de consulta não significam eliminação instantânea de todas as cópias.</w:t>
      </w:r>
    </w:p>
    <w:p>
      <w:pPr>
        <w:pStyle w:val="Heading1"/>
      </w:pPr>
      <w:r>
        <w:rPr>
          <w:color w:val="000000"/>
        </w:rPr>
        <w:t>9  Responsabilidades e uso adequado   proposta de redação</w:t>
      </w:r>
    </w:p>
    <w:p>
      <w:r>
        <w:t>A barbearia deverá fornecer informações corretas, administrar os acessos de seus profissionais, resguardar as credenciais e comunicar suspeitas de uso indevido. Deverá tratar os dados de clientes e profissionais de forma lícita e prestar as informações de sua responsabilidade.</w:t>
      </w:r>
    </w:p>
    <w:p>
      <w:r>
        <w:t>São vedados acesso não autorizado a dados, fraude, uso ilícito da plataforma e ações destinadas a comprometer sua segurança ou funcionamento. Eventuais restrições por abuso deverão ser proporcionais à situação, com informação ao responsável quando isso for compatível com a contenção do risco e a lei.</w:t>
      </w:r>
    </w:p>
    <w:p>
      <w:r>
        <w:t>A barbearia responde pela prestação dos serviços que oferece, por seus preços, produtos, informações inseridas e regras próprias de fidelidade. Os relatórios do sistema apoiam a gestão, sem substituir obrigações contábeis, fiscais ou trabalhistas do estabelecimento. Essas disposições não afastam a responsabilidade do Valen Barber por falhas que lhe sejam atribuíveis.</w:t>
      </w:r>
    </w:p>
    <w:p>
      <w:r>
        <w:t>O Valen Barber deverá prestar o serviço conforme a oferta, tratar problemas sob sua responsabilidade e adotar medidas de segurança compatíveis com os riscos. Não há promessa de ausência absoluta de interrupções ou de aumento de faturamento. A existência de indisponibilidade não afasta os direitos do contratante nem autoriza exclusão geral de responsabilidade.</w:t>
      </w:r>
    </w:p>
    <w:p>
      <w:r>
        <w:t>A assinatura concede direito de uso do sistema no âmbito contratado. Não transfere a titularidade do software ou da marca nem concede ao Valen Barber propriedade irrestrita sobre os dados cadastrados.</w:t>
      </w:r>
    </w:p>
    <w:p>
      <w:pPr>
        <w:pStyle w:val="Heading1"/>
      </w:pPr>
      <w:r>
        <w:rPr>
          <w:color w:val="000000"/>
        </w:rPr>
        <w:t>10  Suporte</w:t>
      </w:r>
    </w:p>
    <w:p>
      <w:r>
        <w:t xml:space="preserve">O suporte será prestado por </w:t>
      </w:r>
      <w:r>
        <w:rPr>
          <w:b/>
        </w:rPr>
        <w:t>wellintonalves1910@gmail.com</w:t>
      </w:r>
      <w:r>
        <w:t xml:space="preserve">, de segunda a sexta-feira, das </w:t>
      </w:r>
      <w:r>
        <w:rPr>
          <w:b/>
        </w:rPr>
        <w:t>8h às 12h e das 14h às 18h, no horário de Brasília</w:t>
      </w:r>
      <w:r>
        <w:t>. Essa é a janela de atendimento, sem promessa de resposta imediata ou prazo fixo de solução.</w:t>
      </w:r>
    </w:p>
    <w:p>
      <w:r>
        <w:t>A substituição por um e-mail profissional será informada aos contratantes. O tratamento de feriados e eventuais prazos específicos de resposta ainda precisa ser definido.</w:t>
      </w:r>
    </w:p>
    <w:p>
      <w:pPr>
        <w:pStyle w:val="Heading1"/>
      </w:pPr>
      <w:r>
        <w:rPr>
          <w:color w:val="000000"/>
        </w:rPr>
        <w:t>11  Reajustes e alterações</w:t>
      </w:r>
    </w:p>
    <w:p>
      <w:r>
        <w:t>Qualquer aumento de preço será comunicado com antecedência mínima de trinta dias e aplicado apenas em renovação posterior que respeite esse aviso. O preço do período já pago será preservado, e o contratante poderá cancelar antes da nova cobrança.</w:t>
      </w:r>
    </w:p>
    <w:p>
      <w:r>
        <w:rPr>
          <w:b/>
        </w:rPr>
        <w:t>Proposta de redação:</w:t>
      </w:r>
      <w:r>
        <w:t xml:space="preserve"> mudanças materiais nas condições do serviço serão apresentadas de forma clara e prospectiva, sem retirar retroativamente direitos do período contratado. Alterações que dependam de concordância terão o aceite correspondente. A versão dos termos aceita pelo contratante deverá permanecer identificável.</w:t>
      </w:r>
    </w:p>
    <w:p>
      <w:r>
        <w:t>Aplicam-se as leis brasileiras e as regras legais de competência para solução de conflitos, preservados os direitos do consumidor quando cabíveis. Não se estabelece nesta minuta foro exclusivo que dificulte o exercício desses direitos.</w:t>
      </w:r>
    </w:p>
    <w:p>
      <w:pPr>
        <w:pStyle w:val="Heading1"/>
      </w:pPr>
      <w:r>
        <w:rPr>
          <w:color w:val="000000"/>
        </w:rPr>
        <w:t>12  Loja virtual futura   planejamento  não oferta vigente</w:t>
      </w:r>
    </w:p>
    <w:p>
      <w:r>
        <w:t>O Pró poderá incluir uma loja virtual para os clientes da barbearia comprarem produtos, com retirada no estabelecimento ou entrega quando oferecida. A preferência comercial é que o pagamento seja recebido diretamente pela barbearia, mas a integração ainda não foi definida.</w:t>
      </w:r>
    </w:p>
    <w:p>
      <w:r>
        <w:t>Antes do lançamento dessa função, serão definidas condições próprias sobre identificação do vendedor, pedidos, pagamentos, entrega, retirada, atendimento, devoluções e tratamento dos dados. O recebimento direto pela barbearia não permite concluir, por si só, que o Valen Barber estará isento de responsabilidade legal.</w:t>
      </w:r>
    </w:p>
    <w:p>
      <w:pPr>
        <w:pStyle w:val="Heading1"/>
        <w:pageBreakBefore/>
      </w:pPr>
      <w:r>
        <w:rPr>
          <w:color w:val="000000"/>
        </w:rPr>
        <w:t>Notas para revisão jurídica</w:t>
      </w:r>
    </w:p>
    <w:p>
      <w:r>
        <w:t>Esta consolidação permanece sem publicação e sem aprovação jurídica. Pendências verificadas e limites da validação:</w:t>
      </w:r>
    </w:p>
    <w:p>
      <w:pPr>
        <w:pStyle w:val="ListBullet"/>
      </w:pPr>
      <w:r>
        <w:t>Identificação cadastral e endereço preenchidos com os dados fornecidos pelo responsável em 15 de setembro de 2026, sem verificação documental de identidade.</w:t>
      </w:r>
    </w:p>
    <w:p>
      <w:pPr>
        <w:pStyle w:val="ListBullet"/>
      </w:pPr>
      <w:r>
        <w:t>Confirmar a lista final de recursos por plano, disponibilidade do Pró e se cada assinatura cobre exatamente uma barbearia. Confirmar o acesso e as condições dos clientes finais, inclusive menores.</w:t>
      </w:r>
    </w:p>
    <w:p>
      <w:pPr>
        <w:pStyle w:val="ListBullet"/>
      </w:pPr>
      <w:r>
        <w:t>A contagem de ativos, a reativação condicionada a vagas, a mudança de periodicidade e o encerramento por excesso no downgrade já foram testados localmente. Resta homologar os fluxos com o provedor externo antes da operação.</w:t>
      </w:r>
    </w:p>
    <w:p>
      <w:pPr>
        <w:pStyle w:val="ListBullet"/>
      </w:pPr>
      <w:r>
        <w:t>Homologar no Sandbox real a integração Asaas, recorrência, primeira cobrança, ajuste proporcional, cancelamento e reconciliação. Configurar credenciais, retornos HTTPS e notificações por procedimento seguro, sem registrar segredos nos documentos.</w:t>
      </w:r>
    </w:p>
    <w:p>
      <w:pPr>
        <w:pStyle w:val="ListBullet"/>
      </w:pPr>
      <w:r>
        <w:t>A regra de sete dias de tolerância gratuita e os trinta dias de consulta/exportação estão definidos e testados localmente. Permanecem pendentes a retenção legal por categoria, a autorização de exclusão e a política de cópias externas.</w:t>
      </w:r>
    </w:p>
    <w:p>
      <w:pPr>
        <w:pStyle w:val="ListBullet"/>
      </w:pPr>
      <w:r>
        <w:t>A Política de Privacidade já foi consolidada. Revisar juridicamente bases legais por finalidade, papéis das partes, dados de menores, retenção e transferências internacionais; confirmar contratos e regiões dos fornecedores.</w:t>
      </w:r>
    </w:p>
    <w:p>
      <w:pPr>
        <w:pStyle w:val="ListBullet"/>
      </w:pPr>
      <w:r>
        <w:t>Conferir o horário de suporte em feriados. Não acrescentar prazo de resposta ou garantia de disponibilidade sem capacidade operacional confirmada.</w:t>
      </w:r>
    </w:p>
    <w:p>
      <w:pPr>
        <w:pStyle w:val="ListBullet"/>
      </w:pPr>
      <w:r>
        <w:t>Revisar juridicamente a minuta, especialmente a não restituição proporcional do anual, arrependimento, identificação do fornecedor e responsabilidades no tratamento de dados.</w:t>
      </w:r>
    </w:p>
    <w:p>
      <w:r>
        <w:t>O relatório da segunda etapa registra testes e builds locais aprovados, migrações em PostgreSQL descartável, preservação financeira e de comissões, e validação de cópia/restauração. Esses resultados não comprovam integração real Asaas, entrega de e-mails, ensaio com dados legados reais ou operação dos fornecedores. A exclusão física permanece desativada; não houve publicação ou cobrança real nesta consolidação.</w:t>
      </w:r>
    </w:p>
    <w:p>
      <w:pPr>
        <w:pStyle w:val="Heading1"/>
      </w:pPr>
      <w:r>
        <w:rPr>
          <w:color w:val="000000"/>
        </w:rPr>
        <w:t>Referências oficiais consultadas</w:t>
      </w:r>
    </w:p>
    <w:p>
      <w:pPr>
        <w:pStyle w:val="ListBullet"/>
      </w:pPr>
      <w:hyperlink r:id="rId9">
        <w:r>
          <w:rPr>
            <w:color w:val="24476B"/>
            <w:u w:val="single"/>
          </w:rPr>
          <w:t>Código de Defesa do Consumidor</w:t>
        </w:r>
      </w:hyperlink>
      <w:r>
        <w:t>: referência para transparência, direitos relativos à qualidade do serviço, arrependimento quando aplicável e limites de cláusulas contratuais.</w:t>
      </w:r>
    </w:p>
    <w:p>
      <w:pPr>
        <w:pStyle w:val="ListBullet"/>
      </w:pPr>
      <w:hyperlink r:id="rId10">
        <w:r>
          <w:rPr>
            <w:color w:val="24476B"/>
            <w:u w:val="single"/>
          </w:rPr>
          <w:t>Decreto nº 7.962/2013</w:t>
        </w:r>
      </w:hyperlink>
      <w:r>
        <w:t>: referência para informações de contratação eletrônica, atendimento e exercício do arrependimento.</w:t>
      </w:r>
    </w:p>
    <w:p>
      <w:pPr>
        <w:pStyle w:val="ListBullet"/>
      </w:pPr>
      <w:hyperlink r:id="rId11">
        <w:r>
          <w:rPr>
            <w:color w:val="24476B"/>
            <w:u w:val="single"/>
          </w:rPr>
          <w:t>LGPD</w:t>
        </w:r>
      </w:hyperlink>
      <w:r>
        <w:t>: referência para transparência, direitos dos titulares, término do tratamento, conservação e segurança.</w:t>
      </w:r>
    </w:p>
    <w:p>
      <w:pPr>
        <w:pStyle w:val="ListBullet"/>
      </w:pPr>
      <w:hyperlink r:id="rId12">
        <w:r>
          <w:rPr>
            <w:color w:val="24476B"/>
            <w:u w:val="single"/>
          </w:rPr>
          <w:t>Orientação do STJ sobre consumidor pessoa jurídica</w:t>
        </w:r>
      </w:hyperlink>
      <w:r>
        <w:t>: a aplicação do CDC a uma contratação empresarial depende do caso; não foi presumida nem afastada de forma geral.</w:t>
      </w:r>
    </w:p>
    <w:p>
      <w:r>
        <w:t>Consulta: 14 de setembro de 2026. As referências não constituem aprovação jurídica desta minuta.</w:t>
      </w:r>
    </w:p>
    <w:sectPr w:rsidR="00FC693F" w:rsidRPr="0006063C" w:rsidSect="00034616">
      <w:footerReference w:type="default" r:id="rId13"/>
      <w:pgSz w:w="11906" w:h="16838"/>
      <w:pgMar w:top="1134" w:right="1247" w:bottom="1134" w:left="1247" w:header="567" w:footer="567"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são local" w:initials="RL" w:date="2026-09-15T13:29:10Z">
    <w:p>
      <w:pPr>
        <w:pStyle w:val="CommentText"/>
      </w:pPr>
      <w:r>
        <w:rPr>
          <w:rStyle w:val="CommentReference"/>
        </w:rPr>
        <w:annotationRef/>
      </w:r>
      <w:r>
        <w:t>Decisão já registrada no código e na minuta local; não atribui aceite retroativo a contas legadas.</w:t>
      </w:r>
    </w:p>
  </w:comment>
  <w:comment w:id="1" w:author="Revisão local" w:initials="RL" w:date="2026-09-15T13:29:10Z">
    <w:p>
      <w:pPr>
        <w:pStyle w:val="CommentText"/>
      </w:pPr>
      <w:r>
        <w:rPr>
          <w:rStyle w:val="CommentReference"/>
        </w:rPr>
        <w:annotationRef/>
      </w:r>
      <w:r>
        <w:t>Decisão já registrada no código e na minuta local; não atribui aceite retroativo a contas legadas.</w:t>
      </w:r>
    </w:p>
  </w:comment>
  <w:comment w:id="2" w:author="Revisão local" w:initials="RL" w:date="2026-09-15T13:29:10Z">
    <w:p>
      <w:pPr>
        <w:pStyle w:val="CommentText"/>
      </w:pPr>
      <w:r>
        <w:rPr>
          <w:rStyle w:val="CommentReference"/>
        </w:rPr>
        <w:annotationRef/>
      </w:r>
      <w:r>
        <w:t>Alinhado à triagem sem exclusão automática descrita em docs/prontidao-dados-backup.md.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Minuta para revisão jurídica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0" w:lineRule="auto" w:after="100"/>
    </w:pPr>
    <w:rPr>
      <w:rFonts w:ascii="Calibri" w:hAnsi="Calibri"/>
      <w:color w:val="000000"/>
      <w:sz w:val="21"/>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28"/>
      <w:szCs w:val="28"/>
      <w:lang w:val="pt-BR"/>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Calibri" w:hAnsi="Calibri"/>
      <w:b/>
      <w:bCs/>
      <w:color w:val="000000"/>
      <w:sz w:val="24"/>
      <w:szCs w:val="26"/>
      <w:lang w:val="pt-B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b/>
      <w:color w:val="000000"/>
      <w:spacing w:val="5"/>
      <w:kern w:val="28"/>
      <w:sz w:val="48"/>
      <w:szCs w:val="52"/>
      <w:lang w:val="pt-B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lang w:val="pt-B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lang w:val="pt-B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lanalto.gov.br/ccivil_03/leis/l8078compilado.htm" TargetMode="External"/><Relationship Id="rId10" Type="http://schemas.openxmlformats.org/officeDocument/2006/relationships/hyperlink" Target="https://www.planalto.gov.br/ccivil_03/_ato2011-2014/2013/decreto/d7962.htm" TargetMode="External"/><Relationship Id="rId11" Type="http://schemas.openxmlformats.org/officeDocument/2006/relationships/hyperlink" Target="https://www.planalto.gov.br/ccivil_03/_ato2015-2018/2018/lei/l13709compilado.htm" TargetMode="External"/><Relationship Id="rId12" Type="http://schemas.openxmlformats.org/officeDocument/2006/relationships/hyperlink" Target="https://www.stj.jus.br/sites/portalp/Paginas/Comunicacao/Noticias/2024/08092024-Consumidor-pessoa-juridica-quando-as-empresas-podem-ter-a-protecao-do-CDC.aspx" TargetMode="External"/><Relationship Id="rId13" Type="http://schemas.openxmlformats.org/officeDocument/2006/relationships/footer" Target="footer1.xml"/><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Termos de Uso do Valen Barber</dc:title>
  <dc:subject>Minuta para revisão jurídica</dc:subject>
  <dc:creator>Wellinton Pereira Alves</dc:creator>
  <cp:keywords>Valen Barber, termos de uso, minuta</cp:keywords>
  <dc:description/>
  <cp:lastModifiedBy/>
  <cp:revision>1</cp:revision>
  <dcterms:created xsi:type="dcterms:W3CDTF">2013-12-23T23:15:00Z</dcterms:created>
  <dcterms:modified xsi:type="dcterms:W3CDTF">2013-12-23T23:15:00Z</dcterms:modified>
  <cp:category/>
</cp:coreProperties>
</file>