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header-n0"/>
      <w:r>
        <w:t xml:space="preserve">仲裁院和法院项目</w:t>
      </w:r>
      <w:bookmarkEnd w:id="20"/>
    </w:p>
    <w:p>
      <w:pPr>
        <w:pStyle w:val="FirstParagraph"/>
      </w:pPr>
      <w:r>
        <w:t xml:space="preserve">仲裁院与法院区别：对应的是仲裁与诉讼</w:t>
      </w:r>
    </w:p>
    <w:p>
      <w:pPr>
        <w:numPr>
          <w:numId w:val="1001"/>
          <w:ilvl w:val="0"/>
        </w:numPr>
      </w:pPr>
      <w:r>
        <w:t xml:space="preserve">仲裁排除法院管辖，即如果选择了仲裁，就不能到法院诉讼了。</w:t>
      </w:r>
    </w:p>
    <w:p>
      <w:pPr>
        <w:numPr>
          <w:numId w:val="1001"/>
          <w:ilvl w:val="0"/>
        </w:numPr>
      </w:pPr>
      <w:r>
        <w:t xml:space="preserve">受案范围不同。有些仲裁是不能受理</w:t>
      </w:r>
    </w:p>
    <w:p>
      <w:pPr>
        <w:numPr>
          <w:numId w:val="1001"/>
          <w:ilvl w:val="0"/>
        </w:numPr>
      </w:pPr>
      <w:r>
        <w:t xml:space="preserve">程序不同，仲裁是一裁终局的，法院诉讼是两审终审。</w:t>
      </w:r>
    </w:p>
    <w:p>
      <w:pPr>
        <w:numPr>
          <w:numId w:val="1001"/>
          <w:ilvl w:val="0"/>
        </w:numPr>
      </w:pPr>
      <w:r>
        <w:t xml:space="preserve">如果债务纠纷 可以到仲裁委员会进行仲裁， 有法律效力，如果当事人无力偿还的话， 仲裁委员会没有冻结房产和强制执行的权利，可以申请法院强制执行</w:t>
      </w:r>
    </w:p>
    <w:p>
      <w:pPr>
        <w:numPr>
          <w:numId w:val="1001"/>
          <w:ilvl w:val="0"/>
        </w:numPr>
      </w:pPr>
      <w:r>
        <w:t xml:space="preserve">仲裁委员会管辖的原则是双方当事人在合同中约定纠纷由仲裁委员会仲裁，或者纠纷发生后，双方当事人协商一致提交仲裁，否则，只能向法院起诉。双方当事人约定仲裁的，法院就不受理了。</w:t>
      </w:r>
    </w:p>
    <w:p>
      <w:pPr>
        <w:pStyle w:val="FirstParagraph"/>
      </w:pPr>
      <w:r>
        <w:t xml:space="preserve">整理出关系</w:t>
      </w:r>
    </w:p>
    <w:p>
      <w:pPr>
        <w:pStyle w:val="CaptionedFigure"/>
      </w:pPr>
      <w:r>
        <w:drawing>
          <wp:inline>
            <wp:extent cx="5334000" cy="3921582"/>
            <wp:effectExtent b="0" l="0" r="0" t="0"/>
            <wp:docPr descr="" title="" id="1" name="Picture"/>
            <a:graphic>
              <a:graphicData uri="http://schemas.openxmlformats.org/drawingml/2006/picture">
                <pic:pic>
                  <pic:nvPicPr>
                    <pic:cNvPr descr="C:\Users\于文杰\Desktop\笔记\日报\仲裁院法1.0院.png" id="0" name="Picture"/>
                    <pic:cNvPicPr>
                      <a:picLocks noChangeArrowheads="1" noChangeAspect="1"/>
                    </pic:cNvPicPr>
                  </pic:nvPicPr>
                  <pic:blipFill>
                    <a:blip r:embed="rId21"/>
                    <a:stretch>
                      <a:fillRect/>
                    </a:stretch>
                  </pic:blipFill>
                  <pic:spPr bwMode="auto">
                    <a:xfrm>
                      <a:off x="0" y="0"/>
                      <a:ext cx="5334000" cy="3921582"/>
                    </a:xfrm>
                    <a:prstGeom prst="rect">
                      <a:avLst/>
                    </a:prstGeom>
                    <a:noFill/>
                    <a:ln w="9525">
                      <a:noFill/>
                      <a:headEnd/>
                      <a:tailEnd/>
                    </a:ln>
                  </pic:spPr>
                </pic:pic>
              </a:graphicData>
            </a:graphic>
          </wp:inline>
        </w:drawing>
      </w:r>
    </w:p>
    <w:p>
      <w:pPr>
        <w:pStyle w:val="ImageCaption"/>
      </w:pPr>
    </w:p>
    <w:p>
      <w:r>
        <w:pict>
          <v:rect style="width:0;height:1.5pt" o:hralign="center" o:hrstd="t" o:hr="t"/>
        </w:pict>
      </w:r>
    </w:p>
    <w:p>
      <w:pPr>
        <w:pStyle w:val="Heading3"/>
      </w:pPr>
      <w:bookmarkStart w:id="22" w:name="header-n25"/>
      <w:r>
        <w:t xml:space="preserve">仲裁司法审查案件信息管理平台</w:t>
      </w:r>
      <w:bookmarkEnd w:id="22"/>
    </w:p>
    <w:p>
      <w:pPr>
        <w:pStyle w:val="FirstParagraph"/>
      </w:pPr>
      <w:r>
        <w:t xml:space="preserve">整理具体功能</w:t>
      </w:r>
    </w:p>
    <w:p>
      <w:pPr>
        <w:pStyle w:val="CaptionedFigure"/>
      </w:pPr>
      <w:r>
        <w:drawing>
          <wp:inline>
            <wp:extent cx="5334000" cy="2450157"/>
            <wp:effectExtent b="0" l="0" r="0" t="0"/>
            <wp:docPr descr="" title="" id="1" name="Picture"/>
            <a:graphic>
              <a:graphicData uri="http://schemas.openxmlformats.org/drawingml/2006/picture">
                <pic:pic>
                  <pic:nvPicPr>
                    <pic:cNvPr descr="C:\Users\于文杰\Desktop\笔记\日报\1527485227229.png" id="0" name="Picture"/>
                    <pic:cNvPicPr>
                      <a:picLocks noChangeArrowheads="1" noChangeAspect="1"/>
                    </pic:cNvPicPr>
                  </pic:nvPicPr>
                  <pic:blipFill>
                    <a:blip r:embed="rId23"/>
                    <a:stretch>
                      <a:fillRect/>
                    </a:stretch>
                  </pic:blipFill>
                  <pic:spPr bwMode="auto">
                    <a:xfrm>
                      <a:off x="0" y="0"/>
                      <a:ext cx="5334000" cy="2450157"/>
                    </a:xfrm>
                    <a:prstGeom prst="rect">
                      <a:avLst/>
                    </a:prstGeom>
                    <a:noFill/>
                    <a:ln w="9525">
                      <a:noFill/>
                      <a:headEnd/>
                      <a:tailEnd/>
                    </a:ln>
                  </pic:spPr>
                </pic:pic>
              </a:graphicData>
            </a:graphic>
          </wp:inline>
        </w:drawing>
      </w:r>
    </w:p>
    <w:p>
      <w:pPr>
        <w:pStyle w:val="ImageCaption"/>
      </w:pPr>
    </w:p>
    <w:p>
      <w:r>
        <w:pict>
          <v:rect style="width:0;height:1.5pt" o:hralign="center" o:hrstd="t" o:hr="t"/>
        </w:pict>
      </w:r>
    </w:p>
    <w:p>
      <w:pPr>
        <w:pStyle w:val="Heading3"/>
      </w:pPr>
      <w:bookmarkStart w:id="24" w:name="header-n31"/>
      <w:r>
        <w:t xml:space="preserve">Java反射</w:t>
      </w:r>
      <w:bookmarkEnd w:id="24"/>
    </w:p>
    <w:p>
      <w:pPr>
        <w:pStyle w:val="FirstParagraph"/>
      </w:pPr>
      <w:r>
        <w:rPr>
          <w:b/>
        </w:rPr>
        <w:t xml:space="preserve">类加载器</w:t>
      </w:r>
    </w:p>
    <w:p>
      <w:pPr>
        <w:pStyle w:val="BodyText"/>
      </w:pPr>
      <w:r>
        <w:t xml:space="preserve">当Java程序需要使用某个类的时候，如果该类没有被加载到内存中的时候，则系统会通过加载、链接、初始化来对这个类进行初始化</w:t>
      </w:r>
    </w:p>
    <w:p>
      <w:pPr>
        <w:numPr>
          <w:numId w:val="1002"/>
          <w:ilvl w:val="0"/>
        </w:numPr>
      </w:pPr>
      <w:r>
        <w:t xml:space="preserve">加载：将类加载至内存中，并为之创建一个Java对象，任何类在被使用的时候都会创建一个Class对象</w:t>
      </w:r>
    </w:p>
    <w:p>
      <w:pPr>
        <w:numPr>
          <w:numId w:val="1002"/>
          <w:ilvl w:val="0"/>
        </w:numPr>
      </w:pPr>
      <w:r>
        <w:t xml:space="preserve">链接：验证内部正确性，并与其他类协调一致，为类的静态成员分配内存，并设置默认值</w:t>
      </w:r>
    </w:p>
    <w:p>
      <w:pPr>
        <w:numPr>
          <w:numId w:val="1002"/>
          <w:ilvl w:val="0"/>
        </w:numPr>
      </w:pPr>
      <w:r>
        <w:t xml:space="preserve">初始化：类的初始化</w:t>
      </w:r>
    </w:p>
    <w:p>
      <w:pPr>
        <w:pStyle w:val="FirstParagraph"/>
      </w:pPr>
      <w:r>
        <w:rPr>
          <w:b/>
        </w:rPr>
        <w:t xml:space="preserve">类初始化时机</w:t>
      </w:r>
    </w:p>
    <w:p>
      <w:pPr>
        <w:numPr>
          <w:numId w:val="1003"/>
          <w:ilvl w:val="0"/>
        </w:numPr>
      </w:pPr>
      <w:r>
        <w:t xml:space="preserve">创建类的实例</w:t>
      </w:r>
    </w:p>
    <w:p>
      <w:pPr>
        <w:numPr>
          <w:numId w:val="1003"/>
          <w:ilvl w:val="0"/>
        </w:numPr>
      </w:pPr>
      <w:r>
        <w:t xml:space="preserve">访问类的静态方法，为静态变量赋值</w:t>
      </w:r>
    </w:p>
    <w:p>
      <w:pPr>
        <w:numPr>
          <w:numId w:val="1003"/>
          <w:ilvl w:val="0"/>
        </w:numPr>
      </w:pPr>
      <w:r>
        <w:t xml:space="preserve">使用类的静态方法</w:t>
      </w:r>
    </w:p>
    <w:p>
      <w:pPr>
        <w:numPr>
          <w:numId w:val="1003"/>
          <w:ilvl w:val="0"/>
        </w:numPr>
      </w:pPr>
      <w:r>
        <w:t xml:space="preserve">使用反射来强制创建某个类或者接口对应的class类</w:t>
      </w:r>
    </w:p>
    <w:p>
      <w:pPr>
        <w:numPr>
          <w:numId w:val="1003"/>
          <w:ilvl w:val="0"/>
        </w:numPr>
      </w:pPr>
      <w:r>
        <w:t xml:space="preserve">初始化某个类的子类</w:t>
      </w:r>
    </w:p>
    <w:p>
      <w:pPr>
        <w:pStyle w:val="FirstParagraph"/>
      </w:pPr>
      <w:r>
        <w:rPr>
          <w:b/>
        </w:rPr>
        <w:t xml:space="preserve">什么是反射</w:t>
      </w:r>
    </w:p>
    <w:p>
      <w:pPr>
        <w:numPr>
          <w:numId w:val="1004"/>
          <w:ilvl w:val="0"/>
        </w:numPr>
      </w:pPr>
      <w:r>
        <w:t xml:space="preserve">在Java运行状态中，对于任何一个类来说，都能知道这个类的所有的属性和方法；对于任何一个对象，都能够调用任何的方法和属性；这样动态地获取新的以及动态调用对象的方法的功能就叫做反射。</w:t>
      </w:r>
    </w:p>
    <w:p>
      <w:pPr>
        <w:numPr>
          <w:numId w:val="1004"/>
          <w:ilvl w:val="0"/>
        </w:numPr>
      </w:pPr>
      <w:r>
        <w:t xml:space="preserve">简单来说就是解剖一个类，前提是要获得这个类的Class对象</w:t>
      </w:r>
    </w:p>
    <w:p>
      <w:pPr>
        <w:pStyle w:val="FirstParagraph"/>
      </w:pPr>
      <w:r>
        <w:rPr>
          <w:b/>
        </w:rPr>
        <w:t xml:space="preserve">如何使用反射</w:t>
      </w:r>
    </w:p>
    <w:p>
      <w:pPr>
        <w:numPr>
          <w:numId w:val="1005"/>
          <w:ilvl w:val="0"/>
        </w:numPr>
      </w:pPr>
      <w:r>
        <w:t xml:space="preserve">使用Class类，获取出被解剖的这个类的class文件对象</w:t>
      </w:r>
    </w:p>
    <w:p>
      <w:pPr>
        <w:numPr>
          <w:numId w:val="1005"/>
          <w:ilvl w:val="0"/>
        </w:numPr>
      </w:pPr>
      <w:r>
        <w:t xml:space="preserve">使用Class类方法，获取出类中的所有成员</w:t>
      </w:r>
    </w:p>
    <w:p>
      <w:pPr>
        <w:numPr>
          <w:numId w:val="1005"/>
          <w:ilvl w:val="0"/>
        </w:numPr>
      </w:pPr>
      <w:r>
        <w:t xml:space="preserve">将类成员获取出来后，交给对应类、方法执行成员</w:t>
      </w:r>
    </w:p>
    <w:p>
      <w:pPr>
        <w:pStyle w:val="FirstParagraph"/>
      </w:pPr>
      <w:r>
        <w:rPr>
          <w:b/>
        </w:rPr>
        <w:t xml:space="preserve">如何获取Class文件对象</w:t>
      </w:r>
    </w:p>
    <w:p>
      <w:pPr>
        <w:numPr>
          <w:numId w:val="1006"/>
          <w:ilvl w:val="0"/>
        </w:numPr>
      </w:pPr>
      <w:r>
        <w:t xml:space="preserve">使用类的对象获取</w:t>
      </w:r>
    </w:p>
    <w:p>
      <w:pPr>
        <w:pStyle w:val="SourceCode"/>
        <w:numPr>
          <w:numId w:val="1000"/>
          <w:ilvl w:val="0"/>
        </w:numPr>
      </w:pPr>
      <w:r>
        <w:rPr>
          <w:rStyle w:val="NormalTok"/>
        </w:rPr>
        <w:t xml:space="preserve">Person p1=</w:t>
      </w:r>
      <w:r>
        <w:rPr>
          <w:rStyle w:val="KeywordTok"/>
        </w:rPr>
        <w:t xml:space="preserve">new</w:t>
      </w:r>
      <w:r>
        <w:rPr>
          <w:rStyle w:val="NormalTok"/>
        </w:rPr>
        <w:t xml:space="preserve"> </w:t>
      </w:r>
      <w:r>
        <w:rPr>
          <w:rStyle w:val="FunctionTok"/>
        </w:rPr>
        <w:t xml:space="preserve">Person</w:t>
      </w:r>
      <w:r>
        <w:rPr>
          <w:rStyle w:val="NormalTok"/>
        </w:rPr>
        <w:t xml:space="preserve">();</w:t>
      </w:r>
      <w:r>
        <w:br w:type="textWrapping"/>
      </w:r>
      <w:r>
        <w:rPr>
          <w:rStyle w:val="BuiltInTok"/>
        </w:rPr>
        <w:t xml:space="preserve">Class</w:t>
      </w:r>
      <w:r>
        <w:rPr>
          <w:rStyle w:val="NormalTok"/>
        </w:rPr>
        <w:t xml:space="preserve">&lt;?&gt; cc=p1.</w:t>
      </w:r>
      <w:r>
        <w:rPr>
          <w:rStyle w:val="FunctionTok"/>
        </w:rPr>
        <w:t xml:space="preserve">getClass</w:t>
      </w:r>
      <w:r>
        <w:rPr>
          <w:rStyle w:val="NormalTok"/>
        </w:rPr>
        <w:t xml:space="preserve">();</w:t>
      </w:r>
    </w:p>
    <w:p>
      <w:pPr>
        <w:numPr>
          <w:numId w:val="1006"/>
          <w:ilvl w:val="0"/>
        </w:numPr>
      </w:pPr>
      <w:r>
        <w:t xml:space="preserve">使用类的静态属性获取</w:t>
      </w:r>
    </w:p>
    <w:p>
      <w:pPr>
        <w:pStyle w:val="SourceCode"/>
        <w:numPr>
          <w:numId w:val="1000"/>
          <w:ilvl w:val="0"/>
        </w:numPr>
      </w:pPr>
      <w:r>
        <w:rPr>
          <w:rStyle w:val="BuiltInTok"/>
        </w:rPr>
        <w:t xml:space="preserve">Class</w:t>
      </w:r>
      <w:r>
        <w:rPr>
          <w:rStyle w:val="NormalTok"/>
        </w:rPr>
        <w:t xml:space="preserve">&lt;?&gt; cc2=Person.</w:t>
      </w:r>
      <w:r>
        <w:rPr>
          <w:rStyle w:val="FunctionTok"/>
        </w:rPr>
        <w:t xml:space="preserve">class</w:t>
      </w:r>
      <w:r>
        <w:rPr>
          <w:rStyle w:val="NormalTok"/>
        </w:rPr>
        <w:t xml:space="preserve">;</w:t>
      </w:r>
    </w:p>
    <w:p>
      <w:pPr>
        <w:numPr>
          <w:numId w:val="1006"/>
          <w:ilvl w:val="0"/>
        </w:numPr>
      </w:pPr>
      <w:r>
        <w:t xml:space="preserve">使用Class的静态方法获取（常用来加载数据库驱动）</w:t>
      </w:r>
    </w:p>
    <w:p>
      <w:pPr>
        <w:pStyle w:val="SourceCode"/>
        <w:numPr>
          <w:numId w:val="1000"/>
          <w:ilvl w:val="0"/>
        </w:numPr>
      </w:pPr>
      <w:r>
        <w:rPr>
          <w:rStyle w:val="BuiltInTok"/>
        </w:rPr>
        <w:t xml:space="preserve">Class</w:t>
      </w:r>
      <w:r>
        <w:rPr>
          <w:rStyle w:val="NormalTok"/>
        </w:rPr>
        <w:t xml:space="preserve">&lt;?&gt; cc3=</w:t>
      </w:r>
      <w:r>
        <w:rPr>
          <w:rStyle w:val="BuiltInTok"/>
        </w:rPr>
        <w:t xml:space="preserve">Class</w:t>
      </w:r>
      <w:r>
        <w:rPr>
          <w:rStyle w:val="NormalTok"/>
        </w:rPr>
        <w:t xml:space="preserve">.</w:t>
      </w:r>
      <w:r>
        <w:rPr>
          <w:rStyle w:val="FunctionTok"/>
        </w:rPr>
        <w:t xml:space="preserve">forName</w:t>
      </w:r>
      <w:r>
        <w:rPr>
          <w:rStyle w:val="NormalTok"/>
        </w:rPr>
        <w:t xml:space="preserve">(</w:t>
      </w:r>
      <w:r>
        <w:rPr>
          <w:rStyle w:val="StringTok"/>
        </w:rPr>
        <w:t xml:space="preserve">"com.test.demo.Person"</w:t>
      </w:r>
      <w:r>
        <w:rPr>
          <w:rStyle w:val="NormalTok"/>
        </w:rPr>
        <w:t xml:space="preserve">); </w:t>
      </w:r>
      <w:r>
        <w:rPr>
          <w:rStyle w:val="CommentTok"/>
        </w:rPr>
        <w:t xml:space="preserve">//全类名</w:t>
      </w:r>
    </w:p>
    <w:p>
      <w:r>
        <w:pict>
          <v:rect style="width:0;height:1.5pt" o:hralign="center" o:hrstd="t" o:hr="t"/>
        </w:pict>
      </w:r>
    </w:p>
    <w:p>
      <w:pPr>
        <w:pStyle w:val="Heading3"/>
      </w:pPr>
      <w:bookmarkStart w:id="25" w:name="header-n101"/>
      <w:r>
        <w:t xml:space="preserve">Spring</w:t>
      </w:r>
      <w:bookmarkEnd w:id="25"/>
    </w:p>
    <w:p>
      <w:pPr>
        <w:pStyle w:val="FirstParagraph"/>
      </w:pPr>
      <w:r>
        <w:rPr>
          <w:b/>
        </w:rPr>
        <w:t xml:space="preserve">AOP编程</w:t>
      </w:r>
    </w:p>
    <w:p>
      <w:pPr>
        <w:pStyle w:val="BodyText"/>
      </w:pPr>
      <w:r>
        <w:t xml:space="preserve">简单理解：执行一些代码前需要执行另外的代码</w:t>
      </w:r>
    </w:p>
    <w:p>
      <w:pPr>
        <w:pStyle w:val="BodyText"/>
      </w:pPr>
      <w:r>
        <w:rPr>
          <w:b/>
        </w:rPr>
        <w:t xml:space="preserve">IOC控制反转</w:t>
      </w:r>
    </w:p>
    <w:p>
      <w:pPr>
        <w:pStyle w:val="BodyText"/>
      </w:pPr>
      <w:r>
        <w:t xml:space="preserve">实现：读取标注或者配置文件，看看依赖的是什么，然后拿到类名；使用反射API，基于类名实例化对应的对象实例；将对象实例化，通过构造函数或者setter传递</w:t>
      </w:r>
    </w:p>
    <w:p>
      <w:pPr>
        <w:pStyle w:val="BodyText"/>
      </w:pPr>
      <w:r>
        <w:t xml:space="preserve">得到Spring容器对象</w:t>
      </w:r>
    </w:p>
    <w:p>
      <w:pPr>
        <w:numPr>
          <w:numId w:val="1007"/>
          <w:ilvl w:val="0"/>
        </w:numPr>
      </w:pPr>
      <w:r>
        <w:t xml:space="preserve">bean工厂，BeanFactory（功能简单）</w:t>
      </w:r>
    </w:p>
    <w:p>
      <w:pPr>
        <w:numPr>
          <w:numId w:val="1000"/>
          <w:ilvl w:val="0"/>
        </w:numPr>
      </w:pPr>
      <w:r>
        <w:t xml:space="preserve">通过Resourse获取BeanFactory</w:t>
      </w:r>
    </w:p>
    <w:p>
      <w:pPr>
        <w:pStyle w:val="SourceCode"/>
        <w:numPr>
          <w:numId w:val="1000"/>
          <w:ilvl w:val="0"/>
        </w:numPr>
      </w:pPr>
      <w:r>
        <w:rPr>
          <w:rStyle w:val="BuiltInTok"/>
        </w:rPr>
        <w:t xml:space="preserve">Resource</w:t>
      </w:r>
      <w:r>
        <w:rPr>
          <w:rStyle w:val="NormalTok"/>
        </w:rPr>
        <w:t xml:space="preserve"> resource = </w:t>
      </w:r>
      <w:r>
        <w:rPr>
          <w:rStyle w:val="KeywordTok"/>
        </w:rPr>
        <w:t xml:space="preserve">new</w:t>
      </w:r>
      <w:r>
        <w:rPr>
          <w:rStyle w:val="NormalTok"/>
        </w:rPr>
        <w:t xml:space="preserve"> </w:t>
      </w:r>
      <w:r>
        <w:rPr>
          <w:rStyle w:val="FunctionTok"/>
        </w:rPr>
        <w:t xml:space="preserve">ClassPathResource</w:t>
      </w:r>
      <w:r>
        <w:rPr>
          <w:rStyle w:val="NormalTok"/>
        </w:rPr>
        <w:t xml:space="preserve">(</w:t>
      </w:r>
      <w:r>
        <w:rPr>
          <w:rStyle w:val="StringTok"/>
        </w:rPr>
        <w:t xml:space="preserve">"applicationContext.xml"</w:t>
      </w:r>
      <w:r>
        <w:rPr>
          <w:rStyle w:val="NormalTok"/>
        </w:rPr>
        <w:t xml:space="preserve">); </w:t>
      </w:r>
      <w:r>
        <w:rPr>
          <w:rStyle w:val="CommentTok"/>
        </w:rPr>
        <w:t xml:space="preserve">// 加载spring配置文件</w:t>
      </w:r>
      <w:r>
        <w:br w:type="textWrapping"/>
      </w:r>
      <w:r>
        <w:rPr>
          <w:rStyle w:val="NormalTok"/>
        </w:rPr>
        <w:t xml:space="preserve">BeanFactory beanFactory = </w:t>
      </w:r>
      <w:r>
        <w:rPr>
          <w:rStyle w:val="KeywordTok"/>
        </w:rPr>
        <w:t xml:space="preserve">new</w:t>
      </w:r>
      <w:r>
        <w:rPr>
          <w:rStyle w:val="NormalTok"/>
        </w:rPr>
        <w:t xml:space="preserve"> </w:t>
      </w:r>
      <w:r>
        <w:rPr>
          <w:rStyle w:val="FunctionTok"/>
        </w:rPr>
        <w:t xml:space="preserve">XmlBeanFactory</w:t>
      </w:r>
      <w:r>
        <w:rPr>
          <w:rStyle w:val="NormalTok"/>
        </w:rPr>
        <w:t xml:space="preserve">(resource); </w:t>
      </w:r>
      <w:r>
        <w:rPr>
          <w:rStyle w:val="CommentTok"/>
        </w:rPr>
        <w:t xml:space="preserve">// 创建IOC容器对象</w:t>
      </w:r>
    </w:p>
    <w:p>
      <w:pPr>
        <w:numPr>
          <w:numId w:val="1007"/>
          <w:ilvl w:val="0"/>
        </w:numPr>
      </w:pPr>
      <w:r>
        <w:t xml:space="preserve">应用上下文，ApplicationContext（功能强大）</w:t>
      </w:r>
    </w:p>
    <w:p>
      <w:pPr>
        <w:numPr>
          <w:numId w:val="1000"/>
          <w:ilvl w:val="0"/>
        </w:numPr>
      </w:pPr>
      <w:r>
        <w:t xml:space="preserve">通过XML获取ApplicationContext</w:t>
      </w:r>
    </w:p>
    <w:p>
      <w:pPr>
        <w:pStyle w:val="SourceCode"/>
        <w:numPr>
          <w:numId w:val="1000"/>
          <w:ilvl w:val="0"/>
        </w:numPr>
      </w:pPr>
      <w:r>
        <w:rPr>
          <w:rStyle w:val="NormalTok"/>
        </w:rPr>
        <w:t xml:space="preserve">ApplicationContext ac = </w:t>
      </w:r>
      <w:r>
        <w:rPr>
          <w:rStyle w:val="KeywordTok"/>
        </w:rPr>
        <w:t xml:space="preserve">new</w:t>
      </w:r>
      <w:r>
        <w:rPr>
          <w:rStyle w:val="NormalTok"/>
        </w:rPr>
        <w:t xml:space="preserve"> </w:t>
      </w:r>
      <w:r>
        <w:rPr>
          <w:rStyle w:val="FunctionTok"/>
        </w:rPr>
        <w:t xml:space="preserve">ClassPathXmlApplicationContext</w:t>
      </w:r>
      <w:r>
        <w:rPr>
          <w:rStyle w:val="NormalTok"/>
        </w:rPr>
        <w:t xml:space="preserve">(</w:t>
      </w:r>
      <w:r>
        <w:rPr>
          <w:rStyle w:val="StringTok"/>
        </w:rPr>
        <w:t xml:space="preserve">"applicationContext.xml"</w:t>
      </w:r>
      <w:r>
        <w:rPr>
          <w:rStyle w:val="NormalTok"/>
        </w:rPr>
        <w:t xml:space="preserve">)</w:t>
      </w:r>
    </w:p>
    <w:p>
      <w:pPr>
        <w:pStyle w:val="FirstParagraph"/>
      </w:pPr>
      <w:r>
        <w:t xml:space="preserve">在Spring中有三种方法配置对象</w:t>
      </w:r>
    </w:p>
    <w:p>
      <w:pPr>
        <w:numPr>
          <w:numId w:val="1008"/>
          <w:ilvl w:val="0"/>
        </w:numPr>
      </w:pPr>
      <w:r>
        <w:t xml:space="preserve">使用XML文件配置</w:t>
      </w:r>
    </w:p>
    <w:p>
      <w:pPr>
        <w:numPr>
          <w:numId w:val="1000"/>
          <w:ilvl w:val="0"/>
        </w:numPr>
      </w:pPr>
      <w:r>
        <w:t xml:space="preserve">获取IOC容器后，需要在applicationContext.xml中配置信息，使IOC容器根据xml文件来创建对象</w:t>
      </w:r>
    </w:p>
    <w:p>
      <w:pPr>
        <w:pStyle w:val="SourceCode"/>
        <w:numPr>
          <w:numId w:val="1000"/>
          <w:ilvl w:val="0"/>
        </w:numPr>
      </w:pPr>
      <w:r>
        <w:rPr>
          <w:rStyle w:val="KeywordTok"/>
        </w:rPr>
        <w:t xml:space="preserve">&lt;bean</w:t>
      </w:r>
      <w:r>
        <w:rPr>
          <w:rStyle w:val="OtherTok"/>
        </w:rPr>
        <w:t xml:space="preserve"> id=</w:t>
      </w:r>
      <w:r>
        <w:rPr>
          <w:rStyle w:val="StringTok"/>
        </w:rPr>
        <w:t xml:space="preserve">"user"</w:t>
      </w:r>
      <w:r>
        <w:rPr>
          <w:rStyle w:val="OtherTok"/>
        </w:rPr>
        <w:t xml:space="preserve"> class=</w:t>
      </w:r>
      <w:r>
        <w:rPr>
          <w:rStyle w:val="StringTok"/>
        </w:rPr>
        <w:t xml:space="preserve">"User"</w:t>
      </w:r>
      <w:r>
        <w:rPr>
          <w:rStyle w:val="KeywordTok"/>
        </w:rPr>
        <w:t xml:space="preserve">/&gt;</w:t>
      </w:r>
    </w:p>
    <w:p>
      <w:pPr>
        <w:numPr>
          <w:numId w:val="1000"/>
          <w:ilvl w:val="0"/>
        </w:numPr>
      </w:pPr>
      <w:r>
        <w:t xml:space="preserve">然后就可以通过IOC容器来创建对象了</w:t>
      </w:r>
    </w:p>
    <w:p>
      <w:pPr>
        <w:pStyle w:val="SourceCode"/>
        <w:numPr>
          <w:numId w:val="1000"/>
          <w:ilvl w:val="0"/>
        </w:numPr>
      </w:pPr>
      <w:r>
        <w:rPr>
          <w:rStyle w:val="NormalTok"/>
        </w:rPr>
        <w:t xml:space="preserve">User user = (User)ac.</w:t>
      </w:r>
      <w:r>
        <w:rPr>
          <w:rStyle w:val="FunctionTok"/>
        </w:rPr>
        <w:t xml:space="preserve">getBean</w:t>
      </w:r>
      <w:r>
        <w:rPr>
          <w:rStyle w:val="NormalTok"/>
        </w:rPr>
        <w:t xml:space="preserve">(</w:t>
      </w:r>
      <w:r>
        <w:rPr>
          <w:rStyle w:val="StringTok"/>
        </w:rPr>
        <w:t xml:space="preserve">"user"</w:t>
      </w:r>
      <w:r>
        <w:rPr>
          <w:rStyle w:val="NormalTok"/>
        </w:rPr>
        <w:t xml:space="preserve">); </w:t>
      </w:r>
      <w:r>
        <w:rPr>
          <w:rStyle w:val="CommentTok"/>
        </w:rPr>
        <w:t xml:space="preserve">// 无参构造函数</w:t>
      </w:r>
    </w:p>
    <w:p>
      <w:pPr>
        <w:numPr>
          <w:numId w:val="1008"/>
          <w:ilvl w:val="0"/>
        </w:numPr>
      </w:pPr>
      <w:r>
        <w:t xml:space="preserve">使用注解来配置</w:t>
      </w:r>
    </w:p>
    <w:p>
      <w:pPr>
        <w:numPr>
          <w:numId w:val="1000"/>
          <w:ilvl w:val="0"/>
        </w:numPr>
      </w:pPr>
      <w:r>
        <w:t xml:space="preserve">简化IOC容器配置，注解可以把对象添加到IOC容器中、处理对象依赖关系</w:t>
      </w:r>
    </w:p>
    <w:p>
      <w:pPr>
        <w:numPr>
          <w:numId w:val="1000"/>
          <w:ilvl w:val="0"/>
        </w:numPr>
      </w:pPr>
      <w:r>
        <w:t xml:space="preserve">步骤：</w:t>
      </w:r>
    </w:p>
    <w:p>
      <w:pPr>
        <w:numPr>
          <w:numId w:val="1009"/>
          <w:ilvl w:val="1"/>
        </w:numPr>
      </w:pPr>
      <w:r>
        <w:t xml:space="preserve">引入context名称空间</w:t>
      </w:r>
    </w:p>
    <w:p>
      <w:pPr>
        <w:numPr>
          <w:numId w:val="1009"/>
          <w:ilvl w:val="1"/>
        </w:numPr>
      </w:pPr>
      <w:r>
        <w:t xml:space="preserve">开启注解扫描器</w:t>
      </w:r>
    </w:p>
    <w:p>
      <w:pPr>
        <w:numPr>
          <w:numId w:val="1000"/>
          <w:ilvl w:val="0"/>
        </w:numPr>
      </w:pPr>
      <w:r>
        <w:t xml:space="preserve">创建对象以及处理对象的依赖关系注解：</w:t>
      </w:r>
    </w:p>
    <w:p>
      <w:pPr>
        <w:numPr>
          <w:numId w:val="1000"/>
          <w:ilvl w:val="0"/>
        </w:numPr>
      </w:pPr>
      <w:r>
        <w:rPr>
          <w:rStyle w:val="VerbatimChar"/>
        </w:rPr>
        <w:t xml:space="preserve">@Componnent</w:t>
      </w:r>
      <w:r>
        <w:t xml:space="preserve">：扫描器</w:t>
      </w:r>
    </w:p>
    <w:p>
      <w:pPr>
        <w:numPr>
          <w:numId w:val="1000"/>
          <w:ilvl w:val="0"/>
        </w:numPr>
      </w:pPr>
      <w:r>
        <w:rPr>
          <w:rStyle w:val="VerbatimChar"/>
        </w:rPr>
        <w:t xml:space="preserve">@Configuration</w:t>
      </w:r>
      <w:r>
        <w:t xml:space="preserve">：配置类</w:t>
      </w:r>
    </w:p>
    <w:p>
      <w:pPr>
        <w:numPr>
          <w:numId w:val="1000"/>
          <w:ilvl w:val="0"/>
        </w:numPr>
      </w:pPr>
      <w:r>
        <w:rPr>
          <w:rStyle w:val="VerbatimChar"/>
        </w:rPr>
        <w:t xml:space="preserve">@Component</w:t>
      </w:r>
      <w:r>
        <w:t xml:space="preserve">：指定一个对象加入ioc中</w:t>
      </w:r>
    </w:p>
    <w:p>
      <w:pPr>
        <w:numPr>
          <w:numId w:val="1000"/>
          <w:ilvl w:val="0"/>
        </w:numPr>
      </w:pPr>
      <w:r>
        <w:t xml:space="preserve">`@Repository`：在持久层使用</w:t>
      </w:r>
    </w:p>
    <w:p>
      <w:pPr>
        <w:numPr>
          <w:numId w:val="1000"/>
          <w:ilvl w:val="0"/>
        </w:numPr>
      </w:pPr>
      <w:r>
        <w:t xml:space="preserve">`@Service`：业务逻辑层使用</w:t>
      </w:r>
    </w:p>
    <w:p>
      <w:pPr>
        <w:numPr>
          <w:numId w:val="1000"/>
          <w:ilvl w:val="0"/>
        </w:numPr>
      </w:pPr>
      <w:r>
        <w:t xml:space="preserve">`@Controller`：在控制层使用</w:t>
      </w:r>
    </w:p>
    <w:p>
      <w:pPr>
        <w:numPr>
          <w:numId w:val="1000"/>
          <w:ilvl w:val="0"/>
        </w:numPr>
      </w:pPr>
      <w:r>
        <w:rPr>
          <w:rStyle w:val="VerbatimChar"/>
        </w:rPr>
        <w:t xml:space="preserve">@Resource</w:t>
      </w:r>
      <w:r>
        <w:t xml:space="preserve">：依赖关系</w:t>
      </w:r>
    </w:p>
    <w:p>
      <w:pPr>
        <w:numPr>
          <w:numId w:val="1008"/>
          <w:ilvl w:val="0"/>
        </w:numPr>
      </w:pPr>
      <w:r>
        <w:t xml:space="preserve">使用JavaConfig来配置</w:t>
      </w:r>
    </w:p>
    <w:p>
      <w:pPr>
        <w:numPr>
          <w:numId w:val="1000"/>
          <w:ilvl w:val="0"/>
        </w:numPr>
      </w:pPr>
      <w:r>
        <w:t xml:space="preserve">由于Spring的自动装配并不能将第三方的库装配到应用中，需要</w:t>
      </w:r>
      <w:r>
        <w:rPr>
          <w:b/>
        </w:rPr>
        <w:t xml:space="preserve">显式</w:t>
      </w:r>
      <w:r>
        <w:t xml:space="preserve">装配配置。</w:t>
      </w:r>
    </w:p>
    <w:p>
      <w:pPr>
        <w:numPr>
          <w:numId w:val="1000"/>
          <w:ilvl w:val="0"/>
        </w:numPr>
      </w:pPr>
      <w:r>
        <w:t xml:space="preserve">编写Java类，使用</w:t>
      </w:r>
      <w:r>
        <w:rPr>
          <w:rStyle w:val="VerbatimChar"/>
        </w:rPr>
        <w:t xml:space="preserve">@Configuration</w:t>
      </w:r>
      <w:r>
        <w:t xml:space="preserve">标注，并使用此类来创建bean</w:t>
      </w:r>
    </w:p>
    <w:p>
      <w:pPr>
        <w:pStyle w:val="SourceCode"/>
        <w:numPr>
          <w:numId w:val="1000"/>
          <w:ilvl w:val="0"/>
        </w:numPr>
      </w:pPr>
      <w:r>
        <w:rPr>
          <w:rStyle w:val="AttributeTok"/>
        </w:rPr>
        <w:t xml:space="preserve">@Configuration</w:t>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Configuration</w:t>
      </w:r>
      <w:r>
        <w:rPr>
          <w:rStyle w:val="NormalTok"/>
        </w:rPr>
        <w:t xml:space="preserve"> {</w:t>
      </w:r>
      <w:r>
        <w:br w:type="textWrapping"/>
      </w:r>
      <w:r>
        <w:rPr>
          <w:rStyle w:val="NormalTok"/>
        </w:rPr>
        <w:t xml:space="preserve">    </w:t>
      </w:r>
      <w:r>
        <w:rPr>
          <w:rStyle w:val="CommentTok"/>
        </w:rPr>
        <w:t xml:space="preserve">// 使用@Bean修饰方法，spring内部会将该对象加入ioc，id默认为方法名</w:t>
      </w:r>
      <w:r>
        <w:br w:type="textWrapping"/>
      </w:r>
      <w:r>
        <w:rPr>
          <w:rStyle w:val="NormalTok"/>
        </w:rPr>
        <w:t xml:space="preserve">	</w:t>
      </w:r>
      <w:r>
        <w:rPr>
          <w:rStyle w:val="AttributeTok"/>
        </w:rPr>
        <w:t xml:space="preserve">@Bean</w:t>
      </w:r>
      <w:r>
        <w:br w:type="textWrapping"/>
      </w:r>
      <w:r>
        <w:rPr>
          <w:rStyle w:val="NormalTok"/>
        </w:rPr>
        <w:t xml:space="preserve">	</w:t>
      </w:r>
      <w:r>
        <w:rPr>
          <w:rStyle w:val="KeywordTok"/>
        </w:rPr>
        <w:t xml:space="preserve">public</w:t>
      </w:r>
      <w:r>
        <w:rPr>
          <w:rStyle w:val="NormalTok"/>
        </w:rPr>
        <w:t xml:space="preserve"> UserDao </w:t>
      </w:r>
      <w:r>
        <w:rPr>
          <w:rStyle w:val="FunctionTok"/>
        </w:rPr>
        <w:t xml:space="preserve">userDao</w:t>
      </w:r>
      <w:r>
        <w:rPr>
          <w:rStyle w:val="NormalTok"/>
        </w:rPr>
        <w:t xml:space="preserve">() {</w:t>
      </w:r>
      <w:r>
        <w:br w:type="textWrapping"/>
      </w:r>
      <w:r>
        <w:rPr>
          <w:rStyle w:val="NormalTok"/>
        </w:rPr>
        <w:t xml:space="preserve"> 		UserDao userDao = </w:t>
      </w:r>
      <w:r>
        <w:rPr>
          <w:rStyle w:val="KeywordTok"/>
        </w:rPr>
        <w:t xml:space="preserve">new</w:t>
      </w:r>
      <w:r>
        <w:rPr>
          <w:rStyle w:val="NormalTok"/>
        </w:rPr>
        <w:t xml:space="preserve"> </w:t>
      </w:r>
      <w:r>
        <w:rPr>
          <w:rStyle w:val="FunctionTok"/>
        </w:rPr>
        <w:t xml:space="preserve">UserDao</w:t>
      </w:r>
      <w:r>
        <w:rPr>
          <w:rStyle w:val="NormalTok"/>
        </w:rPr>
        <w:t xml:space="preserve">();</w:t>
      </w:r>
      <w:r>
        <w:br w:type="textWrapping"/>
      </w:r>
      <w:r>
        <w:rPr>
          <w:rStyle w:val="NormalTok"/>
        </w:rPr>
        <w:t xml:space="preserve">        </w:t>
      </w:r>
      <w:r>
        <w:rPr>
          <w:rStyle w:val="KeywordTok"/>
        </w:rPr>
        <w:t xml:space="preserve">return</w:t>
      </w:r>
      <w:r>
        <w:rPr>
          <w:rStyle w:val="NormalTok"/>
        </w:rPr>
        <w:t xml:space="preserve"> userDao;</w:t>
      </w:r>
      <w:r>
        <w:br w:type="textWrapping"/>
      </w:r>
      <w:r>
        <w:rPr>
          <w:rStyle w:val="NormalTok"/>
        </w:rPr>
        <w:t xml:space="preserve">	}</w:t>
      </w:r>
      <w:r>
        <w:br w:type="textWrapping"/>
      </w:r>
      <w:r>
        <w:rPr>
          <w:rStyle w:val="NormalTok"/>
        </w:rPr>
        <w:t xml:space="preserve">}</w:t>
      </w:r>
    </w:p>
    <w:p>
      <w:pPr>
        <w:pStyle w:val="FirstParagraph"/>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2018-06-15T07:45:28Z</dcterms:created>
  <dcterms:modified xsi:type="dcterms:W3CDTF">2018-06-15T07:45:28Z</dcterms:modified>
</cp:coreProperties>
</file>