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C90FB5" w14:textId="77777777" w:rsidR="0034044E" w:rsidRPr="0034044E" w:rsidRDefault="0034044E" w:rsidP="0034044E">
      <w:pPr>
        <w:rPr>
          <w:b/>
          <w:bCs/>
        </w:rPr>
      </w:pPr>
      <w:r w:rsidRPr="0034044E">
        <w:rPr>
          <w:b/>
          <w:bCs/>
        </w:rPr>
        <w:t xml:space="preserve">Methodology: Dendrogram Analysis and Photometric </w:t>
      </w:r>
      <w:commentRangeStart w:id="0"/>
      <w:r w:rsidRPr="0034044E">
        <w:rPr>
          <w:b/>
          <w:bCs/>
        </w:rPr>
        <w:t>Measurements</w:t>
      </w:r>
      <w:commentRangeEnd w:id="0"/>
      <w:r w:rsidR="0034440E">
        <w:rPr>
          <w:rStyle w:val="CommentReference"/>
        </w:rPr>
        <w:commentReference w:id="0"/>
      </w:r>
    </w:p>
    <w:p w14:paraId="026C8A0B" w14:textId="1BBBD4AE" w:rsidR="0034044E" w:rsidRPr="0034044E" w:rsidRDefault="00A94409" w:rsidP="0034044E">
      <w:r>
        <w:t>W</w:t>
      </w:r>
      <w:r w:rsidR="0034044E" w:rsidRPr="0034044E">
        <w:t xml:space="preserve">e employed a modified version of the Python program astrodendro, adapted to output flux values in counts per pixel. The dendrogram algorithm constructs a hierarchical tree by identifying flux peaks as </w:t>
      </w:r>
      <w:r>
        <w:t xml:space="preserve">the </w:t>
      </w:r>
      <w:r w:rsidR="0034044E" w:rsidRPr="0034044E">
        <w:t xml:space="preserve">origins of leaves, checking subsequent pixels against </w:t>
      </w:r>
      <w:r>
        <w:t xml:space="preserve">the defined </w:t>
      </w:r>
      <w:r w:rsidR="0034044E" w:rsidRPr="0034044E">
        <w:t xml:space="preserve">parameters—minimum pixel count for structure size and flux difference (delta flux) from the local maxima. If a pixel meets the criteria, it merges into an existing structure; otherwise, it initiates a new leaf. When adjacent structures connect at a lower-flux pixel, they merge into a branch, forming a nested hierarchy. The process continues until a designated minimum flux value, or “trunk,” is reached, at which point the </w:t>
      </w:r>
      <w:r>
        <w:t>dendrogram</w:t>
      </w:r>
      <w:r w:rsidR="0034044E" w:rsidRPr="0034044E">
        <w:t xml:space="preserve"> concludes.</w:t>
      </w:r>
    </w:p>
    <w:p w14:paraId="18F88211" w14:textId="77777777" w:rsidR="0034044E" w:rsidRPr="0034044E" w:rsidRDefault="0034044E" w:rsidP="0034044E">
      <w:pPr>
        <w:rPr>
          <w:b/>
          <w:bCs/>
        </w:rPr>
      </w:pPr>
      <w:r w:rsidRPr="0034044E">
        <w:rPr>
          <w:b/>
          <w:bCs/>
        </w:rPr>
        <w:t>Parameter Selection for Dendrogram Analysis</w:t>
      </w:r>
    </w:p>
    <w:p w14:paraId="10A29741" w14:textId="3EB53BBD" w:rsidR="0034044E" w:rsidRPr="0034044E" w:rsidRDefault="00A94409" w:rsidP="0034044E">
      <w:r>
        <w:t>W</w:t>
      </w:r>
      <w:r w:rsidR="0034044E" w:rsidRPr="0034044E">
        <w:t xml:space="preserve">e determined that optimal parameters for the astrodendro program were a minimum flux threshold of 5 counts per pixel, a minimum delta flux of 5 counts per pixel, and a minimum pixel range of 100 pixels for structure size. Testing lower pixel thresholds introduced significant noise, with diffuse structures and background interference causing numerous small, unintelligible regions due to FITS file artifacts from data subtraction. </w:t>
      </w:r>
      <w:r w:rsidRPr="00A94409">
        <w:t>Conversely, higher pixel thresholds did not yield sufficient detail within the interior regions.</w:t>
      </w:r>
      <w:r>
        <w:t xml:space="preserve"> </w:t>
      </w:r>
      <w:r w:rsidR="0034044E" w:rsidRPr="0034044E">
        <w:t>These parameters maximized precision while preserving meaningful substructure identification.</w:t>
      </w:r>
    </w:p>
    <w:p w14:paraId="48915142" w14:textId="77777777" w:rsidR="0034044E" w:rsidRPr="006E137B" w:rsidRDefault="0034044E" w:rsidP="0034044E">
      <w:pPr>
        <w:rPr>
          <w:color w:val="4EA72E" w:themeColor="accent6"/>
        </w:rPr>
      </w:pPr>
      <w:r w:rsidRPr="006E137B">
        <w:rPr>
          <w:i/>
          <w:iCs/>
          <w:color w:val="4EA72E" w:themeColor="accent6"/>
        </w:rPr>
        <w:t>Insert Figure: Dendrogram tree of NGC 3741, with labeled leaves and branches.</w:t>
      </w:r>
    </w:p>
    <w:p w14:paraId="09E7371C" w14:textId="77777777" w:rsidR="0034044E" w:rsidRPr="006E137B" w:rsidRDefault="0034044E" w:rsidP="0034044E">
      <w:pPr>
        <w:rPr>
          <w:i/>
          <w:iCs/>
          <w:color w:val="4EA72E" w:themeColor="accent6"/>
        </w:rPr>
      </w:pPr>
      <w:r w:rsidRPr="006E137B">
        <w:rPr>
          <w:i/>
          <w:iCs/>
          <w:color w:val="4EA72E" w:themeColor="accent6"/>
        </w:rPr>
        <w:t>Insert Table: DS9 FITS file with Astrodendro contour map overlay for high surface brightness region.</w:t>
      </w:r>
    </w:p>
    <w:p w14:paraId="1814A656" w14:textId="77777777" w:rsidR="00A94409" w:rsidRPr="0034044E" w:rsidRDefault="00A94409" w:rsidP="00A94409">
      <w:pPr>
        <w:rPr>
          <w:b/>
          <w:bCs/>
        </w:rPr>
      </w:pPr>
      <w:r w:rsidRPr="0034044E">
        <w:rPr>
          <w:b/>
          <w:bCs/>
        </w:rPr>
        <w:t>Rationale for Separating Analysis of High and Low Surface Brightness Areas</w:t>
      </w:r>
    </w:p>
    <w:p w14:paraId="6B3DE7F0" w14:textId="2AF8D370" w:rsidR="00A94409" w:rsidRPr="0034044E" w:rsidRDefault="00A94409" w:rsidP="00A94409">
      <w:r w:rsidRPr="0034044E">
        <w:t xml:space="preserve">To improve accuracy, we analyzed high and low surface brightness areas of the H II region separately. </w:t>
      </w:r>
      <w:r w:rsidR="00BE680D" w:rsidRPr="0034044E">
        <w:t>isolating low brightness areas minimized background noise and artifacts</w:t>
      </w:r>
      <w:r w:rsidR="00BE680D">
        <w:t xml:space="preserve"> from data reduction</w:t>
      </w:r>
      <w:r w:rsidR="00BE680D" w:rsidRPr="0034044E">
        <w:t xml:space="preserve">, improving flux measurements. </w:t>
      </w:r>
      <w:r w:rsidR="00BE680D">
        <w:t>Additionally, h</w:t>
      </w:r>
      <w:r w:rsidRPr="0034044E">
        <w:t>igh surface brightness areas primarily reflect Hα emission from star formation, with ionization from young</w:t>
      </w:r>
      <w:r w:rsidR="00BE680D">
        <w:t xml:space="preserve"> stars</w:t>
      </w:r>
      <w:r w:rsidRPr="0034044E">
        <w:t xml:space="preserve"> while low</w:t>
      </w:r>
      <w:r w:rsidR="00BE680D">
        <w:t>er</w:t>
      </w:r>
      <w:r w:rsidRPr="0034044E">
        <w:t xml:space="preserve"> brightness areas likely result from supernova-driven shock ionization, producing a diffuse emission profile. Separating these regions allowed us to account for these differing processes.</w:t>
      </w:r>
      <w:r w:rsidR="00BE680D">
        <w:t xml:space="preserve"> </w:t>
      </w:r>
      <w:r w:rsidR="00BE680D" w:rsidRPr="0034044E">
        <w:t xml:space="preserve">This division enabled more accurate substructure detection within </w:t>
      </w:r>
      <w:r w:rsidR="00BE680D">
        <w:t xml:space="preserve">the </w:t>
      </w:r>
      <w:r w:rsidR="00BE680D" w:rsidRPr="0034044E">
        <w:t xml:space="preserve">high brightness areas using </w:t>
      </w:r>
      <w:proofErr w:type="spellStart"/>
      <w:r w:rsidR="00BE680D" w:rsidRPr="0034044E">
        <w:t>astrodendro</w:t>
      </w:r>
      <w:proofErr w:type="spellEnd"/>
      <w:r w:rsidR="00BE680D" w:rsidRPr="0034044E">
        <w:t xml:space="preserve">, while single-aperture photometry </w:t>
      </w:r>
      <w:r w:rsidR="00BE680D">
        <w:t xml:space="preserve">was able to </w:t>
      </w:r>
      <w:r w:rsidR="00BE680D" w:rsidRPr="0034044E">
        <w:t>effectively quantif</w:t>
      </w:r>
      <w:r w:rsidR="00BE680D">
        <w:t>y</w:t>
      </w:r>
      <w:r w:rsidR="00BE680D" w:rsidRPr="0034044E">
        <w:t xml:space="preserve"> the </w:t>
      </w:r>
      <w:r w:rsidR="00BE680D">
        <w:t xml:space="preserve">flux in the </w:t>
      </w:r>
      <w:r w:rsidR="00BE680D" w:rsidRPr="0034044E">
        <w:t>extended, diffuse regions.</w:t>
      </w:r>
    </w:p>
    <w:p w14:paraId="0639D064" w14:textId="77777777" w:rsidR="0034044E" w:rsidRPr="0034044E" w:rsidRDefault="0034044E" w:rsidP="0034044E">
      <w:pPr>
        <w:rPr>
          <w:b/>
          <w:bCs/>
        </w:rPr>
      </w:pPr>
      <w:r w:rsidRPr="0034044E">
        <w:rPr>
          <w:b/>
          <w:bCs/>
        </w:rPr>
        <w:t>Supplementary Low Surface Brightness Analysis</w:t>
      </w:r>
    </w:p>
    <w:p w14:paraId="0D17B62B" w14:textId="61B44A83" w:rsidR="00BE680D" w:rsidRDefault="00BE680D" w:rsidP="0034044E">
      <w:r w:rsidRPr="00BE680D">
        <w:t>The dendrogram analysis was limited to the main interior structure down to a minimum flux of 5 counts per pixel, as </w:t>
      </w:r>
      <w:proofErr w:type="spellStart"/>
      <w:r w:rsidRPr="00BE680D">
        <w:t>astrodendro</w:t>
      </w:r>
      <w:proofErr w:type="spellEnd"/>
      <w:r w:rsidRPr="00BE680D">
        <w:t> performs best on bright, continuous flux groupings, which were more prevalent within the interior structure. In contrast, low surface brightness areas tended to merge into a single contour, masking distinct structures. Therefore, we manually selected 16 spatially distinct, diffuse regions in DS9 with flux counts between 5 and 20 counts per pixel, capturing a comprehensive view of both high and low surface brightness components in the H II region</w:t>
      </w:r>
      <w:r>
        <w:t>s</w:t>
      </w:r>
      <w:r w:rsidRPr="00BE680D">
        <w:t>.</w:t>
      </w:r>
    </w:p>
    <w:p w14:paraId="5860F126" w14:textId="249F449B" w:rsidR="0034044E" w:rsidRPr="0034044E" w:rsidRDefault="0034044E" w:rsidP="0034044E">
      <w:pPr>
        <w:rPr>
          <w:b/>
          <w:bCs/>
        </w:rPr>
      </w:pPr>
      <w:r w:rsidRPr="0034044E">
        <w:rPr>
          <w:b/>
          <w:bCs/>
        </w:rPr>
        <w:t>Completeness Limit and Luminosity Function Analysis</w:t>
      </w:r>
    </w:p>
    <w:p w14:paraId="1A101FFD" w14:textId="37C2D527" w:rsidR="0034044E" w:rsidRDefault="0034044E" w:rsidP="0034044E">
      <w:commentRangeStart w:id="1"/>
      <w:r w:rsidRPr="0034044E">
        <w:lastRenderedPageBreak/>
        <w:t>To account for observational limitations, we established a completeness limit of approximately 36.5 erg s</w:t>
      </w:r>
      <w:r w:rsidRPr="0034044E">
        <w:rPr>
          <w:vertAlign w:val="superscript"/>
        </w:rPr>
        <w:t>−1</w:t>
      </w:r>
      <w:r w:rsidRPr="0034044E">
        <w:t>cm</w:t>
      </w:r>
      <w:r w:rsidRPr="0034044E">
        <w:rPr>
          <w:vertAlign w:val="superscript"/>
        </w:rPr>
        <w:t>−2</w:t>
      </w:r>
      <w:r w:rsidRPr="0034044E">
        <w:t xml:space="preserve"> (log space) as a threshold below which faint H II regions remain undetected. This limit allowed us to correct for under-sampling of low-luminosity sources and ensure an accurate representation in the luminosity function.</w:t>
      </w:r>
      <w:commentRangeEnd w:id="1"/>
      <w:r w:rsidR="006E137B">
        <w:rPr>
          <w:rStyle w:val="CommentReference"/>
        </w:rPr>
        <w:commentReference w:id="1"/>
      </w:r>
    </w:p>
    <w:p w14:paraId="36A98C14" w14:textId="77777777" w:rsidR="006E137B" w:rsidRPr="006E137B" w:rsidRDefault="006E137B" w:rsidP="006E137B">
      <w:pPr>
        <w:rPr>
          <w:b/>
          <w:bCs/>
        </w:rPr>
      </w:pPr>
      <w:r w:rsidRPr="006E137B">
        <w:rPr>
          <w:b/>
          <w:bCs/>
        </w:rPr>
        <w:t>Luminosity Function Analysis and Power-Law Fitting</w:t>
      </w:r>
    </w:p>
    <w:p w14:paraId="216FB136" w14:textId="77777777" w:rsidR="006E137B" w:rsidRPr="006E137B" w:rsidRDefault="006E137B" w:rsidP="006E137B">
      <w:r w:rsidRPr="006E137B">
        <w:t>To derive the luminosity function, we selected bin widths that balanced statistical significance with sufficient resolution, ensuring each bin contained enough data points to support a meaningful power-law fit while preserving the shape of the luminosity distribution. Following Van Zee et al. (2000), we experimented with varying bin widths and confirmed the stability of the power-law index across these configurations to ensure robustness in the fit.</w:t>
      </w:r>
    </w:p>
    <w:p w14:paraId="54EE2534" w14:textId="7B9B2E04" w:rsidR="006E137B" w:rsidRPr="006E137B" w:rsidRDefault="006E137B" w:rsidP="006E137B">
      <w:r w:rsidRPr="006E137B">
        <w:t xml:space="preserve">We then modeled the luminosity function of the H II regions as a power law, consistent with previous studies on similar galaxies (Van Zee et al. 2000). </w:t>
      </w:r>
      <w:commentRangeStart w:id="2"/>
      <w:r w:rsidRPr="006E137B">
        <w:t>The function N(L)=AL</w:t>
      </w:r>
      <w:r w:rsidRPr="006E137B">
        <w:rPr>
          <w:vertAlign w:val="superscript"/>
        </w:rPr>
        <w:t>α</w:t>
      </w:r>
      <w:r>
        <w:rPr>
          <w:rFonts w:ascii="Arial" w:hAnsi="Arial" w:cs="Arial"/>
        </w:rPr>
        <w:t>dL</w:t>
      </w:r>
      <w:r w:rsidRPr="006E137B">
        <w:t>, where N(L) represents the number of H II regions with luminosity L, α is the power-law index, and dL</w:t>
      </w:r>
      <w:r>
        <w:t xml:space="preserve"> </w:t>
      </w:r>
      <w:r w:rsidRPr="006E137B">
        <w:t>is the bin size</w:t>
      </w:r>
      <w:commentRangeEnd w:id="2"/>
      <w:r>
        <w:rPr>
          <w:rStyle w:val="CommentReference"/>
        </w:rPr>
        <w:commentReference w:id="2"/>
      </w:r>
      <w:r w:rsidRPr="006E137B">
        <w:t>, allowed us to characterize the luminosity distribution and gain insight into the clustering and star formation activity within NGC 3741.</w:t>
      </w:r>
    </w:p>
    <w:p w14:paraId="01B940B7" w14:textId="77777777" w:rsidR="0034044E" w:rsidRPr="0034044E" w:rsidRDefault="0034044E" w:rsidP="0034044E">
      <w:pPr>
        <w:rPr>
          <w:b/>
          <w:bCs/>
        </w:rPr>
      </w:pPr>
      <w:r w:rsidRPr="0034044E">
        <w:rPr>
          <w:b/>
          <w:bCs/>
        </w:rPr>
        <w:t>Results</w:t>
      </w:r>
    </w:p>
    <w:p w14:paraId="3AF452C5" w14:textId="2111A246" w:rsidR="0034044E" w:rsidRPr="0034044E" w:rsidRDefault="0034044E" w:rsidP="0034044E">
      <w:r w:rsidRPr="0034044E">
        <w:t xml:space="preserve">Our analysis yielded a luminosity function with a power-law index of </w:t>
      </w:r>
      <w:commentRangeStart w:id="3"/>
      <w:r w:rsidRPr="0034044E">
        <w:t>−1.53</w:t>
      </w:r>
      <w:commentRangeEnd w:id="3"/>
      <w:r w:rsidR="006E137B">
        <w:rPr>
          <w:rStyle w:val="CommentReference"/>
        </w:rPr>
        <w:commentReference w:id="3"/>
      </w:r>
      <w:r w:rsidRPr="0034044E">
        <w:t xml:space="preserve">, consistent with values reported for dwarf irregular galaxies (Youngblood &amp; Hunter 1999; </w:t>
      </w:r>
      <w:proofErr w:type="spellStart"/>
      <w:r w:rsidRPr="0034044E">
        <w:t>Elmegreen</w:t>
      </w:r>
      <w:proofErr w:type="spellEnd"/>
      <w:r w:rsidRPr="0034044E">
        <w:t xml:space="preserve"> &amp; Salzer 1999; Van Zee et al. 2000).</w:t>
      </w:r>
    </w:p>
    <w:p w14:paraId="4A182270" w14:textId="77777777" w:rsidR="0034044E" w:rsidRPr="0034044E" w:rsidRDefault="0034044E" w:rsidP="0034044E">
      <w:commentRangeStart w:id="4"/>
      <w:r w:rsidRPr="0034044E">
        <w:t>Comparison of the total Hα flux with the summed flux from H II regions reveals a slightly different distribution from prior studies. While previous research suggests that roughly 50% of ionized gas resides within H II regions, we measured an interior flux of 364,712.36 and an exterior flux of 111,028.28, resulting in a total integrated flux of 475,740.64. This indicates that approximately 76.6% of the ionized gas in NGC 3741 is concentrated within the H II regions, with 23.4% in diffuse exterior areas. This higher concentration may reflect differences in data resolution, completeness limits, or intrinsic properties specific to NGC 3741.</w:t>
      </w:r>
      <w:commentRangeEnd w:id="4"/>
      <w:r w:rsidR="006E137B">
        <w:rPr>
          <w:rStyle w:val="CommentReference"/>
        </w:rPr>
        <w:commentReference w:id="4"/>
      </w:r>
    </w:p>
    <w:p w14:paraId="1AEE0F7C" w14:textId="77777777" w:rsidR="0034044E" w:rsidRPr="006E137B" w:rsidRDefault="0034044E" w:rsidP="0034044E">
      <w:pPr>
        <w:rPr>
          <w:color w:val="4EA72E" w:themeColor="accent6"/>
        </w:rPr>
      </w:pPr>
      <w:r w:rsidRPr="006E137B">
        <w:rPr>
          <w:i/>
          <w:iCs/>
          <w:color w:val="4EA72E" w:themeColor="accent6"/>
        </w:rPr>
        <w:t>Insert Figure: Plot of the luminosity function with power-law fit, indicating completeness limit.</w:t>
      </w:r>
    </w:p>
    <w:p w14:paraId="2988BBDA" w14:textId="77777777" w:rsidR="004C45EC" w:rsidRDefault="004C45EC"/>
    <w:sectPr w:rsidR="004C45E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Wells, James Michael" w:date="2024-11-08T11:11:00Z" w:initials="JW">
    <w:p w14:paraId="5595EFAB" w14:textId="77777777" w:rsidR="0034440E" w:rsidRDefault="0034440E" w:rsidP="0034440E">
      <w:r>
        <w:rPr>
          <w:rStyle w:val="CommentReference"/>
        </w:rPr>
        <w:annotationRef/>
      </w:r>
      <w:r>
        <w:rPr>
          <w:sz w:val="20"/>
          <w:szCs w:val="20"/>
        </w:rPr>
        <w:t>I went through and tried to condense everything I had written previously from 6 pages down to 1.5 (unsure exactly what size we are looking for) but I hope it still flows coherently.</w:t>
      </w:r>
    </w:p>
    <w:p w14:paraId="741855A6" w14:textId="77777777" w:rsidR="0034440E" w:rsidRDefault="0034440E" w:rsidP="0034440E"/>
    <w:p w14:paraId="649ABC09" w14:textId="77777777" w:rsidR="0034440E" w:rsidRDefault="0034440E" w:rsidP="0034440E">
      <w:r>
        <w:rPr>
          <w:sz w:val="20"/>
          <w:szCs w:val="20"/>
        </w:rPr>
        <w:t>We still need two overall updates I believe:</w:t>
      </w:r>
    </w:p>
    <w:p w14:paraId="1F2C9357" w14:textId="77777777" w:rsidR="0034440E" w:rsidRDefault="0034440E" w:rsidP="0034440E">
      <w:r>
        <w:rPr>
          <w:sz w:val="20"/>
          <w:szCs w:val="20"/>
        </w:rPr>
        <w:t>1. Change all flux values from counts per pixel to an actual flux output throughout the paper.</w:t>
      </w:r>
    </w:p>
    <w:p w14:paraId="14C115A0" w14:textId="77777777" w:rsidR="0034440E" w:rsidRDefault="0034440E" w:rsidP="0034440E">
      <w:r>
        <w:rPr>
          <w:sz w:val="20"/>
          <w:szCs w:val="20"/>
        </w:rPr>
        <w:t>2. Solidify how we want to speak about HII regions, and what wording we wish to use in regard to interior and exterior regions etc. (Then I can make those changes throughout.</w:t>
      </w:r>
    </w:p>
  </w:comment>
  <w:comment w:id="1" w:author="Wells, James Michael" w:date="2024-11-08T11:07:00Z" w:initials="JW">
    <w:p w14:paraId="1061F086" w14:textId="59C3B456" w:rsidR="006E137B" w:rsidRDefault="006E137B" w:rsidP="006E137B">
      <w:r>
        <w:rPr>
          <w:rStyle w:val="CommentReference"/>
        </w:rPr>
        <w:annotationRef/>
      </w:r>
      <w:r>
        <w:rPr>
          <w:sz w:val="20"/>
          <w:szCs w:val="20"/>
        </w:rPr>
        <w:t>Did I represent this correctly?</w:t>
      </w:r>
    </w:p>
  </w:comment>
  <w:comment w:id="2" w:author="Wells, James Michael" w:date="2024-11-08T11:07:00Z" w:initials="JW">
    <w:p w14:paraId="25F385A0" w14:textId="1E0634CB" w:rsidR="006E137B" w:rsidRDefault="006E137B" w:rsidP="006E137B">
      <w:r>
        <w:rPr>
          <w:rStyle w:val="CommentReference"/>
        </w:rPr>
        <w:annotationRef/>
      </w:r>
      <w:r>
        <w:rPr>
          <w:sz w:val="20"/>
          <w:szCs w:val="20"/>
        </w:rPr>
        <w:t>Is this common enough that it need not be included in our paper?</w:t>
      </w:r>
    </w:p>
  </w:comment>
  <w:comment w:id="3" w:author="Wells, James Michael" w:date="2024-11-08T11:05:00Z" w:initials="JW">
    <w:p w14:paraId="4150424F" w14:textId="0F8C62DB" w:rsidR="006E137B" w:rsidRDefault="006E137B" w:rsidP="006E137B">
      <w:r>
        <w:rPr>
          <w:rStyle w:val="CommentReference"/>
        </w:rPr>
        <w:annotationRef/>
      </w:r>
      <w:r>
        <w:rPr>
          <w:sz w:val="20"/>
          <w:szCs w:val="20"/>
        </w:rPr>
        <w:t>Need error values for power law index</w:t>
      </w:r>
    </w:p>
  </w:comment>
  <w:comment w:id="4" w:author="Wells, James Michael" w:date="2024-11-08T11:06:00Z" w:initials="JW">
    <w:p w14:paraId="40C23537" w14:textId="77777777" w:rsidR="006E137B" w:rsidRDefault="006E137B" w:rsidP="006E137B">
      <w:r>
        <w:rPr>
          <w:rStyle w:val="CommentReference"/>
        </w:rPr>
        <w:annotationRef/>
      </w:r>
      <w:r>
        <w:rPr>
          <w:sz w:val="20"/>
          <w:szCs w:val="20"/>
        </w:rPr>
        <w:t>Unsure if this was analyzed correctly, in Liese’s paper the regions were drawn up slightly differently. It is not clear to me that the high surface brightness vs diffuse regions should share the same relationship we derived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14C115A0" w15:done="0"/>
  <w15:commentEx w15:paraId="1061F086" w15:done="0"/>
  <w15:commentEx w15:paraId="25F385A0" w15:done="0"/>
  <w15:commentEx w15:paraId="4150424F" w15:done="0"/>
  <w15:commentEx w15:paraId="40C2353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1D72B798" w16cex:dateUtc="2024-11-08T16:11:00Z"/>
  <w16cex:commentExtensible w16cex:durableId="3045E404" w16cex:dateUtc="2024-11-08T16:07:00Z"/>
  <w16cex:commentExtensible w16cex:durableId="18968055" w16cex:dateUtc="2024-11-08T16:07:00Z"/>
  <w16cex:commentExtensible w16cex:durableId="546BC1C8" w16cex:dateUtc="2024-11-08T16:05:00Z"/>
  <w16cex:commentExtensible w16cex:durableId="3E9FAB50" w16cex:dateUtc="2024-11-08T16: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4C115A0" w16cid:durableId="1D72B798"/>
  <w16cid:commentId w16cid:paraId="1061F086" w16cid:durableId="3045E404"/>
  <w16cid:commentId w16cid:paraId="25F385A0" w16cid:durableId="18968055"/>
  <w16cid:commentId w16cid:paraId="4150424F" w16cid:durableId="546BC1C8"/>
  <w16cid:commentId w16cid:paraId="40C23537" w16cid:durableId="3E9FAB5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Wells, James Michael">
    <w15:presenceInfo w15:providerId="AD" w15:userId="S::wellsjam@iu.edu::4b6a87a9-6ba6-4a93-8094-cc0a4e99a4a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044E"/>
    <w:rsid w:val="0034044E"/>
    <w:rsid w:val="0034440E"/>
    <w:rsid w:val="003902E4"/>
    <w:rsid w:val="004C45EC"/>
    <w:rsid w:val="005E211B"/>
    <w:rsid w:val="006E137B"/>
    <w:rsid w:val="008D2747"/>
    <w:rsid w:val="00A94409"/>
    <w:rsid w:val="00BE680D"/>
    <w:rsid w:val="00FB2B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B782D"/>
  <w15:chartTrackingRefBased/>
  <w15:docId w15:val="{7C40AC01-082D-4904-B769-78445D46D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044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4044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4044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4044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4044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4044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4044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4044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4044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044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4044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4044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4044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4044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4044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4044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4044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4044E"/>
    <w:rPr>
      <w:rFonts w:eastAsiaTheme="majorEastAsia" w:cstheme="majorBidi"/>
      <w:color w:val="272727" w:themeColor="text1" w:themeTint="D8"/>
    </w:rPr>
  </w:style>
  <w:style w:type="paragraph" w:styleId="Title">
    <w:name w:val="Title"/>
    <w:basedOn w:val="Normal"/>
    <w:next w:val="Normal"/>
    <w:link w:val="TitleChar"/>
    <w:uiPriority w:val="10"/>
    <w:qFormat/>
    <w:rsid w:val="003404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04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4044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4044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4044E"/>
    <w:pPr>
      <w:spacing w:before="160"/>
      <w:jc w:val="center"/>
    </w:pPr>
    <w:rPr>
      <w:i/>
      <w:iCs/>
      <w:color w:val="404040" w:themeColor="text1" w:themeTint="BF"/>
    </w:rPr>
  </w:style>
  <w:style w:type="character" w:customStyle="1" w:styleId="QuoteChar">
    <w:name w:val="Quote Char"/>
    <w:basedOn w:val="DefaultParagraphFont"/>
    <w:link w:val="Quote"/>
    <w:uiPriority w:val="29"/>
    <w:rsid w:val="0034044E"/>
    <w:rPr>
      <w:i/>
      <w:iCs/>
      <w:color w:val="404040" w:themeColor="text1" w:themeTint="BF"/>
    </w:rPr>
  </w:style>
  <w:style w:type="paragraph" w:styleId="ListParagraph">
    <w:name w:val="List Paragraph"/>
    <w:basedOn w:val="Normal"/>
    <w:uiPriority w:val="34"/>
    <w:qFormat/>
    <w:rsid w:val="0034044E"/>
    <w:pPr>
      <w:ind w:left="720"/>
      <w:contextualSpacing/>
    </w:pPr>
  </w:style>
  <w:style w:type="character" w:styleId="IntenseEmphasis">
    <w:name w:val="Intense Emphasis"/>
    <w:basedOn w:val="DefaultParagraphFont"/>
    <w:uiPriority w:val="21"/>
    <w:qFormat/>
    <w:rsid w:val="0034044E"/>
    <w:rPr>
      <w:i/>
      <w:iCs/>
      <w:color w:val="0F4761" w:themeColor="accent1" w:themeShade="BF"/>
    </w:rPr>
  </w:style>
  <w:style w:type="paragraph" w:styleId="IntenseQuote">
    <w:name w:val="Intense Quote"/>
    <w:basedOn w:val="Normal"/>
    <w:next w:val="Normal"/>
    <w:link w:val="IntenseQuoteChar"/>
    <w:uiPriority w:val="30"/>
    <w:qFormat/>
    <w:rsid w:val="0034044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4044E"/>
    <w:rPr>
      <w:i/>
      <w:iCs/>
      <w:color w:val="0F4761" w:themeColor="accent1" w:themeShade="BF"/>
    </w:rPr>
  </w:style>
  <w:style w:type="character" w:styleId="IntenseReference">
    <w:name w:val="Intense Reference"/>
    <w:basedOn w:val="DefaultParagraphFont"/>
    <w:uiPriority w:val="32"/>
    <w:qFormat/>
    <w:rsid w:val="0034044E"/>
    <w:rPr>
      <w:b/>
      <w:bCs/>
      <w:smallCaps/>
      <w:color w:val="0F4761" w:themeColor="accent1" w:themeShade="BF"/>
      <w:spacing w:val="5"/>
    </w:rPr>
  </w:style>
  <w:style w:type="character" w:styleId="CommentReference">
    <w:name w:val="annotation reference"/>
    <w:basedOn w:val="DefaultParagraphFont"/>
    <w:uiPriority w:val="99"/>
    <w:semiHidden/>
    <w:unhideWhenUsed/>
    <w:rsid w:val="006E137B"/>
    <w:rPr>
      <w:sz w:val="16"/>
      <w:szCs w:val="16"/>
    </w:rPr>
  </w:style>
  <w:style w:type="paragraph" w:styleId="CommentText">
    <w:name w:val="annotation text"/>
    <w:basedOn w:val="Normal"/>
    <w:link w:val="CommentTextChar"/>
    <w:uiPriority w:val="99"/>
    <w:semiHidden/>
    <w:unhideWhenUsed/>
    <w:rsid w:val="006E137B"/>
    <w:pPr>
      <w:spacing w:line="240" w:lineRule="auto"/>
    </w:pPr>
    <w:rPr>
      <w:sz w:val="20"/>
      <w:szCs w:val="20"/>
    </w:rPr>
  </w:style>
  <w:style w:type="character" w:customStyle="1" w:styleId="CommentTextChar">
    <w:name w:val="Comment Text Char"/>
    <w:basedOn w:val="DefaultParagraphFont"/>
    <w:link w:val="CommentText"/>
    <w:uiPriority w:val="99"/>
    <w:semiHidden/>
    <w:rsid w:val="006E137B"/>
    <w:rPr>
      <w:sz w:val="20"/>
      <w:szCs w:val="20"/>
    </w:rPr>
  </w:style>
  <w:style w:type="paragraph" w:styleId="CommentSubject">
    <w:name w:val="annotation subject"/>
    <w:basedOn w:val="CommentText"/>
    <w:next w:val="CommentText"/>
    <w:link w:val="CommentSubjectChar"/>
    <w:uiPriority w:val="99"/>
    <w:semiHidden/>
    <w:unhideWhenUsed/>
    <w:rsid w:val="006E137B"/>
    <w:rPr>
      <w:b/>
      <w:bCs/>
    </w:rPr>
  </w:style>
  <w:style w:type="character" w:customStyle="1" w:styleId="CommentSubjectChar">
    <w:name w:val="Comment Subject Char"/>
    <w:basedOn w:val="CommentTextChar"/>
    <w:link w:val="CommentSubject"/>
    <w:uiPriority w:val="99"/>
    <w:semiHidden/>
    <w:rsid w:val="006E137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4294976">
      <w:bodyDiv w:val="1"/>
      <w:marLeft w:val="0"/>
      <w:marRight w:val="0"/>
      <w:marTop w:val="0"/>
      <w:marBottom w:val="0"/>
      <w:divBdr>
        <w:top w:val="none" w:sz="0" w:space="0" w:color="auto"/>
        <w:left w:val="none" w:sz="0" w:space="0" w:color="auto"/>
        <w:bottom w:val="none" w:sz="0" w:space="0" w:color="auto"/>
        <w:right w:val="none" w:sz="0" w:space="0" w:color="auto"/>
      </w:divBdr>
    </w:div>
    <w:div w:id="628701800">
      <w:bodyDiv w:val="1"/>
      <w:marLeft w:val="0"/>
      <w:marRight w:val="0"/>
      <w:marTop w:val="0"/>
      <w:marBottom w:val="0"/>
      <w:divBdr>
        <w:top w:val="none" w:sz="0" w:space="0" w:color="auto"/>
        <w:left w:val="none" w:sz="0" w:space="0" w:color="auto"/>
        <w:bottom w:val="none" w:sz="0" w:space="0" w:color="auto"/>
        <w:right w:val="none" w:sz="0" w:space="0" w:color="auto"/>
      </w:divBdr>
    </w:div>
    <w:div w:id="638534528">
      <w:bodyDiv w:val="1"/>
      <w:marLeft w:val="0"/>
      <w:marRight w:val="0"/>
      <w:marTop w:val="0"/>
      <w:marBottom w:val="0"/>
      <w:divBdr>
        <w:top w:val="none" w:sz="0" w:space="0" w:color="auto"/>
        <w:left w:val="none" w:sz="0" w:space="0" w:color="auto"/>
        <w:bottom w:val="none" w:sz="0" w:space="0" w:color="auto"/>
        <w:right w:val="none" w:sz="0" w:space="0" w:color="auto"/>
      </w:divBdr>
    </w:div>
    <w:div w:id="878785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804</Words>
  <Characters>4586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Wells</dc:creator>
  <cp:keywords/>
  <dc:description/>
  <cp:lastModifiedBy>Wells, James Michael</cp:lastModifiedBy>
  <cp:revision>2</cp:revision>
  <dcterms:created xsi:type="dcterms:W3CDTF">2024-11-08T16:12:00Z</dcterms:created>
  <dcterms:modified xsi:type="dcterms:W3CDTF">2024-11-08T16:12:00Z</dcterms:modified>
</cp:coreProperties>
</file>