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bookmarkStart w:id="0" w:name="_GoBack"/>
      <w:bookmarkEnd w:id="0"/>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0415DF72" w14:textId="77777777" w:rsidR="00AF4341" w:rsidRDefault="00AF4341" w:rsidP="0073616F">
      <w:pPr>
        <w:pStyle w:val="Standard-zentriert"/>
      </w:pPr>
      <w:r>
        <w:t xml:space="preserve">Daniel Reimann, Dimitri Wagner, Gianna </w:t>
      </w:r>
      <w:proofErr w:type="spellStart"/>
      <w:r>
        <w:t>Dihpol</w:t>
      </w:r>
      <w:proofErr w:type="spellEnd"/>
      <w:r>
        <w:t xml:space="preserve">, Laura </w:t>
      </w:r>
      <w:proofErr w:type="spellStart"/>
      <w:r>
        <w:t>Biberle</w:t>
      </w:r>
      <w:proofErr w:type="spellEnd"/>
      <w:r>
        <w:t xml:space="preserve">, Marcel Mahlfeld, </w:t>
      </w:r>
    </w:p>
    <w:p w14:paraId="1450857C" w14:textId="72AD795D" w:rsidR="009F23C2" w:rsidRPr="009F23C2" w:rsidRDefault="00AF4341" w:rsidP="0073616F">
      <w:pPr>
        <w:pStyle w:val="Standard-zentriert"/>
      </w:pPr>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Datenbanken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270020">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Änderbarkeit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270020">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270020">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270020">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1" w:name="_Toc54184395"/>
      <w:r>
        <w:lastRenderedPageBreak/>
        <w:t>Einleitung</w:t>
      </w:r>
      <w:bookmarkEnd w:id="1"/>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w:t>
      </w:r>
      <w:proofErr w:type="spellStart"/>
      <w:r>
        <w:t>Configuration</w:t>
      </w:r>
      <w:proofErr w:type="spellEnd"/>
      <w:r>
        <w:t xml:space="preserve"> Management dar.</w:t>
      </w:r>
    </w:p>
    <w:p w14:paraId="4CF233B3" w14:textId="77777777" w:rsidR="00AD0D00" w:rsidRDefault="00AD0D00" w:rsidP="00AD0D00">
      <w:pPr>
        <w:pStyle w:val="Listenfortsetzung"/>
        <w:ind w:left="0"/>
      </w:pPr>
      <w:r>
        <w:t xml:space="preserve">Das </w:t>
      </w:r>
      <w:proofErr w:type="spellStart"/>
      <w:r>
        <w:t>Configuration</w:t>
      </w:r>
      <w:proofErr w:type="spellEnd"/>
      <w:r>
        <w:t xml:space="preserve">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xml:space="preserve">. Hierfür werden Informationen vor allem über die Konfiguration der Assets und die Beziehung zwischen den einzelnen Assets in einem </w:t>
      </w:r>
      <w:proofErr w:type="spellStart"/>
      <w:r>
        <w:t>Configuration</w:t>
      </w:r>
      <w:proofErr w:type="spellEnd"/>
      <w:r>
        <w:t xml:space="preserve"> Management System (CMS) dokumentiert und in einer dazugehörigen </w:t>
      </w:r>
      <w:proofErr w:type="spellStart"/>
      <w:r>
        <w:t>Configuration</w:t>
      </w:r>
      <w:proofErr w:type="spellEnd"/>
      <w:r>
        <w:t xml:space="preserve"> Management Database abgespeichert. Die einzelnen Assets und deren Konfigurationsdetails werden hierbei anhand von </w:t>
      </w:r>
      <w:proofErr w:type="spellStart"/>
      <w:r>
        <w:t>Configuration</w:t>
      </w:r>
      <w:proofErr w:type="spellEnd"/>
      <w:r>
        <w:t xml:space="preserve"> Records festgehalten.</w:t>
      </w:r>
      <w:r w:rsidRPr="00184416">
        <w:rPr>
          <w:rStyle w:val="Funotenzeichen"/>
        </w:rPr>
        <w:footnoteReference w:id="4"/>
      </w:r>
    </w:p>
    <w:p w14:paraId="02B632E5" w14:textId="77777777" w:rsidR="00AD0D00" w:rsidRDefault="00AD0D00" w:rsidP="00AD0D00">
      <w:pPr>
        <w:pStyle w:val="Listenfortsetzung"/>
        <w:ind w:left="0"/>
      </w:pPr>
      <w:r>
        <w:t xml:space="preserve">Die einzelnen Assets oder Komponenten werden als </w:t>
      </w:r>
      <w:proofErr w:type="spellStart"/>
      <w:r>
        <w:t>Configuration</w:t>
      </w:r>
      <w:proofErr w:type="spellEnd"/>
      <w:r>
        <w:t xml:space="preserve">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w:t>
      </w:r>
      <w:proofErr w:type="spellStart"/>
      <w:r>
        <w:t>Configuration</w:t>
      </w:r>
      <w:proofErr w:type="spellEnd"/>
      <w:r>
        <w:t xml:space="preserve"> Item Typen definiert, welche üblicherweise alle eingesetzten Hardware und Software Komponenten, wie zum Beispiel Server oder Datenbanken, beinhalten. Jedes CI und der dazugehörige </w:t>
      </w:r>
      <w:proofErr w:type="spellStart"/>
      <w:r>
        <w:t>Configuration</w:t>
      </w:r>
      <w:proofErr w:type="spellEnd"/>
      <w:r>
        <w:t xml:space="preserve"> </w:t>
      </w:r>
      <w:proofErr w:type="spellStart"/>
      <w:r>
        <w:t>Record</w:t>
      </w:r>
      <w:proofErr w:type="spellEnd"/>
      <w:r>
        <w:t xml:space="preserve"> ist somit genau einem </w:t>
      </w:r>
      <w:proofErr w:type="spellStart"/>
      <w:r>
        <w:t>Configuration</w:t>
      </w:r>
      <w:proofErr w:type="spellEnd"/>
      <w:r>
        <w:t xml:space="preserve"> Item Typ zugeordnet.</w:t>
      </w:r>
      <w:r>
        <w:rPr>
          <w:rStyle w:val="Funotenzeichen"/>
        </w:rPr>
        <w:footnoteReference w:id="6"/>
      </w:r>
      <w:r>
        <w:t xml:space="preserve"> Die CIs werden anhand von </w:t>
      </w:r>
      <w:proofErr w:type="spellStart"/>
      <w:r>
        <w:t>Configuration</w:t>
      </w:r>
      <w:proofErr w:type="spellEnd"/>
      <w:r>
        <w:t xml:space="preserve"> Records, welche alle für das bestimmte CI relevanten Informationen beinhalten, in einem CMS festgehalten. Hierbei beschreibt jeder </w:t>
      </w:r>
      <w:proofErr w:type="spellStart"/>
      <w:r>
        <w:t>Configuration</w:t>
      </w:r>
      <w:proofErr w:type="spellEnd"/>
      <w:r>
        <w:t xml:space="preserve"> </w:t>
      </w:r>
      <w:proofErr w:type="spellStart"/>
      <w:r>
        <w:t>Record</w:t>
      </w:r>
      <w:proofErr w:type="spellEnd"/>
      <w:r>
        <w:t xml:space="preserve">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2" w:name="_Toc54184396"/>
      <w:r>
        <w:lastRenderedPageBreak/>
        <w:t>Aufgabenstellung des Auftraggebers</w:t>
      </w:r>
      <w:bookmarkEnd w:id="2"/>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3" w:name="_Toc54184397"/>
      <w:r>
        <w:t>Anforderungsanalyse</w:t>
      </w:r>
      <w:bookmarkEnd w:id="3"/>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w:t>
      </w:r>
      <w:proofErr w:type="spellStart"/>
      <w:r>
        <w:t>Record</w:t>
      </w:r>
      <w:proofErr w:type="spellEnd"/>
      <w:r>
        <w:t xml:space="preserve">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w:t>
      </w:r>
      <w:proofErr w:type="spellStart"/>
      <w:r>
        <w:t>Record</w:t>
      </w:r>
      <w:proofErr w:type="spellEnd"/>
      <w:r>
        <w:t xml:space="preserve"> mit einem bestimmten CI-Typ einfach erstellt werden können. Hierbei sollen neben den bereits vordefinierten Attributen noch weitere hinzugefügt werden können, um auch alle besonderen Konfigurationen eines speziellen CIs im zugehörigen CI-</w:t>
      </w:r>
      <w:proofErr w:type="spellStart"/>
      <w:r>
        <w:t>Record</w:t>
      </w:r>
      <w:proofErr w:type="spellEnd"/>
      <w:r>
        <w:t xml:space="preserve">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4" w:name="_Toc54184398"/>
      <w:r>
        <w:t>Pflichtenheft</w:t>
      </w:r>
      <w:bookmarkEnd w:id="4"/>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 xml:space="preserve">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w:t>
      </w:r>
      <w:proofErr w:type="spellStart"/>
      <w:r>
        <w:t>Thymeleaf</w:t>
      </w:r>
      <w:proofErr w:type="spellEnd"/>
      <w:r>
        <w:t xml:space="preserve">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5" w:name="_Toc54184399"/>
      <w:r>
        <w:t>Modelle</w:t>
      </w:r>
      <w:bookmarkEnd w:id="5"/>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w:t>
      </w:r>
      <w:proofErr w:type="spellStart"/>
      <w:r>
        <w:t>Relationship</w:t>
      </w:r>
      <w:proofErr w:type="spellEnd"/>
      <w:r>
        <w:t>-Modells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6" w:name="_Toc54184400"/>
      <w:r>
        <w:t>Use-</w:t>
      </w:r>
      <w:proofErr w:type="spellStart"/>
      <w:r>
        <w:t>case</w:t>
      </w:r>
      <w:proofErr w:type="spellEnd"/>
      <w:r>
        <w:t>-Diagramm</w:t>
      </w:r>
      <w:bookmarkEnd w:id="6"/>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7"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7"/>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w:t>
      </w:r>
      <w:proofErr w:type="spellStart"/>
      <w:r>
        <w:t>Record</w:t>
      </w:r>
      <w:proofErr w:type="spellEnd"/>
      <w:r>
        <w:t xml:space="preserve">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 xml:space="preserve">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w:t>
      </w:r>
      <w:proofErr w:type="gramStart"/>
      <w:r>
        <w:t>erscheint</w:t>
      </w:r>
      <w:proofErr w:type="gramEnd"/>
      <w:r>
        <w:t xml:space="preserve">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8" w:name="_Toc54184401"/>
      <w:r>
        <w:t>Klassen-Diagramm</w:t>
      </w:r>
      <w:bookmarkEnd w:id="8"/>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w:t>
      </w:r>
      <w:proofErr w:type="spellStart"/>
      <w:r>
        <w:t>Get</w:t>
      </w:r>
      <w:proofErr w:type="spellEnd"/>
      <w:r>
        <w:t xml:space="preserve">-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w:t>
      </w:r>
      <w:proofErr w:type="gramStart"/>
      <w:r>
        <w:t>stellt</w:t>
      </w:r>
      <w:proofErr w:type="gramEnd"/>
      <w:r>
        <w:t xml:space="preserve">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9"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9"/>
    </w:p>
    <w:p w14:paraId="678D5D6F" w14:textId="77777777" w:rsidR="002E28B7" w:rsidRPr="00932834" w:rsidRDefault="002E28B7" w:rsidP="002E28B7"/>
    <w:p w14:paraId="354649CF" w14:textId="77777777" w:rsidR="002E28B7" w:rsidRPr="006D44C6" w:rsidRDefault="002E28B7" w:rsidP="002E28B7">
      <w:r>
        <w:t xml:space="preserve">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w:t>
      </w:r>
      <w:proofErr w:type="spellStart"/>
      <w:r>
        <w:t>ConfigItems</w:t>
      </w:r>
      <w:proofErr w:type="spellEnd"/>
      <w:r>
        <w:t xml:space="preserve"> und </w:t>
      </w:r>
      <w:proofErr w:type="spellStart"/>
      <w:r>
        <w:t>ConfigItemTypen</w:t>
      </w:r>
      <w:proofErr w:type="spellEnd"/>
      <w:r>
        <w:t>.</w:t>
      </w:r>
    </w:p>
    <w:p w14:paraId="648A65E9" w14:textId="77777777" w:rsidR="002E28B7" w:rsidRDefault="002E28B7" w:rsidP="002E28B7">
      <w:r>
        <w:t xml:space="preserve">Da ein </w:t>
      </w:r>
      <w:proofErr w:type="spellStart"/>
      <w:r>
        <w:t>ConfigItemTyp</w:t>
      </w:r>
      <w:proofErr w:type="spellEnd"/>
      <w:r>
        <w:t xml:space="preserve"> aus vielen </w:t>
      </w:r>
      <w:proofErr w:type="spellStart"/>
      <w:r>
        <w:t>ConfigItems</w:t>
      </w:r>
      <w:proofErr w:type="spellEnd"/>
      <w:r>
        <w:t xml:space="preserve"> besteht, handelt es sich hierbei um eine Aggregation. Allerdings kann ein </w:t>
      </w:r>
      <w:proofErr w:type="spellStart"/>
      <w:r>
        <w:t>ConfigItem</w:t>
      </w:r>
      <w:proofErr w:type="spellEnd"/>
      <w:r>
        <w:t xml:space="preserve"> auch nicht mehr zu einem bestehenden </w:t>
      </w:r>
      <w:proofErr w:type="spellStart"/>
      <w:r>
        <w:t>ConfigItemTyp</w:t>
      </w:r>
      <w:proofErr w:type="spellEnd"/>
      <w:r>
        <w:t xml:space="preserve"> zuordbar sein, wenn beispielsweise ein </w:t>
      </w:r>
      <w:proofErr w:type="spellStart"/>
      <w:r>
        <w:t>ConfigItemTyp</w:t>
      </w:r>
      <w:proofErr w:type="spellEnd"/>
      <w:r>
        <w:t xml:space="preserve"> gelöscht wurde, ohne dass zuvor alle dazugehörigen </w:t>
      </w:r>
      <w:proofErr w:type="spellStart"/>
      <w:r>
        <w:t>ConfigItems</w:t>
      </w:r>
      <w:proofErr w:type="spellEnd"/>
      <w:r>
        <w:t xml:space="preserve"> gelöscht wurden. Da die </w:t>
      </w:r>
      <w:proofErr w:type="spellStart"/>
      <w:r>
        <w:t>ConfigItems</w:t>
      </w:r>
      <w:proofErr w:type="spellEnd"/>
      <w:r>
        <w:t xml:space="preserve"> nicht automatisch gelöscht werden sollen, damit keine Daten verloren gehen, können diese auch noch ohne den dazugehörigen </w:t>
      </w:r>
      <w:proofErr w:type="spellStart"/>
      <w:r>
        <w:t>ConfigItemTyp</w:t>
      </w:r>
      <w:proofErr w:type="spellEnd"/>
      <w:r>
        <w:t xml:space="preserve"> bestehen. Deshalb handelt es sich hierbei nicht um eine Komposition, sondern um eine Aggregation.</w:t>
      </w:r>
    </w:p>
    <w:p w14:paraId="2C748213" w14:textId="77777777" w:rsidR="002E28B7" w:rsidRDefault="002E28B7" w:rsidP="002E28B7">
      <w:r>
        <w:t xml:space="preserve">Die vordefinierten Attribute für den </w:t>
      </w:r>
      <w:proofErr w:type="spellStart"/>
      <w:r>
        <w:t>ConfigItemTyp</w:t>
      </w:r>
      <w:proofErr w:type="spellEnd"/>
      <w:r>
        <w:t xml:space="preserve"> werden hierbei in einer anderen Klasse festgehalten, damit eine beliebige Anzahl an Attributen zu einem </w:t>
      </w:r>
      <w:proofErr w:type="spellStart"/>
      <w:r>
        <w:t>ConfigItemTyp</w:t>
      </w:r>
      <w:proofErr w:type="spellEnd"/>
      <w:r>
        <w:t xml:space="preserve"> hinzugefügt werden können. Die Attributarten werden hierbei in der Klasse Attributtyp definiert. In der Klasse Attribut wird dann einem bestimmten </w:t>
      </w:r>
      <w:proofErr w:type="spellStart"/>
      <w:r>
        <w:t>ConfigItem</w:t>
      </w:r>
      <w:proofErr w:type="spellEnd"/>
      <w:r>
        <w:t xml:space="preserve"> ein Wert zu einem gewissen Attributtyp zugewiesen. Zum Beispiel kann für den </w:t>
      </w:r>
      <w:proofErr w:type="spellStart"/>
      <w:r>
        <w:t>ConfigItemTyp</w:t>
      </w:r>
      <w:proofErr w:type="spellEnd"/>
      <w:r>
        <w:t xml:space="preserve"> „Drucker“ eine Instanz der Klasse </w:t>
      </w:r>
      <w:proofErr w:type="spellStart"/>
      <w:r>
        <w:t>AttributTyp</w:t>
      </w:r>
      <w:proofErr w:type="spellEnd"/>
      <w:r>
        <w:t xml:space="preserve"> mit dem Namen „Anschaffungsjahr“ erstellt werden. Wenn dann ein </w:t>
      </w:r>
      <w:proofErr w:type="spellStart"/>
      <w:r>
        <w:t>ConfigItem-Record</w:t>
      </w:r>
      <w:proofErr w:type="spellEnd"/>
      <w:r>
        <w:t xml:space="preserve"> </w:t>
      </w:r>
      <w:r>
        <w:lastRenderedPageBreak/>
        <w:t xml:space="preserve">des Typs Drucker erstellt wird, wird in einer Instanz der Klasse Attribut das Anschaffungsjahr des bestimmten Druckers festgehalten. Da ein Attribut genau zu einem Attributtyp und einem </w:t>
      </w:r>
      <w:proofErr w:type="spellStart"/>
      <w:r>
        <w:t>ConfigItem</w:t>
      </w:r>
      <w:proofErr w:type="spellEnd"/>
      <w:r>
        <w:t xml:space="preserve"> gehört und nur existiert, solange der dazugehörige Attributtyp und der CI-</w:t>
      </w:r>
      <w:proofErr w:type="spellStart"/>
      <w:r>
        <w:t>Record</w:t>
      </w:r>
      <w:proofErr w:type="spellEnd"/>
      <w:r>
        <w:t xml:space="preserve"> existiert, handelt es sich hierbei um Kompositionen.</w:t>
      </w:r>
    </w:p>
    <w:p w14:paraId="77A11866" w14:textId="19068DEC" w:rsidR="002E28B7" w:rsidRDefault="002E28B7" w:rsidP="002E28B7">
      <w:r>
        <w:t xml:space="preserve">Hierbei werden Attributtypen immer zu einem bestimmten </w:t>
      </w:r>
      <w:proofErr w:type="spellStart"/>
      <w:r>
        <w:t>ConfigItemTyp</w:t>
      </w:r>
      <w:proofErr w:type="spellEnd"/>
      <w:r>
        <w:t xml:space="preserve"> erstellt, falls unterschiedliche </w:t>
      </w:r>
      <w:proofErr w:type="spellStart"/>
      <w:r>
        <w:t>ConfigItemTypen</w:t>
      </w:r>
      <w:proofErr w:type="spellEnd"/>
      <w:r>
        <w:t xml:space="preserve"> einen gleichen Attributtyp besitzen, wird hierfür also ein weiterer Attributtyp mit der gleichen Bezeichnung erstellt. Deshalb handelt es sich hierbei um eine „</w:t>
      </w:r>
      <w:proofErr w:type="gramStart"/>
      <w:r>
        <w:t>1:n</w:t>
      </w:r>
      <w:proofErr w:type="gramEnd"/>
      <w:r>
        <w:t xml:space="preserve">“-Beziehung, da kein Attributtyp mehreren </w:t>
      </w:r>
      <w:proofErr w:type="spellStart"/>
      <w:r>
        <w:t>ConfigItemTypen</w:t>
      </w:r>
      <w:proofErr w:type="spellEnd"/>
      <w:r>
        <w:t xml:space="preserve">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10" w:name="_Toc54184402"/>
      <w:r>
        <w:t>Entity-</w:t>
      </w:r>
      <w:proofErr w:type="spellStart"/>
      <w:r>
        <w:t>Relationship</w:t>
      </w:r>
      <w:proofErr w:type="spellEnd"/>
      <w:r>
        <w:t>-Modelle</w:t>
      </w:r>
      <w:bookmarkEnd w:id="10"/>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w:t>
      </w:r>
      <w:proofErr w:type="spellStart"/>
      <w:r>
        <w:t>Relationship</w:t>
      </w:r>
      <w:proofErr w:type="spellEnd"/>
      <w:r>
        <w:t xml:space="preserve">-Modelle (ERM) erstellt. Dabei wurde zwischen der Datenbank für die </w:t>
      </w:r>
      <w:proofErr w:type="spellStart"/>
      <w:r>
        <w:t>Configuration</w:t>
      </w:r>
      <w:proofErr w:type="spellEnd"/>
      <w:r>
        <w:t xml:space="preserve"> Items (siehe Abb. 5) und der Berechtigungsdatenbank (siehe Abb. 4) unterschieden, da nicht festgehalten wird, wer welchen CI-</w:t>
      </w:r>
      <w:proofErr w:type="spellStart"/>
      <w:r>
        <w:t>Record</w:t>
      </w:r>
      <w:proofErr w:type="spellEnd"/>
      <w:r>
        <w:t xml:space="preserve"> oder </w:t>
      </w:r>
      <w:proofErr w:type="spellStart"/>
      <w:r>
        <w:t>CITyp</w:t>
      </w:r>
      <w:proofErr w:type="spellEnd"/>
      <w:r>
        <w:t xml:space="preserve"> erstellt hat, sodass die Verbindung zwischen Benutzer und CI-</w:t>
      </w:r>
      <w:proofErr w:type="spellStart"/>
      <w:r>
        <w:t>Record</w:t>
      </w:r>
      <w:proofErr w:type="spellEnd"/>
      <w:r>
        <w:t xml:space="preserve">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1"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1"/>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w:t>
      </w:r>
      <w:proofErr w:type="spellStart"/>
      <w:r>
        <w:t>BerechtigungsID</w:t>
      </w:r>
      <w:proofErr w:type="spellEnd"/>
      <w:r>
        <w:t xml:space="preserve">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2"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2"/>
    </w:p>
    <w:p w14:paraId="332589F5" w14:textId="77777777" w:rsidR="00BE7F09" w:rsidRDefault="00BE7F09" w:rsidP="00BE7F09"/>
    <w:p w14:paraId="422A3E17" w14:textId="77777777" w:rsidR="00BE7F09" w:rsidRDefault="00BE7F09" w:rsidP="00BE7F09">
      <w:r>
        <w:t xml:space="preserve">In der CI-Datenbank werden alle Informationen bezüglich der CI-Records und CI-Typen festgehalten. Beim </w:t>
      </w:r>
      <w:proofErr w:type="spellStart"/>
      <w:r>
        <w:t>ConfigItemTyp</w:t>
      </w:r>
      <w:proofErr w:type="spellEnd"/>
      <w:r>
        <w:t xml:space="preserve"> wird lediglich der Name festgehalten, welcher zugleich auch als Schlüssel dient. Das bedeutet, dass der Name eindeutig sein muss und nicht öfters vorkommen darf. Die dazugehörigen Attribute werden hier in der </w:t>
      </w:r>
      <w:proofErr w:type="spellStart"/>
      <w:r>
        <w:t>AttributTyp</w:t>
      </w:r>
      <w:proofErr w:type="spellEnd"/>
      <w:r>
        <w:t xml:space="preserve"> Tabelle mit einem Namen und dem </w:t>
      </w:r>
      <w:proofErr w:type="spellStart"/>
      <w:r>
        <w:t>ConfigItemTypnamen</w:t>
      </w:r>
      <w:proofErr w:type="spellEnd"/>
      <w:r>
        <w:t xml:space="preserve"> als Fremdschlüssel des dazugehörigen </w:t>
      </w:r>
      <w:proofErr w:type="spellStart"/>
      <w:r>
        <w:t>ConfigItemTyp</w:t>
      </w:r>
      <w:proofErr w:type="spellEnd"/>
      <w:r>
        <w:t xml:space="preserve"> gespeichert.</w:t>
      </w:r>
    </w:p>
    <w:p w14:paraId="699CDA22" w14:textId="77777777" w:rsidR="00BE7F09" w:rsidRDefault="00BE7F09" w:rsidP="00BE7F09">
      <w:r>
        <w:t xml:space="preserve">Ebenso hat die Tabelle, in der die </w:t>
      </w:r>
      <w:proofErr w:type="spellStart"/>
      <w:r>
        <w:t>ConfigItems</w:t>
      </w:r>
      <w:proofErr w:type="spellEnd"/>
      <w:r>
        <w:t xml:space="preserve"> gespeichert werden, den Namen des übergeordneten </w:t>
      </w:r>
      <w:proofErr w:type="spellStart"/>
      <w:r>
        <w:t>ConfigItemTyp</w:t>
      </w:r>
      <w:proofErr w:type="spellEnd"/>
      <w:r>
        <w:t xml:space="preserve"> als Fremdschlüssel gespeichert, damit zuordbar ist, zu welchem </w:t>
      </w:r>
      <w:proofErr w:type="spellStart"/>
      <w:r>
        <w:t>ConfigItemTyp</w:t>
      </w:r>
      <w:proofErr w:type="spellEnd"/>
      <w:r>
        <w:t xml:space="preserve"> das </w:t>
      </w:r>
      <w:proofErr w:type="spellStart"/>
      <w:r>
        <w:t>ConfigItem</w:t>
      </w:r>
      <w:proofErr w:type="spellEnd"/>
      <w:r>
        <w:t xml:space="preserve"> gehört. Außerdem hat das </w:t>
      </w:r>
      <w:proofErr w:type="spellStart"/>
      <w:r>
        <w:t>ConfigItem</w:t>
      </w:r>
      <w:proofErr w:type="spellEnd"/>
      <w:r>
        <w:t xml:space="preserve"> einen Namen und eine eindeutige ID als Schlüssel. </w:t>
      </w:r>
    </w:p>
    <w:p w14:paraId="7D1CEAF7" w14:textId="41694C21" w:rsidR="002E28B7" w:rsidRPr="002E28B7" w:rsidRDefault="00BE7F09" w:rsidP="00BE7F09">
      <w:r>
        <w:t xml:space="preserve">Der Schlüssel des </w:t>
      </w:r>
      <w:proofErr w:type="spellStart"/>
      <w:r>
        <w:t>ConfigItems</w:t>
      </w:r>
      <w:proofErr w:type="spellEnd"/>
      <w:r>
        <w:t xml:space="preserve"> wird als Fremdschlüssel in der Attribut-Tabelle festgehalten, sodass eindeutig zuordbar ist, zu welchem </w:t>
      </w:r>
      <w:proofErr w:type="spellStart"/>
      <w:r>
        <w:t>ConfigItem</w:t>
      </w:r>
      <w:proofErr w:type="spellEnd"/>
      <w:r>
        <w:t xml:space="preserve">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3" w:name="_Toc54184403"/>
      <w:r>
        <w:lastRenderedPageBreak/>
        <w:t>Organisation</w:t>
      </w:r>
      <w:bookmarkEnd w:id="13"/>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4" w:name="_Toc54184404"/>
      <w:r>
        <w:t>Projektorganisation</w:t>
      </w:r>
      <w:bookmarkEnd w:id="14"/>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77777777"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 xml:space="preserve">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5" w:name="_Toc54184405"/>
      <w:r>
        <w:lastRenderedPageBreak/>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184406"/>
      <w:r>
        <w:t>Die Organisations- und Programmentwurfsphase</w:t>
      </w:r>
      <w:bookmarkEnd w:id="16"/>
    </w:p>
    <w:p w14:paraId="6993B55A" w14:textId="77777777" w:rsidR="00447EF0" w:rsidRDefault="00447EF0" w:rsidP="00447EF0">
      <w:pPr>
        <w:pStyle w:val="Listenfortsetzung2"/>
        <w:ind w:left="0"/>
      </w:pPr>
      <w:r>
        <w:t xml:space="preserve">Bevor die eigentliche Arbeit an dem Projekt gestartet werden konnte galt es </w:t>
      </w:r>
      <w:proofErr w:type="spellStart"/>
      <w:r>
        <w:t>zu erst</w:t>
      </w:r>
      <w:proofErr w:type="spellEnd"/>
      <w:r>
        <w:t xml:space="preserve"> einmal die Projektorganisation zu erarbeiten. Sobald die Untergruppen aufgeteilt waren haben sich die einzelnen Gruppen </w:t>
      </w:r>
      <w:proofErr w:type="gramStart"/>
      <w:r>
        <w:t>zusammen gesetzt</w:t>
      </w:r>
      <w:proofErr w:type="gramEnd"/>
      <w:r>
        <w:t xml:space="preserve">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184407"/>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184408"/>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184409"/>
      <w:r>
        <w:lastRenderedPageBreak/>
        <w:t>Die Test- und Dokumentationsphase</w:t>
      </w:r>
      <w:bookmarkEnd w:id="19"/>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184410"/>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184411"/>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184412"/>
      <w:proofErr w:type="spellStart"/>
      <w:r>
        <w:t>Scrum</w:t>
      </w:r>
      <w:bookmarkEnd w:id="22"/>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184413"/>
      <w:r>
        <w:t>Vorgehensweise</w:t>
      </w:r>
      <w:bookmarkEnd w:id="23"/>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184414"/>
      <w:r>
        <w:t xml:space="preserve">Das </w:t>
      </w:r>
      <w:proofErr w:type="spellStart"/>
      <w:r>
        <w:t>Scrum</w:t>
      </w:r>
      <w:proofErr w:type="spellEnd"/>
      <w:r>
        <w:t>-Team</w:t>
      </w:r>
      <w:bookmarkEnd w:id="24"/>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31"/>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184415"/>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184416"/>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184417"/>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184418"/>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184419"/>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184420"/>
      <w:proofErr w:type="spellStart"/>
      <w:r>
        <w:lastRenderedPageBreak/>
        <w:t>Thymeleaf</w:t>
      </w:r>
      <w:proofErr w:type="spellEnd"/>
      <w:r w:rsidR="001350CC">
        <w:rPr>
          <w:rStyle w:val="Funotenzeichen"/>
        </w:rPr>
        <w:footnoteReference w:id="48"/>
      </w:r>
      <w:bookmarkEnd w:id="31"/>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184421"/>
      <w:r>
        <w:t>Spring</w:t>
      </w:r>
      <w:bookmarkEnd w:id="32"/>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184422"/>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 xml:space="preserve">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w:t>
      </w:r>
      <w:proofErr w:type="spellStart"/>
      <w:r>
        <w:t>Tomcat</w:t>
      </w:r>
      <w:proofErr w:type="spellEnd"/>
      <w:r>
        <w: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184423"/>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proofErr w:type="spellStart"/>
      <w:r>
        <w:lastRenderedPageBreak/>
        <w:t>Tomcat</w:t>
      </w:r>
      <w:proofErr w:type="spellEnd"/>
      <w:r>
        <w:t xml:space="preserve">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w:t>
      </w:r>
      <w:proofErr w:type="spellStart"/>
      <w:r>
        <w:t>Tomcat</w:t>
      </w:r>
      <w:proofErr w:type="spellEnd"/>
      <w:r>
        <w:t xml:space="preserve">.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BC5654"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w:t>
      </w:r>
      <w:proofErr w:type="spellStart"/>
      <w:r>
        <w:rPr>
          <w:rFonts w:cstheme="minorHAnsi"/>
        </w:rPr>
        <w:t>Tomcat</w:t>
      </w:r>
      <w:proofErr w:type="spellEnd"/>
      <w:r>
        <w:rPr>
          <w:rFonts w:cstheme="minorHAnsi"/>
        </w:rPr>
        <w:t xml:space="preserve">-Servlet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184424"/>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End w:id="36"/>
      <w:bookmarkEnd w:id="37"/>
      <w:bookmarkEnd w:id="38"/>
      <w:bookmarkEnd w:id="39"/>
      <w:bookmarkEnd w:id="40"/>
      <w:bookmarkEnd w:id="41"/>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6"/>
      <w:bookmarkEnd w:id="42"/>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7"/>
      <w:bookmarkEnd w:id="43"/>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8"/>
      <w:bookmarkEnd w:id="44"/>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9"/>
      <w:bookmarkEnd w:id="45"/>
    </w:p>
    <w:p w14:paraId="75F5139B" w14:textId="4ECE7661" w:rsidR="00613634" w:rsidRDefault="00613634" w:rsidP="00613634">
      <w:pPr>
        <w:pStyle w:val="berschrift2"/>
      </w:pPr>
      <w:bookmarkStart w:id="46" w:name="_Toc54184430"/>
      <w:r>
        <w:t>Auswahl des Datenbankmodells</w:t>
      </w:r>
      <w:bookmarkEnd w:id="46"/>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7" w:name="_Toc54184431"/>
      <w:r>
        <w:rPr>
          <w:rFonts w:ascii="Arial" w:hAnsi="Arial" w:cs="Arial"/>
          <w:b/>
          <w:color w:val="auto"/>
          <w:sz w:val="22"/>
          <w:szCs w:val="22"/>
        </w:rPr>
        <w:lastRenderedPageBreak/>
        <w:t>Hierarchische Datenbank</w:t>
      </w:r>
      <w:bookmarkEnd w:id="47"/>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8" w:name="_Toc54184432"/>
      <w:r w:rsidRPr="00A7432E">
        <w:rPr>
          <w:rFonts w:ascii="Arial" w:hAnsi="Arial" w:cs="Arial"/>
          <w:b/>
          <w:color w:val="auto"/>
          <w:sz w:val="22"/>
          <w:szCs w:val="22"/>
        </w:rPr>
        <w:t>Vernetzte Datenbank</w:t>
      </w:r>
      <w:bookmarkEnd w:id="48"/>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9" w:name="_Toc54184433"/>
      <w:bookmarkStart w:id="50" w:name="_Toc54121922"/>
      <w:bookmarkStart w:id="51" w:name="_Toc54124307"/>
      <w:bookmarkStart w:id="52" w:name="_Toc54183597"/>
      <w:bookmarkStart w:id="53" w:name="_Toc54184118"/>
      <w:r>
        <w:rPr>
          <w:rFonts w:ascii="Arial" w:hAnsi="Arial" w:cs="Arial"/>
          <w:b/>
          <w:color w:val="auto"/>
          <w:sz w:val="22"/>
          <w:szCs w:val="22"/>
        </w:rPr>
        <w:t>Objektorientierte Datenbank</w:t>
      </w:r>
      <w:bookmarkEnd w:id="49"/>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4"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0"/>
      <w:bookmarkEnd w:id="51"/>
      <w:bookmarkEnd w:id="52"/>
      <w:bookmarkEnd w:id="53"/>
      <w:bookmarkEnd w:id="54"/>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0CED5141" w:rsidR="00613634" w:rsidRPr="00A7432E" w:rsidRDefault="00613634" w:rsidP="00613634">
      <w:pPr>
        <w:pStyle w:val="berschrift3"/>
        <w:rPr>
          <w:rFonts w:ascii="Arial" w:hAnsi="Arial" w:cs="Arial"/>
          <w:b/>
          <w:color w:val="auto"/>
          <w:sz w:val="22"/>
          <w:szCs w:val="22"/>
        </w:rPr>
      </w:pPr>
      <w:bookmarkStart w:id="55" w:name="_Toc54184435"/>
      <w:r>
        <w:rPr>
          <w:rFonts w:ascii="Arial" w:hAnsi="Arial" w:cs="Arial"/>
          <w:b/>
          <w:color w:val="auto"/>
          <w:sz w:val="22"/>
          <w:szCs w:val="22"/>
        </w:rPr>
        <w:t>Objektorientierte Datenbank</w:t>
      </w:r>
      <w:bookmarkEnd w:id="55"/>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16C7DA94" w:rsidR="00C646DB" w:rsidRP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6" w:name="_Toc54184436"/>
      <w:r>
        <w:lastRenderedPageBreak/>
        <w:t>Schnittstellen</w:t>
      </w:r>
      <w:r w:rsidR="00EB75A2">
        <w:rPr>
          <w:rStyle w:val="Funotenzeichen"/>
        </w:rPr>
        <w:footnoteReference w:id="55"/>
      </w:r>
      <w:bookmarkEnd w:id="56"/>
    </w:p>
    <w:p w14:paraId="4D59AD34" w14:textId="77777777" w:rsidR="00B84BA0" w:rsidRDefault="00B84BA0" w:rsidP="00B84BA0">
      <w:r>
        <w:t xml:space="preserve">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w:t>
      </w:r>
      <w:proofErr w:type="spellStart"/>
      <w:r>
        <w:t>Representational</w:t>
      </w:r>
      <w:proofErr w:type="spellEnd"/>
      <w:r>
        <w:t xml:space="preserve">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w:t>
      </w:r>
      <w:proofErr w:type="spellStart"/>
      <w:r>
        <w:t>Tomcat</w:t>
      </w:r>
      <w:proofErr w:type="spellEnd"/>
      <w:r>
        <w:t xml:space="preserve">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7" w:name="_Toc54184437"/>
      <w:r>
        <w:lastRenderedPageBreak/>
        <w:t>Beschreibung des Quellcodes</w:t>
      </w:r>
      <w:bookmarkEnd w:id="57"/>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8" w:name="_Toc54184438"/>
      <w:r>
        <w:t>Frontend</w:t>
      </w:r>
      <w:bookmarkEnd w:id="58"/>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9" w:name="_Toc54184439"/>
      <w:r>
        <w:t>Entwicklungsablauf</w:t>
      </w:r>
      <w:bookmarkEnd w:id="59"/>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w:t>
      </w:r>
      <w:proofErr w:type="spellStart"/>
      <w:r>
        <w:t>Ci</w:t>
      </w:r>
      <w:proofErr w:type="spellEnd"/>
      <w:r>
        <w:t xml:space="preserve">-Typ anlegen, </w:t>
      </w:r>
      <w:proofErr w:type="spellStart"/>
      <w:r>
        <w:t>Ci-Record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0" w:name="_Toc54184440"/>
      <w:r>
        <w:t>Beschreibung der technischen Umsetzung</w:t>
      </w:r>
      <w:bookmarkEnd w:id="6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w:t>
      </w:r>
      <w:proofErr w:type="spellStart"/>
      <w:r>
        <w:t>content</w:t>
      </w:r>
      <w:proofErr w:type="spellEnd"/>
      <w:r>
        <w: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1" w:name="_Toc54184441"/>
      <w:r>
        <w:lastRenderedPageBreak/>
        <w:t>Quellcode der Unterseiten</w:t>
      </w:r>
      <w:bookmarkEnd w:id="61"/>
    </w:p>
    <w:p w14:paraId="6692A77C" w14:textId="77777777" w:rsidR="005412D4" w:rsidRDefault="005412D4" w:rsidP="005412D4">
      <w:r>
        <w:t>Im Folgenden wird die Sektion „</w:t>
      </w:r>
      <w:proofErr w:type="spellStart"/>
      <w:r>
        <w:t>content</w:t>
      </w:r>
      <w:proofErr w:type="spellEnd"/>
      <w:r>
        <w: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 xml:space="preserve">Hier wurde eine Übersicht aller </w:t>
      </w:r>
      <w:proofErr w:type="spellStart"/>
      <w:r>
        <w:t>Ci</w:t>
      </w:r>
      <w:proofErr w:type="spellEnd"/>
      <w:r>
        <w:t xml:space="preserve">-Typen mit ihren dazugehörigen </w:t>
      </w:r>
      <w:proofErr w:type="spellStart"/>
      <w:r>
        <w:t>Ci</w:t>
      </w:r>
      <w:proofErr w:type="spellEnd"/>
      <w:r>
        <w:t>-Records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 xml:space="preserve">In diesem Dropdown-Menü kann man dann einen der bereits vorhandenen CI-Typen auswählen und innerhalb dieses Typs ein </w:t>
      </w:r>
      <w:proofErr w:type="spellStart"/>
      <w:r>
        <w:t>Ci-Record</w:t>
      </w:r>
      <w:proofErr w:type="spellEnd"/>
      <w:r>
        <w:t xml:space="preserve"> anlegen, etwas an einem schon vorhandenen </w:t>
      </w:r>
      <w:proofErr w:type="spellStart"/>
      <w:r>
        <w:t>Ci-Record</w:t>
      </w:r>
      <w:proofErr w:type="spellEnd"/>
      <w:r>
        <w:t xml:space="preserve"> ändern oder einen </w:t>
      </w:r>
      <w:proofErr w:type="spellStart"/>
      <w:r>
        <w:t>Ci-Record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w:t>
      </w:r>
      <w:proofErr w:type="spellStart"/>
      <w:r>
        <w:t>Ci</w:t>
      </w:r>
      <w:proofErr w:type="spellEnd"/>
      <w:r>
        <w:t xml:space="preserve">-Records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w:t>
      </w:r>
      <w:r w:rsidR="00776BFB">
        <w:t>Unter „</w:t>
      </w:r>
      <w:proofErr w:type="spellStart"/>
      <w:r w:rsidR="00776BFB">
        <w:t>lets</w:t>
      </w:r>
      <w:proofErr w:type="spellEnd"/>
      <w:r w:rsidR="00776BFB">
        <w:t xml:space="preserve"> </w:t>
      </w:r>
      <w:proofErr w:type="spellStart"/>
      <w:r w:rsidR="00776BFB">
        <w:t>start</w:t>
      </w:r>
      <w:proofErr w:type="spellEnd"/>
      <w:r w:rsidR="00776BFB">
        <w:t xml:space="preserve">“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2" w:name="_Toc54184442"/>
      <w:r>
        <w:t>Backend</w:t>
      </w:r>
      <w:r w:rsidR="005412D4">
        <w:t xml:space="preserve"> / Webanbindung</w:t>
      </w:r>
      <w:bookmarkEnd w:id="62"/>
    </w:p>
    <w:p w14:paraId="4A0CB74C" w14:textId="2E32C594" w:rsidR="005412D4" w:rsidRDefault="005412D4" w:rsidP="005412D4">
      <w:r>
        <w:t xml:space="preserve">Um die Webanbindung der Applikation zu ermöglichen, mussten zuerst ein Controller und ein HTML-Template dem Projekt hinzugefügt werden. Zum Testen während der Entwicklung wurde auf den Spring internen Apache </w:t>
      </w:r>
      <w:proofErr w:type="spellStart"/>
      <w:r>
        <w:t>Tomcat</w:t>
      </w:r>
      <w:proofErr w:type="spellEnd"/>
      <w:r>
        <w:t xml:space="preserve"> Server zurückgegriffen. Hierfür mussten keine weiteren Voreinstellungen vorgenommen werden. Der </w:t>
      </w:r>
      <w:proofErr w:type="spellStart"/>
      <w:r>
        <w:t>Tocmcat</w:t>
      </w:r>
      <w:proofErr w:type="spellEnd"/>
      <w:r>
        <w: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3" w:name="_Toc54184443"/>
      <w:r>
        <w:t>Dateien, Struktur und Übermittlung</w:t>
      </w:r>
      <w:bookmarkEnd w:id="63"/>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xml:space="preserve">“, der für das Dashboard und somit für das Anzeigen der </w:t>
      </w:r>
      <w:proofErr w:type="spellStart"/>
      <w:r>
        <w:t>Ci</w:t>
      </w:r>
      <w:proofErr w:type="spellEnd"/>
      <w:r>
        <w:t xml:space="preserve">-Typen und </w:t>
      </w:r>
      <w:proofErr w:type="spellStart"/>
      <w:r>
        <w:t>Ci</w:t>
      </w:r>
      <w:proofErr w:type="spellEnd"/>
      <w:r>
        <w:t>-Records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w:t>
      </w:r>
      <w:proofErr w:type="spellStart"/>
      <w:r>
        <w:t>Ci</w:t>
      </w:r>
      <w:proofErr w:type="spellEnd"/>
      <w:r>
        <w:t>-Typen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4" w:name="_Toc54184444"/>
      <w:r>
        <w:t>Darstellung auf dem Client</w:t>
      </w:r>
      <w:bookmarkEnd w:id="64"/>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4833645A" w:rsidR="005412D4" w:rsidRDefault="005412D4" w:rsidP="005412D4">
      <w:pPr>
        <w:pStyle w:val="berschrift2-numeriert"/>
      </w:pPr>
      <w:bookmarkStart w:id="65" w:name="_Toc54184445"/>
      <w:r>
        <w:lastRenderedPageBreak/>
        <w:t>Wartbarkeit / Änderbarkeit</w:t>
      </w:r>
      <w:bookmarkEnd w:id="65"/>
    </w:p>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6" w:name="_Toc54184446"/>
      <w:r>
        <w:lastRenderedPageBreak/>
        <w:t>Berechtigungsverwaltung</w:t>
      </w:r>
      <w:bookmarkEnd w:id="66"/>
    </w:p>
    <w:p w14:paraId="1F2A2B35" w14:textId="72FC35A7"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proofErr w:type="spellStart"/>
      <w:r>
        <w:t>im</w:t>
      </w:r>
      <w:proofErr w:type="spellEnd"/>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7" w:name="_Toc54184447"/>
      <w:r>
        <w:t>Berechtigungsverwaltung generell</w:t>
      </w:r>
      <w:bookmarkEnd w:id="67"/>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8" w:name="_Toc54184448"/>
      <w:r>
        <w:t>Berechtigungsverwaltung im Programm</w:t>
      </w:r>
      <w:bookmarkEnd w:id="68"/>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9" w:name="_Toc54184449"/>
      <w:r>
        <w:lastRenderedPageBreak/>
        <w:t>Benutzerhandbuch</w:t>
      </w:r>
      <w:bookmarkEnd w:id="69"/>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70" w:name="_Toc54184450"/>
          <w:r w:rsidR="00BE7F09">
            <w:rPr>
              <w:lang w:val="en-US"/>
            </w:rPr>
            <w:t>Literaturverzeichnis</w:t>
          </w:r>
          <w:bookmarkEnd w:id="70"/>
        </w:p>
        <w:p w14:paraId="5D2435B0" w14:textId="77777777" w:rsidR="00BE7F09" w:rsidRDefault="00BE7F09" w:rsidP="00BE7F09">
          <w:pPr>
            <w:pStyle w:val="CitaviBibliographyEntry"/>
            <w:rPr>
              <w:lang w:val="en-US"/>
            </w:rPr>
          </w:pPr>
          <w:bookmarkStart w:id="71" w:name="_CTVL00141a152fdb6a84506bcd917f72da5e3b1"/>
          <w:r w:rsidRPr="00BE7F09">
            <w:rPr>
              <w:b/>
              <w:lang w:val="en-US"/>
            </w:rPr>
            <w:t>Crispin, L./Gregory, J. (2009):</w:t>
          </w:r>
          <w:bookmarkEnd w:id="71"/>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2" w:name="_CTVL001ec72591e593a48e48732f249cc6c5fda"/>
          <w:r w:rsidRPr="00BE7F09">
            <w:rPr>
              <w:b/>
              <w:lang w:val="en-US"/>
            </w:rPr>
            <w:t>Dalton, J. (2019):</w:t>
          </w:r>
          <w:bookmarkEnd w:id="72"/>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3" w:name="_CTVL001a131826ec95c47f7ae2aca82c75312de"/>
          <w:r w:rsidRPr="00BE7F09">
            <w:rPr>
              <w:b/>
            </w:rPr>
            <w:t>Foegen, M./Kaczmarek, C. (2016):</w:t>
          </w:r>
          <w:bookmarkEnd w:id="73"/>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4" w:name="_CTVL00195c7c2aabc18450c87ae2944eaf42aa3"/>
          <w:r w:rsidRPr="00BE7F09">
            <w:rPr>
              <w:b/>
              <w:lang w:val="en-US"/>
            </w:rPr>
            <w:t>Fowler, F. M. (2019):</w:t>
          </w:r>
          <w:bookmarkEnd w:id="74"/>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5" w:name="_CTVL001c99d96327b2d4ec5986a715d930d379f"/>
          <w:r w:rsidRPr="00BE7F09">
            <w:rPr>
              <w:b/>
            </w:rPr>
            <w:t>Goll, J. (2011):</w:t>
          </w:r>
          <w:bookmarkEnd w:id="75"/>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6" w:name="_CTVL001e7d15a2ba07e4d3ba64ccdcdd242587a"/>
          <w:r w:rsidRPr="00BE7F09">
            <w:rPr>
              <w:b/>
              <w:lang w:val="en-US"/>
            </w:rPr>
            <w:t>Hall, M./Brown, L./Chaikin, Y. (2008):</w:t>
          </w:r>
          <w:bookmarkEnd w:id="76"/>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7" w:name="_CTVL001f641851abe3b4b7a934f618ac2790ff0"/>
          <w:r w:rsidRPr="00BE7F09">
            <w:rPr>
              <w:b/>
            </w:rPr>
            <w:t>Kusay-Merkle, U. (2018):</w:t>
          </w:r>
          <w:bookmarkEnd w:id="77"/>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8" w:name="_CTVL0017b998fa97e8641bb91a61bf742691591"/>
          <w:r w:rsidRPr="00BE7F09">
            <w:rPr>
              <w:b/>
            </w:rPr>
            <w:t>Leimeister, J. M. (2020):</w:t>
          </w:r>
          <w:bookmarkEnd w:id="78"/>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9" w:name="_CTVL001b599f8c62cdc49968d9d1f3c4155588a"/>
          <w:r w:rsidRPr="00BE7F09">
            <w:rPr>
              <w:b/>
            </w:rPr>
            <w:t>Linz, T. (2017):</w:t>
          </w:r>
          <w:bookmarkEnd w:id="79"/>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80" w:name="_CTVL001364cfa997ed1425d9b3cbc418fe9a696"/>
          <w:r w:rsidRPr="00BE7F09">
            <w:rPr>
              <w:b/>
              <w:lang w:val="en-US"/>
            </w:rPr>
            <w:t>McKenna, D. (2016):</w:t>
          </w:r>
          <w:bookmarkEnd w:id="80"/>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1" w:name="_CTVL00108ca84fb7de94a3fbacdea771f98dde0"/>
          <w:r w:rsidRPr="00BE7F09">
            <w:rPr>
              <w:b/>
              <w:lang w:val="en-US"/>
            </w:rPr>
            <w:t>Rance, S. (2011):</w:t>
          </w:r>
          <w:bookmarkEnd w:id="81"/>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2" w:name="_CTVL001be9aedc79e034f92b1593856b45a8945"/>
          <w:r w:rsidRPr="00BE7F09">
            <w:rPr>
              <w:b/>
            </w:rPr>
            <w:t>Wenz, C. (2008):</w:t>
          </w:r>
          <w:bookmarkEnd w:id="82"/>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AB3F0B2" w14:textId="32FC35F2" w:rsidR="00875C86" w:rsidRDefault="00BE7F09" w:rsidP="00BE7F09">
          <w:pPr>
            <w:pStyle w:val="CitaviBibliographyEntry"/>
            <w:rPr>
              <w:lang w:val="en-US"/>
            </w:rPr>
          </w:pPr>
          <w:bookmarkStart w:id="83" w:name="_CTVL00178835461009a4256a16dafa1d812d100"/>
          <w:r w:rsidRPr="00BE7F09">
            <w:rPr>
              <w:b/>
              <w:lang w:val="en-US"/>
            </w:rPr>
            <w:lastRenderedPageBreak/>
            <w:t>Xu, L. D./Chaudhry, S. S./Tjoa, A. M. (2008):</w:t>
          </w:r>
          <w:bookmarkEnd w:id="83"/>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sdtContent>
    </w:sdt>
    <w:p w14:paraId="4F28F2D4" w14:textId="77777777" w:rsidR="00875C86" w:rsidRPr="00D13DAE" w:rsidRDefault="00875C86" w:rsidP="00875C86">
      <w:pPr>
        <w:rPr>
          <w:lang w:val="en-US"/>
        </w:rPr>
      </w:pPr>
    </w:p>
    <w:sectPr w:rsidR="00875C86" w:rsidRPr="00D13DAE" w:rsidSect="00981004">
      <w:headerReference w:type="first" r:id="rId61"/>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3EA68" w14:textId="77777777" w:rsidR="00270020" w:rsidRDefault="00270020" w:rsidP="00702FA8">
      <w:pPr>
        <w:spacing w:before="0" w:line="240" w:lineRule="auto"/>
      </w:pPr>
      <w:r>
        <w:separator/>
      </w:r>
    </w:p>
  </w:endnote>
  <w:endnote w:type="continuationSeparator" w:id="0">
    <w:p w14:paraId="4AD1F8D8" w14:textId="77777777" w:rsidR="00270020" w:rsidRDefault="00270020"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851629" w:rsidRDefault="0085162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851629" w:rsidRDefault="0085162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851629" w:rsidRDefault="0085162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484C3" w14:textId="77777777" w:rsidR="00270020" w:rsidRDefault="00270020" w:rsidP="00702FA8">
      <w:pPr>
        <w:spacing w:before="0" w:line="240" w:lineRule="auto"/>
      </w:pPr>
      <w:r>
        <w:separator/>
      </w:r>
    </w:p>
  </w:footnote>
  <w:footnote w:type="continuationSeparator" w:id="0">
    <w:p w14:paraId="7E6A2CC2" w14:textId="77777777" w:rsidR="00270020" w:rsidRDefault="00270020" w:rsidP="00702FA8">
      <w:pPr>
        <w:spacing w:before="0" w:line="240" w:lineRule="auto"/>
      </w:pPr>
      <w:r>
        <w:continuationSeparator/>
      </w:r>
    </w:p>
  </w:footnote>
  <w:footnote w:id="1">
    <w:p w14:paraId="6A3CCB9A" w14:textId="77777777" w:rsidR="00851629" w:rsidRDefault="00851629" w:rsidP="00AD0D00">
      <w:pPr>
        <w:pStyle w:val="Funotentext"/>
      </w:pPr>
      <w:r>
        <w:rPr>
          <w:rStyle w:val="Funotenzeichen"/>
        </w:rPr>
        <w:footnoteRef/>
      </w:r>
      <w:r>
        <w:t xml:space="preserve"> Vgl. </w:t>
      </w:r>
      <w:proofErr w:type="spellStart"/>
      <w:r>
        <w:t>Marrone</w:t>
      </w:r>
      <w:proofErr w:type="spellEnd"/>
      <w:r>
        <w:t xml:space="preserve">/Kolbe 2011, S. 5  </w:t>
      </w:r>
    </w:p>
  </w:footnote>
  <w:footnote w:id="2">
    <w:p w14:paraId="395BB34E" w14:textId="77777777" w:rsidR="00851629" w:rsidRDefault="00851629" w:rsidP="00AD0D00">
      <w:pPr>
        <w:pStyle w:val="Funotentext"/>
      </w:pPr>
      <w:r>
        <w:rPr>
          <w:rStyle w:val="Funotenzeichen"/>
        </w:rPr>
        <w:footnoteRef/>
      </w:r>
      <w:r>
        <w:t xml:space="preserve"> Vgl. </w:t>
      </w:r>
      <w:proofErr w:type="spellStart"/>
      <w:r>
        <w:t>Gross</w:t>
      </w:r>
      <w:proofErr w:type="spellEnd"/>
      <w:r>
        <w:t xml:space="preserve"> 2008, S. 38  </w:t>
      </w:r>
    </w:p>
  </w:footnote>
  <w:footnote w:id="3">
    <w:p w14:paraId="0DFA8172" w14:textId="0C09E6CC" w:rsidR="00851629" w:rsidRDefault="00851629"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851629" w:rsidRPr="00231E01" w:rsidRDefault="00851629"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93</w:t>
      </w:r>
    </w:p>
  </w:footnote>
  <w:footnote w:id="6">
    <w:p w14:paraId="6CFA6EE5" w14:textId="77777777" w:rsidR="00851629" w:rsidRPr="004B0CCD" w:rsidRDefault="00851629" w:rsidP="00AD0D00">
      <w:pPr>
        <w:pStyle w:val="Funotentext"/>
        <w:rPr>
          <w:lang w:val="en-US"/>
        </w:rPr>
      </w:pPr>
      <w:r>
        <w:rPr>
          <w:rStyle w:val="Funotenzeichen"/>
        </w:rPr>
        <w:footnoteRef/>
      </w:r>
      <w:r w:rsidRPr="004B0CCD">
        <w:rPr>
          <w:lang w:val="en-US"/>
        </w:rPr>
        <w:t xml:space="preserve"> </w:t>
      </w:r>
      <w:proofErr w:type="spellStart"/>
      <w:r w:rsidRPr="004B0CCD">
        <w:rPr>
          <w:lang w:val="en-US"/>
        </w:rPr>
        <w:t>Vgl</w:t>
      </w:r>
      <w:proofErr w:type="spellEnd"/>
      <w:r w:rsidRPr="004B0CCD">
        <w:rPr>
          <w:lang w:val="en-US"/>
        </w:rPr>
        <w:t xml:space="preserve">. </w:t>
      </w:r>
      <w:proofErr w:type="spellStart"/>
      <w:r w:rsidRPr="004B0CCD">
        <w:rPr>
          <w:lang w:val="en-US"/>
        </w:rPr>
        <w:t>Rance</w:t>
      </w:r>
      <w:proofErr w:type="spellEnd"/>
      <w:r w:rsidRPr="004B0CCD">
        <w:rPr>
          <w:lang w:val="en-US"/>
        </w:rPr>
        <w:t xml:space="preserve"> 2011, S. 308 f.</w:t>
      </w:r>
    </w:p>
  </w:footnote>
  <w:footnote w:id="7">
    <w:p w14:paraId="5E7D43F2" w14:textId="77777777" w:rsidR="00851629" w:rsidRDefault="00851629" w:rsidP="00AD0D00">
      <w:pPr>
        <w:pStyle w:val="Funotentext"/>
      </w:pPr>
      <w:r>
        <w:rPr>
          <w:rStyle w:val="Funotenzeichen"/>
        </w:rPr>
        <w:footnoteRef/>
      </w:r>
      <w:r>
        <w:t xml:space="preserve"> Vgl. </w:t>
      </w:r>
      <w:proofErr w:type="spellStart"/>
      <w:r>
        <w:t>Rance</w:t>
      </w:r>
      <w:proofErr w:type="spellEnd"/>
      <w:r>
        <w:t xml:space="preserve"> 2011, S. 94</w:t>
      </w:r>
    </w:p>
  </w:footnote>
  <w:footnote w:id="8">
    <w:p w14:paraId="086902FC" w14:textId="5AFC8541" w:rsidR="00851629" w:rsidRDefault="00851629"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851629" w:rsidRDefault="00851629"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851629" w:rsidRDefault="00851629"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851629" w:rsidRDefault="00851629"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851629" w:rsidRDefault="00851629"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851629" w:rsidRPr="00F930DB" w:rsidRDefault="00851629" w:rsidP="0017635B">
      <w:pPr>
        <w:pStyle w:val="Funotentext"/>
      </w:pPr>
      <w:r>
        <w:rPr>
          <w:rStyle w:val="Funotenzeichen"/>
        </w:rPr>
        <w:footnoteRef/>
      </w:r>
      <w:r>
        <w:t xml:space="preserve"> </w:t>
      </w:r>
      <w:r w:rsidRPr="00F930DB">
        <w:t xml:space="preserve">Vgl. </w:t>
      </w:r>
      <w:proofErr w:type="spellStart"/>
      <w:r w:rsidRPr="00F930DB">
        <w:t>Hemmrich</w:t>
      </w:r>
      <w:proofErr w:type="spellEnd"/>
      <w:r w:rsidRPr="00F930DB">
        <w:t>/</w:t>
      </w:r>
      <w:proofErr w:type="spellStart"/>
      <w:r w:rsidRPr="00F930DB">
        <w:t>Harrant</w:t>
      </w:r>
      <w:proofErr w:type="spellEnd"/>
      <w:r w:rsidRPr="00F930DB">
        <w:t xml:space="preserve"> 2016, S. 24</w:t>
      </w:r>
    </w:p>
    <w:p w14:paraId="39AB3375" w14:textId="77777777" w:rsidR="00851629" w:rsidRDefault="00851629" w:rsidP="0017635B">
      <w:pPr>
        <w:pStyle w:val="Funotentext"/>
      </w:pPr>
    </w:p>
  </w:footnote>
  <w:footnote w:id="14">
    <w:p w14:paraId="649A45BB" w14:textId="77777777" w:rsidR="00851629" w:rsidRDefault="00851629"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15">
    <w:p w14:paraId="0D7211BF" w14:textId="77777777" w:rsidR="00851629" w:rsidRDefault="00851629"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851629" w:rsidRDefault="00851629"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851629" w:rsidRPr="00D871B7" w:rsidRDefault="00851629"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851629" w:rsidRDefault="00851629"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851629" w:rsidRDefault="00851629"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851629" w:rsidRDefault="00851629"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851629" w:rsidRDefault="00851629"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851629" w:rsidRDefault="00851629"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851629" w:rsidRDefault="00851629"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851629" w:rsidRDefault="00851629"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851629" w:rsidRDefault="00851629"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851629" w:rsidRDefault="00851629"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851629" w:rsidRDefault="00851629"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851629" w:rsidRDefault="00851629"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851629" w:rsidRDefault="00851629"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851629" w:rsidRDefault="00851629"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851629" w:rsidRPr="00B6223E" w:rsidRDefault="00851629"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851629" w:rsidRDefault="00851629"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851629" w:rsidRDefault="00851629"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851629" w:rsidRDefault="00851629"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851629" w:rsidRDefault="00851629"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851629" w:rsidRPr="006C6489" w:rsidRDefault="00851629"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851629" w:rsidRPr="006C6489" w:rsidRDefault="00851629"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851629" w:rsidRPr="006C6489" w:rsidRDefault="00851629"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851629" w:rsidRPr="006C6489" w:rsidRDefault="00851629"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851629" w:rsidRPr="006C6489" w:rsidRDefault="00851629"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851629" w:rsidRPr="006C6489" w:rsidRDefault="00851629"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851629" w:rsidRPr="00AE3DDB" w:rsidRDefault="00851629"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851629" w:rsidRPr="00DB4021" w:rsidRDefault="00851629"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851629" w:rsidRPr="00DB4021" w:rsidRDefault="00851629"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851629" w:rsidRDefault="00851629"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851629" w:rsidRDefault="00851629"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273BD1E2" w:rsidR="00851629" w:rsidRDefault="00851629">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}</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851629" w:rsidRPr="00F50D8D" w:rsidRDefault="00851629"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851629" w:rsidRPr="00F50D8D" w:rsidRDefault="00851629"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851629" w:rsidRPr="006D7A4C" w:rsidRDefault="00851629"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851629" w:rsidRDefault="00851629" w:rsidP="00C646DB">
      <w:pPr>
        <w:pStyle w:val="Funotentext"/>
      </w:pPr>
    </w:p>
  </w:footnote>
  <w:footnote w:id="53">
    <w:p w14:paraId="4F8E1802" w14:textId="77777777" w:rsidR="00851629" w:rsidRDefault="00851629"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851629" w:rsidRDefault="00851629"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0E71C03" w14:textId="0DC63607" w:rsidR="00851629" w:rsidRDefault="00851629">
      <w:pPr>
        <w:pStyle w:val="Funotentext"/>
      </w:pPr>
      <w:r>
        <w:rPr>
          <w:rStyle w:val="Funotenzeichen"/>
        </w:rPr>
        <w:footnoteRef/>
      </w:r>
      <w:r>
        <w:t xml:space="preserve"> Wolf 2019, S. 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851629" w:rsidRDefault="00851629" w:rsidP="00702FA8">
        <w:r>
          <w:fldChar w:fldCharType="begin"/>
        </w:r>
        <w:r>
          <w:instrText>PAGE   \* MERGEFORMAT</w:instrText>
        </w:r>
        <w:r>
          <w:fldChar w:fldCharType="separate"/>
        </w:r>
        <w:r>
          <w:rPr>
            <w:noProof/>
          </w:rPr>
          <w:t>6</w:t>
        </w:r>
        <w:r>
          <w:fldChar w:fldCharType="end"/>
        </w:r>
      </w:p>
    </w:sdtContent>
  </w:sdt>
  <w:p w14:paraId="2CBF356F" w14:textId="77777777" w:rsidR="00851629" w:rsidRDefault="0085162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851629" w:rsidRPr="00702FA8" w:rsidRDefault="00851629"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851629" w:rsidRDefault="0085162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851629" w:rsidRDefault="00851629">
    <w:pPr>
      <w:pStyle w:val="Kopfzeile"/>
      <w:jc w:val="right"/>
    </w:pPr>
  </w:p>
  <w:p w14:paraId="0DE02DA6" w14:textId="77777777" w:rsidR="00851629" w:rsidRDefault="0085162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851629" w:rsidRDefault="00851629" w:rsidP="008333EE">
    <w:pPr>
      <w:pStyle w:val="Kopfzeile"/>
      <w:ind w:left="4536" w:firstLine="3960"/>
      <w:jc w:val="center"/>
    </w:pPr>
  </w:p>
  <w:p w14:paraId="4CFF71CF" w14:textId="77777777" w:rsidR="00851629" w:rsidRDefault="0085162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A56D5"/>
    <w:rsid w:val="001A6C68"/>
    <w:rsid w:val="001C15DB"/>
    <w:rsid w:val="001C38A6"/>
    <w:rsid w:val="001C5F6E"/>
    <w:rsid w:val="001D435A"/>
    <w:rsid w:val="001E4A78"/>
    <w:rsid w:val="001E5408"/>
    <w:rsid w:val="001E7E80"/>
    <w:rsid w:val="001F1B47"/>
    <w:rsid w:val="001F2E03"/>
    <w:rsid w:val="00221D61"/>
    <w:rsid w:val="00227FF6"/>
    <w:rsid w:val="002512EB"/>
    <w:rsid w:val="00257D67"/>
    <w:rsid w:val="00270020"/>
    <w:rsid w:val="0027008F"/>
    <w:rsid w:val="00272D81"/>
    <w:rsid w:val="00284286"/>
    <w:rsid w:val="002B29C4"/>
    <w:rsid w:val="002B4A54"/>
    <w:rsid w:val="002C00D1"/>
    <w:rsid w:val="002D0958"/>
    <w:rsid w:val="002D5585"/>
    <w:rsid w:val="002E28B7"/>
    <w:rsid w:val="002E60F1"/>
    <w:rsid w:val="002F1AF8"/>
    <w:rsid w:val="0032287F"/>
    <w:rsid w:val="003229D9"/>
    <w:rsid w:val="003265CD"/>
    <w:rsid w:val="003275A9"/>
    <w:rsid w:val="00345AA9"/>
    <w:rsid w:val="0035070C"/>
    <w:rsid w:val="00366B53"/>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55C5"/>
    <w:rsid w:val="004714C2"/>
    <w:rsid w:val="00475B8F"/>
    <w:rsid w:val="0047676B"/>
    <w:rsid w:val="00481953"/>
    <w:rsid w:val="0049083B"/>
    <w:rsid w:val="004A497D"/>
    <w:rsid w:val="004B4A7E"/>
    <w:rsid w:val="004C11F1"/>
    <w:rsid w:val="004C1CF0"/>
    <w:rsid w:val="004C2150"/>
    <w:rsid w:val="004E1C4C"/>
    <w:rsid w:val="004E4F90"/>
    <w:rsid w:val="00515013"/>
    <w:rsid w:val="005412D4"/>
    <w:rsid w:val="0054178F"/>
    <w:rsid w:val="0054682C"/>
    <w:rsid w:val="00554C4F"/>
    <w:rsid w:val="00565D39"/>
    <w:rsid w:val="00571496"/>
    <w:rsid w:val="00580B4B"/>
    <w:rsid w:val="00593BA9"/>
    <w:rsid w:val="00593CF0"/>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644A8"/>
    <w:rsid w:val="00776BFB"/>
    <w:rsid w:val="00792C52"/>
    <w:rsid w:val="0079349C"/>
    <w:rsid w:val="007C2178"/>
    <w:rsid w:val="007D28EF"/>
    <w:rsid w:val="007F2AEB"/>
    <w:rsid w:val="007F6A8B"/>
    <w:rsid w:val="008110ED"/>
    <w:rsid w:val="0081420B"/>
    <w:rsid w:val="00823211"/>
    <w:rsid w:val="0082548B"/>
    <w:rsid w:val="008333EE"/>
    <w:rsid w:val="00840057"/>
    <w:rsid w:val="0084111C"/>
    <w:rsid w:val="00851629"/>
    <w:rsid w:val="00853C66"/>
    <w:rsid w:val="008727A9"/>
    <w:rsid w:val="00875C86"/>
    <w:rsid w:val="00884C75"/>
    <w:rsid w:val="00887560"/>
    <w:rsid w:val="008A1D3B"/>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5ED9"/>
    <w:rsid w:val="00DB1A44"/>
    <w:rsid w:val="00DE729E"/>
    <w:rsid w:val="00DF12A3"/>
    <w:rsid w:val="00DF36DA"/>
    <w:rsid w:val="00E24802"/>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image" Target="media/image14.jpe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2A5391"/>
    <w:rsid w:val="005949F4"/>
    <w:rsid w:val="006F7FD4"/>
    <w:rsid w:val="00B802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1A16BF-3039-4606-A819-181D4135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12842</Words>
  <Characters>80910</Characters>
  <Application>Microsoft Office Word</Application>
  <DocSecurity>0</DocSecurity>
  <Lines>674</Lines>
  <Paragraphs>187</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93565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46</cp:revision>
  <dcterms:created xsi:type="dcterms:W3CDTF">2020-05-20T14:10:00Z</dcterms:created>
  <dcterms:modified xsi:type="dcterms:W3CDTF">2020-10-21T12:58:00Z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