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C6B"/>
          <w:sz w:val="64"/>
          <w:szCs w:val="64"/>
        </w:rPr>
        <w:t xml:space="preserve">ELITE TEAM-BUILDING</w:t>
      </w:r>
    </w:p>
    <w:p>
      <w:pPr>
        <w:spacing w:before="0" w:after="32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STRATEGY &amp; PLAYBOOK</w:t>
      </w:r>
    </w:p>
    <w:p>
      <w:pPr>
        <w:pBdr>
          <w:top w:val="single" w:color="2E75B6" w:sz="6" w:space="6"/>
          <w:bottom w:val="single" w:color="2E75B6" w:sz="6" w:space="6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Hiring for Excellence · Onboarding for Impact · Building for Longevity</w:t>
      </w:r>
    </w:p>
    <w:p>
      <w:pPr>
        <w:spacing w:before="0" w:after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80"/>
          <w:sz w:val="20"/>
          <w:szCs w:val="20"/>
        </w:rPr>
        <w:t xml:space="preserve">Confidential Internal Document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32"/>
                <w:szCs w:val="32"/>
              </w:rPr>
              <w:t xml:space="preserve">Defining Excellence: Candidate Criteria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sourcing a single candidate, we define what 'best' means across four non-negotiable dimensions. Every hire must score strongly across all four — not just one or two.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 Technical Mastery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Technical excellence is demonstrated, not claimed. We assess it through live work samples, not credentials.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Demonstrable expertise in core discipline (top 10% benchmark on role-specific assessments)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Track record of shipping to production — GitHub history, published work, or verifiable portfolio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Ability to explain complex decisions simply: architecture choices, trade-off reasoning, post-mortems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Breadth awareness: understands adjacent domains well enough to collaborate without friction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Learning velocity: how quickly they absorbed a new technology in the last 12 months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 Proven Track Record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Past performance in comparable conditions is our strongest predictor of future results.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 least one project shipped with measurable user or business impact — and can cite the numbers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References who can speak to outcomes, not just effort (we speak to direct collaborators, not just managers)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Evidence of handling adversity: a project that failed and what they did next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Consistency over peaks: sustained output over 12+ months rather than a single exceptional sprint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 Cultural &amp; Collaborative Fit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Culture fit is not about personality — it is about operating principles. We assess alignment with our specific working agreements.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Radical candour: can give and receive direct, kind feedback without defensiveness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Asynchronous fluency: communicates clearly in writing; doesn't need real-time hand-holding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Ownership mentality: treats problems as theirs to solve, not to escalate and forget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Curiosity over certainty: asks questions before asserting, updates views on evidence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Respects boundaries and different cognitive styles — essential for ND-inclusive environments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 Leadership Potential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Even individual contributors must be capable of leading their domain. We look for informal leadership, not just title history.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Has mentored or unblocked a peer without being asked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 define a problem's scope before jumping to solutions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Drives meetings or discussions toward clarity and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Manages their own time, energy, and priorities without constant management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32"/>
                <w:szCs w:val="32"/>
              </w:rPr>
              <w:t xml:space="preserve">Recruitment Channels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 use a tiered sourcing strategy. Passive sourcing via job boards is the lowest-signal channel. We prioritise referrals and community-rooted discovery.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0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Quality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Referrals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roles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★★★★★ Highest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Curated Community Networks
(Discord, Slack, forums)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Technical &amp; creative roles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★★★★☆ 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Portfolio / Work Visibility
(GitHub, Dribbble, writing)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Engineers, designers, writers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★★★★☆ 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Specialist Recruiters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Senior &amp; leadership roles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★★★☆☆ 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Job Boards (LinkedIn, etc.)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High-volume / junior roles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★★☆☆☆ 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8%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Referral programme: any team member who refers a hire that passes 90-day review earns a bonus. This makes sourcing a whole-team responsibility, not just Talent's.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32"/>
                <w:szCs w:val="32"/>
              </w:rPr>
              <w:t xml:space="preserve">Interview &amp; Assessment Process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Our process is structured, fast, and respects candidates' time. Every stage is designed to validate one or more specific criteria from Section 01 — no stage exists without a mapped purpose.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Stage 1 — Async Screen (48h turnaround)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short async task sent to all applicants before any human time is invested. Removes 60–70% of unqualified applications immediately.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10–15 minute task: a real, small version of the job (not a puzzle, not a trick)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we assess: written communication, approach to ambiguity, basic technical competence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Evaluated by hiring manager within 48 hours; feedback given to all candidates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Stage 2 — Culture &amp; Motivation Call (30 min)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Human conversation focused on alignment, not technical depth. Conducted by a senior team member, not HR.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Why this role, why now — assessing motivation and self-awareness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Walk us through a time you disagreed with a decision and what you did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How do you manage your own energy and focus across a working week?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does your best working environment look like?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Stage 3 — Technical Deep-Dive (90 min)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Live collaborative session — not a whiteboard test. Candidates work on a real, anonymised problem from our backlog.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Pair-programming or design review session with two team members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Scoring rubric shared with candidate in advance (radical transparency)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Assesses: problem decomposition, communication while working, quality of questions asked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Deliberate inclusion of ambiguity to observe how they handle unclear requirements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Stage 4 — Reference Check (structured)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 call references ourselves; we don't accept written references. Three calls: one manager, one peer, one direct report or mentee if applicable.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Structured questions mapped to our four criteria — not open-ended 'what was X like?'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 ask: 'What would you change about how X works if you could?' — the most revealing question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Any hesitation or qualification on track record questions is a flag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Stage 5 — Offer &amp; Decision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Decision made within 24 hours of final stage — we move fast to signal we're a serious organisation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Offer includes: role clarity document, 90-day success criteria, onboarding schedule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Candidate given 5 business days to decide; no artificial pressure tactics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2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 Validated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Async Screen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48h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Technical, Communication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30–40%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Culture Call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Culture Fit, Motivation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60–70%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Technical Deep-Dive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Technical, Leadership Potential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50–60%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Reference 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× 20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Track Record, Culture Fit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80–90%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24h decision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32"/>
                <w:szCs w:val="32"/>
              </w:rPr>
              <w:t xml:space="preserve">Onboarding &amp; Integration Plan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Most onboarding fails because it front-loads admin and buries context. Ours front-loads context, relationships, and early wins. The goal: full productive contribution by day 60, genuine belonging by day 90.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Week 1 — Context &amp; Compass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Day 1: 1:1 with direct manager — what success looks like at 30/60/90 days, written and shared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Meet every team member in a structured 30-min 1:1 (not a social call — templated conversation)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read-access to all internal documentation, decision logs, and post-mortems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deliverables in Week 1. Job is to observe, ask, and learn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Assigned a Buddy: a peer (not manager) who answers the unwritten-rules questions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Week 2–3 — Small Wins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First real task: low-stakes, well-scoped, with clear definition of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Daily async check-in with manager (5-line written update — what I did, what I learned, what's blocking 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Shadow two team processes they haven't run before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First feedback conversation: what's working, what's confusing, what needs to change in the onboarding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Day 30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Formal 30-day check-in: manager + new hire review the 30/60/90 plan together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Assess: context clarity, relationship quality, output trajectory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Adjust workload and support level based on honest two-way feedback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Day 60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independent ownership of first deliverable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Peer review of their first major contribution — they present, team gives structured feedback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Mid-point culture check: do they feel like they belong? Are they thriving or just surviving?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Day 90 — Full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90-day review with written self-assessment submitted 48 hours in advance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Manager rates against the four criteria established pre-hire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hire is now a Buddy for the next incoming team member — closes the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Performance baseline set; OKRs agreed for the next quarter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ND-aware onboarding adaptations: all written materials available in dyslexia-friendly format. Structured 1:1s use the same agenda each time to reduce cognitive load. No expectation to 'just figure out the vibe' — everything is explicit.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32"/>
                <w:szCs w:val="32"/>
              </w:rPr>
              <w:t xml:space="preserve">Measurable Success Metrics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high-performing team is observable. These are the metrics we track quarterly, reviewed openly with the full team — not just leadership.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6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Cadence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 Velocity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Story points or work units completed per sprint vs. baseline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+15% YoY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Bi-weekly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Quality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Bug escape rate (bugs reaching users / bugs caught pre-release)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&lt;5% escape 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Defect Density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 bugs per 1,000 lines of shipped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&lt;0.5 / 1K LOC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Retention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% of team members still with the team after 12 months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≥90%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Time-to-Contribution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Days from start date to first meaningful merged/shipped work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&lt;21 days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hire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Referral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% of new hires sourced via internal referral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&gt;35%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360 Feedback Score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Peer-rated collaboration score (anonymous, 1–5 scale)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≥4.2 avg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Bi-annually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Hire Quality Score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 rating of hire at 90-day review vs. interview prediction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&gt;80% match 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hire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Leading vs. Lagging Indicators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Velocity and quality scores are lagging — they tell us how we did. These leading indicators tell us where we're heading: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Frequency of context-switching incidents (spikes signal capacity problems)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Number of unresolved inter-team blockers at week's 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Mood check-in trends in weekly async standups (fried/ok/sharp distribution)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Manager 1:1 skip rate — frequent skips predict disengagement 6–8 weeks early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32"/>
                <w:szCs w:val="32"/>
              </w:rPr>
              <w:t xml:space="preserve">Contingency: Underperformance &amp; Replacement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Even with a rigorous hiring process, some placements will underperform. The goal is early identification and fast, fair intervention — not prolonged tolerance or sudden exits.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 Early Detection Protocol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90-day review flag: any score below 3/5 on two or more criteria triggers a formal Performance Improvement Plan (PIP)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Manager must document specific observable behaviours — not generalities — within 48 hours of concern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Early flags are shared in manager training sessions (anonymised) so the whole leadership team calibrates together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 The Performance Improvement Plan (PIP)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PIP is a genuine attempt to succeed, not a paper trail for termination. It is 30 days long, specific, and supported.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Three to five concrete, measurable goals with weekly check-ins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Assigned coach or mentor — not the manager, to avoid power dynamic interference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Clear statement of what happens if goals are met and what happens if they are not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Team member signs off on the PIP and can amend it within 48 hours of receipt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 Departure Protocol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the PIP is not met, separation is handled with dignity and speed. Prolonged uncertainty is corrosive to the team.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Exit interview structured around our four criteria — to identify which criterion was missed at the hiring stage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Knowledge transfer sprint: minimum 10 working days for full documentation and handoff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Separation package defined in advance (never negotiated during exit) to remove ambiguity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 Replacement &amp; Resilience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team should be one-deep in critical expertise. Resilience is built before it's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critical role has a designated 'shadow' — an internal team member cross-trained to cover at 60% capacity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'warm pipeline' is maintained: three pre-screened candidates per senior role, refreshed every 6 months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Knowledge documentation is a team norm, not an individual responsibility — all critical processes are wiki-first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a vacancy occurs: internal promotion considered first; external search initiated in parallel within 72 hours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replacement of any team member must not take longer than 60 days from departure to first day of new hire. Any gap beyond 30 days requires a coverage plan approved by the team, not just leadership.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07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32"/>
                <w:szCs w:val="32"/>
              </w:rPr>
              <w:t xml:space="preserve">Quick Reference Summary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0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role criteria across 4 dimensions; write role clarity doc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Hiring Manager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Before posting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Activate referral network; identify 3 community channels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Talent + Team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Async task → Culture call → Technical deep-dive → Refs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Hiring Manager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all criteria; make decision in 24h; send offer with 90-day 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Hiring Manager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1 post-stage 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1: Context. Week 2–3: Small wins. Day 30/60/90: Reviews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 + Buddy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Days 1–90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Measure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Track 8 core metrics; review quarterly; share openly with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 Lead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Maintain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 at 90-day flag; warm pipeline for all senior roles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Ongoing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top w:val="single" w:color="1A3C6B" w:sz="6" w:space="8"/>
          <w:bottom w:val="single" w:color="1A3C6B" w:sz="6" w:space="8"/>
        </w:pBdr>
        <w:spacing w:before="120" w:after="120"/>
        <w:jc w:val="center"/>
      </w:pPr>
      <w:r>
        <w:rPr>
          <w:rFonts w:ascii="Arial" w:cs="Arial" w:eastAsia="Arial" w:hAnsi="Arial"/>
          <w:i/>
          <w:iCs/>
          <w:color w:val="1A3C6B"/>
          <w:sz w:val="24"/>
          <w:szCs w:val="24"/>
        </w:rPr>
        <w:t xml:space="preserve">The best team isn't built once — it's maintained daily through honest feedback, clear standards, and relentless care for the humans in it.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666680"/>
        <w:sz w:val="18"/>
        <w:szCs w:val="18"/>
      </w:rPr>
      <w:t xml:space="preserve">Elite Team-Building Strategy</w:t>
    </w:r>
    <w:r>
      <w:rPr>
        <w:rFonts w:ascii="Arial" w:cs="Arial" w:eastAsia="Arial" w:hAnsi="Arial"/>
        <w:color w:val="666680"/>
        <w:sz w:val="18"/>
        <w:szCs w:val="18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C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3C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2026-02-20T00:20:42.715Z</dcterms:created>
  <dcterms:modified xsi:type="dcterms:W3CDTF">2026-02-20T00:20:42.716Z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