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🇩🇪 PUBLIC SECTOR INTELLIGENCE BRIEFING</w:t>
      </w:r>
    </w:p>
    <w:p>
      <w:pPr>
        <w:spacing w:after="300"/>
        <w:jc w:val="center"/>
      </w:pPr>
      <w:r>
        <w:rPr>
          <w:rFonts w:ascii="Arial" w:cs="Arial" w:eastAsia="Arial" w:hAnsi="Arial"/>
          <w:color w:val="0066CC"/>
          <w:sz w:val="28"/>
          <w:szCs w:val="28"/>
        </w:rPr>
        <w:t xml:space="preserve">Daily Strategic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[AUTO: Current Date]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Prepared for: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[Your Name]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Territory: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Saxony, Saxony-Anhalt, Thuringia, Lower Saxony, FITKO, BVA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84315"/>
                <w:sz w:val="26"/>
                <w:szCs w:val="26"/>
              </w:rPr>
              <w:t xml:space="preserve">⚡ TODAY'S TOP PRIORITY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[Insert primary action item or deadline alert here. Example: EU AI Act High-Risk Deadline: T-193 Days. Position governance advisory sprint NOW.]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TARGET ACCOUNT INTELLIGENCE</w:t>
      </w:r>
    </w:p>
    <w:p>
      <w:pPr>
        <w:pStyle w:val="Heading2"/>
      </w:pPr>
      <w:r>
        <w:t xml:space="preserve">1.1 FITKO (IT-Planungsrat)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Signals: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[Recent developments, procurement activity, leadership changes]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Contacts: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[Decision makers, influencers, technical leads]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 Projects: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[Digitaler Marktplatz, FIT-Connect, OZG 2.0 coordination]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Advisory Opening: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[Positioning opportunity based on current needs]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1.2 BVA (Bundesverwaltungsamt)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Signals: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[Shared services developments, digitalization initiatives]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Contacts: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[Leadership, IT department heads]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 Projects: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[Shared services consolidation, identity management]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Advisory Opening: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[Positioning for shared services optimization]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1.3 Freistaat Sachsen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Signals: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[State IT strategy, SID developments, procurement activity]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Contacts: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[CIO, SID leadership, ministry contacts]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 Projects: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[Sachsen.digital initiatives, cloud migration, AI pilots]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Advisory Opening: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[Specific positioning based on current pain points]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1.4 Sachsen-Anhalt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Signals: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[State digitalization progress, Dataport partnership developments]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Contacts: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[Ministry leadership, IT service provider contacts]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 Projects: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[OZG implementation, infrastructure modernization]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Advisory Opening: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[Positioning aligned with state priorities]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1.5 Freistaat Thüringen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Signals: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[Public Money-Public Code initiatives, open source strategy]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Contacts: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[CIO, digital ministry leadership]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 Projects: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[Sovereign cloud, open source implementations]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Advisory Opening: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[Sovereignty consulting, open source architecture guidance]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1.6 Niedersachsen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Signals: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[IT.Niedersachsen developments, shared services expansion]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Contacts: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[State CIO, IT.Niedersachsen leadership]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Active Projects: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[Cloud strategy, kommune digitalization support]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Advisory Opening: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[Platform engineering, multi-cloud governance]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REGULATORY COUNTDOWN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84315"/>
                <w:sz w:val="26"/>
                <w:szCs w:val="26"/>
              </w:rPr>
              <w:t xml:space="preserve">🚨 EU AI ACT: HIGH-RISK DEADLINE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August 2, 2026 — Annex III requirements take effect. Public sector deployers face compliance obligations and fines up to €15M or 3% turnover.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Key Compliance Gaps in Target Territory:</w:t>
      </w:r>
    </w:p>
    <w:p>
      <w:pPr>
        <w:pStyle w:val="ListParagraph"/>
        <w:numPr>
          <w:ilvl w:val="0"/>
          <w:numId w:val="2"/>
        </w:numPr>
      </w:pPr>
      <w:r>
        <w:t xml:space="preserve">No systematic AI inventory or risk classification (Art. 26 requirement)</w:t>
      </w:r>
    </w:p>
    <w:p>
      <w:pPr>
        <w:pStyle w:val="ListParagraph"/>
        <w:numPr>
          <w:ilvl w:val="0"/>
          <w:numId w:val="2"/>
        </w:numPr>
      </w:pPr>
      <w:r>
        <w:t xml:space="preserve">Missing AI Kompetenz training programs (obligation since Feb 2, 2025)</w:t>
      </w:r>
    </w:p>
    <w:p>
      <w:pPr>
        <w:pStyle w:val="ListParagraph"/>
        <w:numPr>
          <w:ilvl w:val="0"/>
          <w:numId w:val="2"/>
        </w:numPr>
      </w:pPr>
      <w:r>
        <w:t xml:space="preserve">No fundamental rights impact assessments for high-risk deployments</w:t>
      </w:r>
    </w:p>
    <w:p>
      <w:pPr>
        <w:pStyle w:val="ListParagraph"/>
        <w:numPr>
          <w:ilvl w:val="0"/>
          <w:numId w:val="2"/>
        </w:numPr>
      </w:pPr>
      <w:r>
        <w:t xml:space="preserve">Focus on GPAI transparency while neglecting high-risk system requirements</w:t>
      </w:r>
    </w:p>
    <w:p>
      <w:pPr>
        <w:spacing w:before="300"/>
      </w:pPr>
    </w:p>
    <w:p>
      <w:pPr>
        <w:pStyle w:val="Heading1"/>
      </w:pPr>
      <w:r>
        <w:t xml:space="preserve">3. STRATEGIC THEMES</w:t>
      </w:r>
    </w:p>
    <w:p>
      <w:pPr>
        <w:pStyle w:val="Heading2"/>
      </w:pPr>
      <w:r>
        <w:t xml:space="preserve">3.1 Digital Sovereignty</w:t>
      </w:r>
    </w:p>
    <w:p>
      <w:r>
        <w:t xml:space="preserve">Deutschland-Stack moving from concept to procurement. Key talking points: data residency, sovereign cloud options, exit-strategy planning with trigger documentation.</w:t>
      </w:r>
    </w:p>
    <w:p>
      <w:pPr>
        <w:spacing w:before="200"/>
      </w:pPr>
    </w:p>
    <w:p>
      <w:pPr>
        <w:pStyle w:val="Heading2"/>
      </w:pPr>
      <w:r>
        <w:t xml:space="preserve">3.2 AI Governance &amp; Compliance</w:t>
      </w:r>
    </w:p>
    <w:p>
      <w:r>
        <w:t xml:space="preserve">Position governance frameworks early. Focus: AI model inventory templates, risk assessment playbooks, workforce literacy programs.</w:t>
      </w:r>
    </w:p>
    <w:p>
      <w:pPr>
        <w:spacing w:before="200"/>
      </w:pPr>
    </w:p>
    <w:p>
      <w:pPr>
        <w:pStyle w:val="Heading2"/>
      </w:pPr>
      <w:r>
        <w:t xml:space="preserve">3.3 Cloud &amp; Infrastructure</w:t>
      </w:r>
    </w:p>
    <w:p>
      <w:r>
        <w:t xml:space="preserve">FinOps and cost governance increasingly critical. Position: consumption metering, charge/showback frameworks, multi-cloud architecture guidance.</w:t>
      </w:r>
    </w:p>
    <w:p>
      <w:r>
        <w:br w:type="page"/>
      </w:r>
    </w:p>
    <w:p>
      <w:pPr>
        <w:pStyle w:val="Heading1"/>
      </w:pPr>
      <w:r>
        <w:t xml:space="preserve">4. PRIORITIZED ACTION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8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84315"/>
                <w:sz w:val="22"/>
                <w:szCs w:val="22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FITKO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[Specific action item for FITKO engagement]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Week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84315"/>
                <w:sz w:val="22"/>
                <w:szCs w:val="22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[Specific action item for BVA engagement]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Week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Sachsen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[Specific action item for Saxony engagement]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 2 Weeks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Sachsen-Anhalt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[Specific action item for Saxony-Anhalt engagement]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 2 Weeks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Thüringen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[Leverage Public Money-Public Code momentum]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Q1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Niedersachsen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[Specific action item for Lower Saxony engagement]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Q1 2026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5. KEY DATES AHEAD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 2, 2026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1-year mark since AI literacy obligation took effect (Art. 4 EU AI Act)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84315"/>
                <w:sz w:val="22"/>
                <w:szCs w:val="22"/>
              </w:rPr>
              <w:t xml:space="preserve">Aug 2, 2026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 AI ACT HIGH-RISK DEADLINE — Annex III requirements, enforcement begins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 31, 2026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ITZBund fachliche Zuständigkeit transition to BMDS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 2, 2027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 Wallet (EUDI) launch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 31, 2027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Digitaler Marktplatz Deutschland target completion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6. SOURCES &amp; METHODOLOGY</w:t>
      </w:r>
    </w:p>
    <w:p>
      <w:r>
        <w:rPr>
          <w:b/>
          <w:bCs/>
        </w:rPr>
        <w:t xml:space="preserve">Primary Sources: </w:t>
      </w:r>
      <w:r>
        <w:t xml:space="preserve">BMDS.bund.de, Bundestag.de, eGovernment.de, KGSt.de, EC digital-strategy.ec.europa.eu, state government portals</w:t>
      </w:r>
    </w:p>
    <w:p>
      <w:pPr>
        <w:spacing w:before="100"/>
      </w:pPr>
      <w:r>
        <w:rPr>
          <w:b/>
          <w:bCs/>
        </w:rPr>
        <w:t xml:space="preserve">Signal Types: </w:t>
      </w:r>
      <w:r>
        <w:t xml:space="preserve">Budget allocations, procurement notices, MoUs, policy announcements, personnel changes</w:t>
      </w:r>
    </w:p>
    <w:p>
      <w:pPr>
        <w:spacing w:before="100"/>
      </w:pPr>
      <w:r>
        <w:rPr>
          <w:b/>
          <w:bCs/>
        </w:rPr>
        <w:t xml:space="preserve">Update Frequency: </w:t>
      </w:r>
      <w:r>
        <w:t xml:space="preserve">Daily automated scan with weekly deep-dive analysis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This briefing is based on verified market signals as of the date indicated.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Confidential — Do not distribute externally.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1E3A5F"/>
        <w:sz w:val="18"/>
        <w:szCs w:val="18"/>
      </w:rPr>
      <w:t xml:space="preserve">🇩🇪 PUBLIC SECTOR INTELLIGENCE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2026-01-21T09:48:24.896Z</dcterms:created>
  <dcterms:modified xsi:type="dcterms:W3CDTF">2026-01-21T09:48:24.897Z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