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AVP - GOVERNANCE</w:t>
      </w:r>
    </w:p>
    <w:bookmarkStart w:id="38" w:name="avp-protocol-governance"/>
    <w:p>
      <w:pPr>
        <w:pStyle w:val="Heading1"/>
      </w:pPr>
      <w:r>
        <w:t xml:space="preserve">AVP Protocol Governance</w:t>
      </w:r>
    </w:p>
    <w:p>
      <w:pPr>
        <w:pStyle w:val="FirstParagraph"/>
      </w:pPr>
      <w:r>
        <w:rPr>
          <w:b/>
          <w:bCs/>
        </w:rPr>
        <w:t xml:space="preserve">Decision-Making, Community Management, and Protocol Evolution</w:t>
      </w:r>
    </w:p>
    <w:p>
      <w:pPr>
        <w:pStyle w:val="BodyText"/>
      </w:pPr>
      <w:r>
        <w:t xml:space="preserve">Version: 1.0-draft</w:t>
      </w:r>
      <w:r>
        <w:t xml:space="preserve"> </w:t>
      </w:r>
      <w:r>
        <w:t xml:space="preserve">Date: 2026-03-18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59342a2f5f036b9901198c93e4bc6e4cc904fb">
        <w:r>
          <w:rPr>
            <w:rStyle w:val="Hyperlink"/>
          </w:rPr>
          <w:t xml:space="preserve">Governance Model</w:t>
        </w:r>
      </w:hyperlink>
    </w:p>
    <w:p>
      <w:pPr>
        <w:pStyle w:val="Compact"/>
        <w:numPr>
          <w:ilvl w:val="0"/>
          <w:numId w:val="1001"/>
        </w:numPr>
      </w:pPr>
      <w:hyperlink w:anchor="X13580225c4d8dd40c3f9391bd2d47a3860574c0">
        <w:r>
          <w:rPr>
            <w:rStyle w:val="Hyperlink"/>
          </w:rPr>
          <w:t xml:space="preserve">Organizational Structure</w:t>
        </w:r>
      </w:hyperlink>
    </w:p>
    <w:p>
      <w:pPr>
        <w:pStyle w:val="Compact"/>
        <w:numPr>
          <w:ilvl w:val="0"/>
          <w:numId w:val="1001"/>
        </w:numPr>
      </w:pPr>
      <w:hyperlink w:anchor="Xa8777f853b899c3e66b922548f317924807cf26">
        <w:r>
          <w:rPr>
            <w:rStyle w:val="Hyperlink"/>
          </w:rPr>
          <w:t xml:space="preserve">Decision-Making Process</w:t>
        </w:r>
      </w:hyperlink>
    </w:p>
    <w:p>
      <w:pPr>
        <w:pStyle w:val="Compact"/>
        <w:numPr>
          <w:ilvl w:val="0"/>
          <w:numId w:val="1001"/>
        </w:numPr>
      </w:pPr>
      <w:hyperlink w:anchor="X359fe6f5f381f935fbd2189963cc0a5d9b44cd6">
        <w:r>
          <w:rPr>
            <w:rStyle w:val="Hyperlink"/>
          </w:rPr>
          <w:t xml:space="preserve">Protocol Evolution</w:t>
        </w:r>
      </w:hyperlink>
    </w:p>
    <w:p>
      <w:pPr>
        <w:pStyle w:val="Compact"/>
        <w:numPr>
          <w:ilvl w:val="0"/>
          <w:numId w:val="1001"/>
        </w:numPr>
      </w:pPr>
      <w:hyperlink w:anchor="X757c4e88a3093e9abdcc934abdb49db5561a842">
        <w:r>
          <w:rPr>
            <w:rStyle w:val="Hyperlink"/>
          </w:rPr>
          <w:t xml:space="preserve">Community Guidelines</w:t>
        </w:r>
      </w:hyperlink>
    </w:p>
    <w:p>
      <w:pPr>
        <w:pStyle w:val="Compact"/>
        <w:numPr>
          <w:ilvl w:val="0"/>
          <w:numId w:val="1001"/>
        </w:numPr>
      </w:pPr>
      <w:hyperlink w:anchor="X11c5ab241d9786829dbe1f1364c18082c15b72a">
        <w:r>
          <w:rPr>
            <w:rStyle w:val="Hyperlink"/>
          </w:rPr>
          <w:t xml:space="preserve">Intellectual Property</w:t>
        </w:r>
      </w:hyperlink>
    </w:p>
    <w:p>
      <w:pPr>
        <w:pStyle w:val="Compact"/>
        <w:numPr>
          <w:ilvl w:val="0"/>
          <w:numId w:val="1001"/>
        </w:numPr>
      </w:pPr>
      <w:hyperlink w:anchor="X6c799b58a722419ea6fe4696febc3e598cc354b">
        <w:r>
          <w:rPr>
            <w:rStyle w:val="Hyperlink"/>
          </w:rPr>
          <w:t xml:space="preserve">Conflict Resolution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X059342a2f5f036b9901198c93e4bc6e4cc904fb"/>
    <w:p>
      <w:pPr>
        <w:pStyle w:val="Heading2"/>
      </w:pPr>
      <w:r>
        <w:t xml:space="preserve">1. Governance Model</w:t>
      </w:r>
    </w:p>
    <w:bookmarkStart w:id="10" w:name="Xd3a6895d9d1c8961315090351ed3b583e102d3c"/>
    <w:p>
      <w:pPr>
        <w:pStyle w:val="Heading3"/>
      </w:pPr>
      <w:r>
        <w:t xml:space="preserve">1.1 Evolution of Governance</w:t>
      </w:r>
    </w:p>
    <w:p>
      <w:pPr>
        <w:pStyle w:val="SourceCode"/>
      </w:pPr>
      <w:r>
        <w:rPr>
          <w:rStyle w:val="VerbatimChar"/>
        </w:rPr>
        <w:t xml:space="preserve">Year 1: Founder-Led</w:t>
      </w:r>
      <w:r>
        <w:br/>
      </w:r>
      <w:r>
        <w:rPr>
          <w:rStyle w:val="VerbatimChar"/>
        </w:rPr>
        <w:t xml:space="preserve">│  Fast decisions, clear vision</w:t>
      </w:r>
      <w:r>
        <w:br/>
      </w:r>
      <w:r>
        <w:rPr>
          <w:rStyle w:val="VerbatimChar"/>
        </w:rPr>
        <w:t xml:space="preserve">│  Risk: bus factor = 1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Year 2: Steering Committee</w:t>
      </w:r>
      <w:r>
        <w:br/>
      </w:r>
      <w:r>
        <w:rPr>
          <w:rStyle w:val="VerbatimChar"/>
        </w:rPr>
        <w:t xml:space="preserve">│  5-7 members, balanced representation</w:t>
      </w:r>
      <w:r>
        <w:br/>
      </w:r>
      <w:r>
        <w:rPr>
          <w:rStyle w:val="VerbatimChar"/>
        </w:rPr>
        <w:t xml:space="preserve">│  Community input via AEPs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Year 3+: Foundation</w:t>
      </w:r>
      <w:r>
        <w:br/>
      </w:r>
      <w:r>
        <w:rPr>
          <w:rStyle w:val="VerbatimChar"/>
        </w:rPr>
        <w:t xml:space="preserve">│  AVP Foundation (non-profit)</w:t>
      </w:r>
      <w:r>
        <w:br/>
      </w:r>
      <w:r>
        <w:rPr>
          <w:rStyle w:val="VerbatimChar"/>
        </w:rPr>
        <w:t xml:space="preserve">│  Corporate sponsors</w:t>
      </w:r>
      <w:r>
        <w:br/>
      </w:r>
      <w:r>
        <w:rPr>
          <w:rStyle w:val="VerbatimChar"/>
        </w:rPr>
        <w:t xml:space="preserve">│  Formal charter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Year 4+: Standards Body WG</w:t>
      </w:r>
      <w:r>
        <w:br/>
      </w:r>
      <w:r>
        <w:rPr>
          <w:rStyle w:val="VerbatimChar"/>
        </w:rPr>
        <w:t xml:space="preserve">   IETF WG or W3C CG</w:t>
      </w:r>
      <w:r>
        <w:br/>
      </w:r>
      <w:r>
        <w:rPr>
          <w:rStyle w:val="VerbatimChar"/>
        </w:rPr>
        <w:t xml:space="preserve">   Open participation</w:t>
      </w:r>
      <w:r>
        <w:br/>
      </w:r>
      <w:r>
        <w:rPr>
          <w:rStyle w:val="VerbatimChar"/>
        </w:rPr>
        <w:t xml:space="preserve">   Consensus-based decisions</w:t>
      </w:r>
    </w:p>
    <w:bookmarkEnd w:id="10"/>
    <w:bookmarkStart w:id="11" w:name="Xce71ea8ac5763698e30f7254c827ff8a2b98ba4"/>
    <w:p>
      <w:pPr>
        <w:pStyle w:val="Heading3"/>
      </w:pPr>
      <w:r>
        <w:t xml:space="preserve">1.2 Core Principles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Openness</w:t>
      </w:r>
      <w:r>
        <w:t xml:space="preserve"> </w:t>
      </w:r>
      <w:r>
        <w:t xml:space="preserve">— All decisions, discussions, and specifications are public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Meritocracy</w:t>
      </w:r>
      <w:r>
        <w:t xml:space="preserve"> </w:t>
      </w:r>
      <w:r>
        <w:t xml:space="preserve">— Influence comes from contribution, not title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Consensus</w:t>
      </w:r>
      <w:r>
        <w:t xml:space="preserve"> </w:t>
      </w:r>
      <w:r>
        <w:t xml:space="preserve">— Major decisions require broad agreement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Transparency</w:t>
      </w:r>
      <w:r>
        <w:t xml:space="preserve"> </w:t>
      </w:r>
      <w:r>
        <w:t xml:space="preserve">— Meeting notes, votes, and rationale published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Inclusivity</w:t>
      </w:r>
      <w:r>
        <w:t xml:space="preserve"> </w:t>
      </w:r>
      <w:r>
        <w:t xml:space="preserve">— Anyone can participate, regardless of affiliation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X13580225c4d8dd40c3f9391bd2d47a3860574c0"/>
    <w:p>
      <w:pPr>
        <w:pStyle w:val="Heading2"/>
      </w:pPr>
      <w:r>
        <w:t xml:space="preserve">2. Organizational Structure</w:t>
      </w:r>
    </w:p>
    <w:bookmarkStart w:id="13" w:name="X991db0bef4196466a7032bab8170dcf260a1e06"/>
    <w:p>
      <w:pPr>
        <w:pStyle w:val="Heading3"/>
      </w:pPr>
      <w:r>
        <w:t xml:space="preserve">2.1 Roles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GOVERNANCE STRUCTURE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Steering Committee (5-7 members)          │ │</w:t>
      </w:r>
      <w:r>
        <w:br/>
      </w:r>
      <w:r>
        <w:rPr>
          <w:rStyle w:val="VerbatimChar"/>
        </w:rPr>
        <w:t xml:space="preserve">│  │  - Protocol direction                     │ │</w:t>
      </w:r>
      <w:r>
        <w:br/>
      </w:r>
      <w:r>
        <w:rPr>
          <w:rStyle w:val="VerbatimChar"/>
        </w:rPr>
        <w:t xml:space="preserve">│  │  - Major version decisions                │ │</w:t>
      </w:r>
      <w:r>
        <w:br/>
      </w:r>
      <w:r>
        <w:rPr>
          <w:rStyle w:val="VerbatimChar"/>
        </w:rPr>
        <w:t xml:space="preserve">│  │  - Governance changes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Working Groups                            │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┌────────────────────┐  │ │</w:t>
      </w:r>
      <w:r>
        <w:br/>
      </w:r>
      <w:r>
        <w:rPr>
          <w:rStyle w:val="VerbatimChar"/>
        </w:rPr>
        <w:t xml:space="preserve">│  │  │ Protocol WG│  │ Security WG        │  │ │</w:t>
      </w:r>
      <w:r>
        <w:br/>
      </w:r>
      <w:r>
        <w:rPr>
          <w:rStyle w:val="VerbatimChar"/>
        </w:rPr>
        <w:t xml:space="preserve">│  │  │ (spec)     │  │ (auth, trust)      │  │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└────────────────────┘  │ │</w:t>
      </w:r>
      <w:r>
        <w:br/>
      </w:r>
      <w:r>
        <w:rPr>
          <w:rStyle w:val="VerbatimChar"/>
        </w:rPr>
        <w:t xml:space="preserve">│  │  ┌────────────┐  ┌────────────────────┐  │ │</w:t>
      </w:r>
      <w:r>
        <w:br/>
      </w:r>
      <w:r>
        <w:rPr>
          <w:rStyle w:val="VerbatimChar"/>
        </w:rPr>
        <w:t xml:space="preserve">│  │  │ SDK WG     │  │ Ecosystem WG       │  │ │</w:t>
      </w:r>
      <w:r>
        <w:br/>
      </w:r>
      <w:r>
        <w:rPr>
          <w:rStyle w:val="VerbatimChar"/>
        </w:rPr>
        <w:t xml:space="preserve">│  │  │ (impls)    │  │ (integrations)     │  │ │</w:t>
      </w:r>
      <w:r>
        <w:br/>
      </w:r>
      <w:r>
        <w:rPr>
          <w:rStyle w:val="VerbatimChar"/>
        </w:rPr>
        <w:t xml:space="preserve">│  │  └────────────┘  └────────────────────┘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Community                                 │ │</w:t>
      </w:r>
      <w:r>
        <w:br/>
      </w:r>
      <w:r>
        <w:rPr>
          <w:rStyle w:val="VerbatimChar"/>
        </w:rPr>
        <w:t xml:space="preserve">│  │  - Contributors (code, docs, reviews)     │ │</w:t>
      </w:r>
      <w:r>
        <w:br/>
      </w:r>
      <w:r>
        <w:rPr>
          <w:rStyle w:val="VerbatimChar"/>
        </w:rPr>
        <w:t xml:space="preserve">│  │  - Users (vendors, buyers, platforms)     │ │</w:t>
      </w:r>
      <w:r>
        <w:br/>
      </w:r>
      <w:r>
        <w:rPr>
          <w:rStyle w:val="VerbatimChar"/>
        </w:rPr>
        <w:t xml:space="preserve">│  │  - Advocates (evangelists, writers)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End w:id="13"/>
    <w:bookmarkStart w:id="14" w:name="X948165cb27cd92ed7ce0d63f0e7e2b17a698dbf"/>
    <w:p>
      <w:pPr>
        <w:pStyle w:val="Heading3"/>
      </w:pPr>
      <w:r>
        <w:t xml:space="preserve">2.2 Steering Committee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Seat</w:t>
            </w:r>
          </w:p>
        </w:tc>
        <w:tc>
          <w:tcPr/>
          <w:p>
            <w:pPr>
              <w:pStyle w:val="Compact"/>
            </w:pPr>
            <w:r>
              <w:t xml:space="preserve">Selection</w:t>
            </w:r>
          </w:p>
        </w:tc>
        <w:tc>
          <w:tcPr/>
          <w:p>
            <w:pPr>
              <w:pStyle w:val="Compact"/>
            </w:pPr>
            <w:r>
              <w:t xml:space="preserve">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Founder (1)</w:t>
            </w:r>
          </w:p>
        </w:tc>
        <w:tc>
          <w:tcPr/>
          <w:p>
            <w:pPr>
              <w:pStyle w:val="Compact"/>
            </w:pPr>
            <w:r>
              <w:t xml:space="preserve">Permanent (Year 1-3), then elected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Technical Lead (1)</w:t>
            </w:r>
          </w:p>
        </w:tc>
        <w:tc>
          <w:tcPr/>
          <w:p>
            <w:pPr>
              <w:pStyle w:val="Compact"/>
            </w:pPr>
            <w:r>
              <w:t xml:space="preserve">Appointed by founder, then elected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Community Elected (3)</w:t>
            </w:r>
          </w:p>
        </w:tc>
        <w:tc>
          <w:tcPr/>
          <w:p>
            <w:pPr>
              <w:pStyle w:val="Compact"/>
            </w:pPr>
            <w:r>
              <w:t xml:space="preserve">Voted by contributors</w:t>
            </w:r>
          </w:p>
        </w:tc>
        <w:tc>
          <w:tcPr/>
          <w:p>
            <w:pPr>
              <w:pStyle w:val="Compact"/>
            </w:pPr>
            <w:r>
              <w:t xml:space="preserve">2 years, staggered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Corporate Sponsor (2)</w:t>
            </w:r>
          </w:p>
        </w:tc>
        <w:tc>
          <w:tcPr/>
          <w:p>
            <w:pPr>
              <w:pStyle w:val="Compact"/>
            </w:pPr>
            <w:r>
              <w:t xml:space="preserve">Nominated by top sponsors</w:t>
            </w:r>
          </w:p>
        </w:tc>
        <w:tc>
          <w:tcPr/>
          <w:p>
            <w:pPr>
              <w:pStyle w:val="Compact"/>
            </w:pPr>
            <w:r>
              <w:t xml:space="preserve">1 year</w:t>
            </w:r>
          </w:p>
        </w:tc>
      </w:tr>
    </w:tbl>
    <w:bookmarkEnd w:id="14"/>
    <w:bookmarkStart w:id="15" w:name="Xc9bbea71d6312e087de0600b8789ba3254e5717"/>
    <w:p>
      <w:pPr>
        <w:pStyle w:val="Heading3"/>
      </w:pPr>
      <w:r>
        <w:t xml:space="preserve">2.3 Working Group Structure</w:t>
      </w:r>
    </w:p>
    <w:p>
      <w:pPr>
        <w:pStyle w:val="FirstParagraph"/>
      </w:pPr>
      <w:r>
        <w:t xml:space="preserve">Each WG has: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Chair</w:t>
      </w:r>
      <w:r>
        <w:t xml:space="preserve"> </w:t>
      </w:r>
      <w:r>
        <w:t xml:space="preserve">— Facilitates meetings, drives agenda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Members</w:t>
      </w:r>
      <w:r>
        <w:t xml:space="preserve"> </w:t>
      </w:r>
      <w:r>
        <w:t xml:space="preserve">— Active contributors (minimum 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</w:t>
      </w:r>
      <w:r>
        <w:t xml:space="preserve"> </w:t>
      </w:r>
      <w:r>
        <w:t xml:space="preserve">— Defined area of responsibility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Meeting cadence</w:t>
      </w:r>
      <w:r>
        <w:t xml:space="preserve"> </w:t>
      </w:r>
      <w:r>
        <w:t xml:space="preserve">— Bi-weekly (minimum)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authority</w:t>
      </w:r>
      <w:r>
        <w:t xml:space="preserve"> </w:t>
      </w:r>
      <w:r>
        <w:t xml:space="preserve">— Within scope, escalate to SC if cross-cutting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a8777f853b899c3e66b922548f317924807cf26"/>
    <w:p>
      <w:pPr>
        <w:pStyle w:val="Heading2"/>
      </w:pPr>
      <w:r>
        <w:t xml:space="preserve">3. Decision-Making Process</w:t>
      </w:r>
    </w:p>
    <w:bookmarkStart w:id="17" w:name="X2d1c3fa8b4674aebf14c13a2fee18b9691cf613"/>
    <w:p>
      <w:pPr>
        <w:pStyle w:val="Heading3"/>
      </w:pPr>
      <w:r>
        <w:t xml:space="preserve">3.1 Decision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Who Decides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fix</w:t>
            </w:r>
          </w:p>
        </w:tc>
        <w:tc>
          <w:tcPr/>
          <w:p>
            <w:pPr>
              <w:pStyle w:val="Compact"/>
            </w:pPr>
            <w:r>
              <w:t xml:space="preserve">Any maintainer</w:t>
            </w:r>
          </w:p>
        </w:tc>
        <w:tc>
          <w:tcPr/>
          <w:p>
            <w:pPr>
              <w:pStyle w:val="Compact"/>
            </w:pPr>
            <w:r>
              <w:t xml:space="preserve">PR review +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feature</w:t>
            </w:r>
          </w:p>
        </w:tc>
        <w:tc>
          <w:tcPr/>
          <w:p>
            <w:pPr>
              <w:pStyle w:val="Compact"/>
            </w:pPr>
            <w:r>
              <w:t xml:space="preserve">Working Group</w:t>
            </w:r>
          </w:p>
        </w:tc>
        <w:tc>
          <w:tcPr/>
          <w:p>
            <w:pPr>
              <w:pStyle w:val="Compact"/>
            </w:pPr>
            <w:r>
              <w:t xml:space="preserve">WG consensus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AEP (protocol change)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AEP process (see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version</w:t>
            </w:r>
          </w:p>
        </w:tc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Supermajority (5/7)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change</w:t>
            </w:r>
          </w:p>
        </w:tc>
        <w:tc>
          <w:tcPr/>
          <w:p>
            <w:pPr>
              <w:pStyle w:val="Compact"/>
            </w:pPr>
            <w:r>
              <w:t xml:space="preserve">Steering Committee + Community</w:t>
            </w:r>
          </w:p>
        </w:tc>
        <w:tc>
          <w:tcPr/>
          <w:p>
            <w:pPr>
              <w:pStyle w:val="Compact"/>
            </w:pPr>
            <w:r>
              <w:t xml:space="preserve">Supermajority + 30-day 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change</w:t>
            </w:r>
          </w:p>
        </w:tc>
        <w:tc>
          <w:tcPr/>
          <w:p>
            <w:pPr>
              <w:pStyle w:val="Compact"/>
            </w:pPr>
            <w:r>
              <w:t xml:space="preserve">All contributors</w:t>
            </w:r>
          </w:p>
        </w:tc>
        <w:tc>
          <w:tcPr/>
          <w:p>
            <w:pPr>
              <w:pStyle w:val="Compact"/>
            </w:pPr>
            <w:r>
              <w:t xml:space="preserve">Unanimous consent</w:t>
            </w:r>
          </w:p>
        </w:tc>
      </w:tr>
    </w:tbl>
    <w:bookmarkEnd w:id="17"/>
    <w:bookmarkStart w:id="18" w:name="Xe9f4935174930effe177bcfa2e2725b464ed101"/>
    <w:p>
      <w:pPr>
        <w:pStyle w:val="Heading3"/>
      </w:pPr>
      <w:r>
        <w:t xml:space="preserve">3.2 AEP (AVP Enhancement Proposal) Process</w:t>
      </w:r>
    </w:p>
    <w:p>
      <w:pPr>
        <w:pStyle w:val="SourceCode"/>
      </w:pPr>
      <w:r>
        <w:rPr>
          <w:rStyle w:val="VerbatimChar"/>
        </w:rPr>
        <w:t xml:space="preserve">Phase 1: Draft (Author)</w:t>
      </w:r>
      <w:r>
        <w:br/>
      </w:r>
      <w:r>
        <w:rPr>
          <w:rStyle w:val="VerbatimChar"/>
        </w:rPr>
        <w:t xml:space="preserve">│  Write AEP document</w:t>
      </w:r>
      <w:r>
        <w:br/>
      </w:r>
      <w:r>
        <w:rPr>
          <w:rStyle w:val="VerbatimChar"/>
        </w:rPr>
        <w:t xml:space="preserve">│  Submit as PR to avp-spec repo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Phase 2: Discussion (14 days minimum)</w:t>
      </w:r>
      <w:r>
        <w:br/>
      </w:r>
      <w:r>
        <w:rPr>
          <w:rStyle w:val="VerbatimChar"/>
        </w:rPr>
        <w:t xml:space="preserve">│  Community reviews and comments</w:t>
      </w:r>
      <w:r>
        <w:br/>
      </w:r>
      <w:r>
        <w:rPr>
          <w:rStyle w:val="VerbatimChar"/>
        </w:rPr>
        <w:t xml:space="preserve">│  Author addresses feedback</w:t>
      </w:r>
      <w:r>
        <w:br/>
      </w:r>
      <w:r>
        <w:rPr>
          <w:rStyle w:val="VerbatimChar"/>
        </w:rPr>
        <w:t xml:space="preserve">│  WG provides technical assessment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Phase 3: Working Group Review</w:t>
      </w:r>
      <w:r>
        <w:br/>
      </w:r>
      <w:r>
        <w:rPr>
          <w:rStyle w:val="VerbatimChar"/>
        </w:rPr>
        <w:t xml:space="preserve">│  Relevant WG evaluates feasibility</w:t>
      </w:r>
      <w:r>
        <w:br/>
      </w:r>
      <w:r>
        <w:rPr>
          <w:rStyle w:val="VerbatimChar"/>
        </w:rPr>
        <w:t xml:space="preserve">│  Security WG reviews security impact</w:t>
      </w:r>
      <w:r>
        <w:br/>
      </w:r>
      <w:r>
        <w:rPr>
          <w:rStyle w:val="VerbatimChar"/>
        </w:rPr>
        <w:t xml:space="preserve">│  Provides recommendation to SC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Phase 4: Steering Committee Vote</w:t>
      </w:r>
      <w:r>
        <w:br/>
      </w:r>
      <w:r>
        <w:rPr>
          <w:rStyle w:val="VerbatimChar"/>
        </w:rPr>
        <w:t xml:space="preserve">│  Requires 2/3 majority</w:t>
      </w:r>
      <w:r>
        <w:br/>
      </w:r>
      <w:r>
        <w:rPr>
          <w:rStyle w:val="VerbatimChar"/>
        </w:rPr>
        <w:t xml:space="preserve">│  At least 2 independent implementations must exist</w:t>
      </w:r>
      <w:r>
        <w:br/>
      </w:r>
      <w:r>
        <w:rPr>
          <w:rStyle w:val="VerbatimChar"/>
        </w:rPr>
        <w:t xml:space="preserve">│  (or commit to implement within 90 days)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Phase 5: Implementation</w:t>
      </w:r>
      <w:r>
        <w:br/>
      </w:r>
      <w:r>
        <w:rPr>
          <w:rStyle w:val="VerbatimChar"/>
        </w:rPr>
        <w:t xml:space="preserve">│  Merged into spec</w:t>
      </w:r>
      <w:r>
        <w:br/>
      </w:r>
      <w:r>
        <w:rPr>
          <w:rStyle w:val="VerbatimChar"/>
        </w:rPr>
        <w:t xml:space="preserve">│  Reference implementation updated</w:t>
      </w:r>
      <w:r>
        <w:br/>
      </w:r>
      <w:r>
        <w:rPr>
          <w:rStyle w:val="VerbatimChar"/>
        </w:rPr>
        <w:t xml:space="preserve">│  SDK updates coordinated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▼</w:t>
      </w:r>
      <w:r>
        <w:br/>
      </w:r>
      <w:r>
        <w:rPr>
          <w:rStyle w:val="VerbatimChar"/>
        </w:rPr>
        <w:t xml:space="preserve">Phase 6: Release</w:t>
      </w:r>
      <w:r>
        <w:br/>
      </w:r>
      <w:r>
        <w:rPr>
          <w:rStyle w:val="VerbatimChar"/>
        </w:rPr>
        <w:t xml:space="preserve">│  Included in next spec version</w:t>
      </w:r>
      <w:r>
        <w:br/>
      </w:r>
      <w:r>
        <w:rPr>
          <w:rStyle w:val="VerbatimChar"/>
        </w:rPr>
        <w:t xml:space="preserve">│  Migration guide if breaking</w:t>
      </w:r>
    </w:p>
    <w:bookmarkEnd w:id="18"/>
    <w:bookmarkStart w:id="19" w:name="Xd78ae34850aab0b9f00e4e1f40ca0a055f91732"/>
    <w:p>
      <w:pPr>
        <w:pStyle w:val="Heading3"/>
      </w:pPr>
      <w:r>
        <w:t xml:space="preserve">3.3 AEP Document Template</w:t>
      </w:r>
    </w:p>
    <w:p>
      <w:pPr>
        <w:pStyle w:val="SourceCode"/>
      </w:pPr>
      <w:r>
        <w:rPr>
          <w:rStyle w:val="FunctionTok"/>
        </w:rPr>
        <w:t xml:space="preserve"># AEP-{number}: {Title}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**Author:** {name}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**Status:** Draft | Discussion | Accepted | Rejected | Withdrawn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**Created:** {date}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**Updated:** {date}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NormalTok"/>
        </w:rPr>
        <w:t xml:space="preserve">One paragraph summary.</w:t>
      </w:r>
      <w:r>
        <w:br/>
      </w:r>
      <w:r>
        <w:br/>
      </w:r>
      <w:r>
        <w:rPr>
          <w:rStyle w:val="FunctionTok"/>
        </w:rPr>
        <w:t xml:space="preserve">## Motivation</w:t>
      </w:r>
      <w:r>
        <w:br/>
      </w:r>
      <w:r>
        <w:rPr>
          <w:rStyle w:val="NormalTok"/>
        </w:rPr>
        <w:t xml:space="preserve">Why is this change needed?</w:t>
      </w:r>
      <w:r>
        <w:br/>
      </w:r>
      <w:r>
        <w:br/>
      </w:r>
      <w:r>
        <w:rPr>
          <w:rStyle w:val="FunctionTok"/>
        </w:rPr>
        <w:t xml:space="preserve">## Specification</w:t>
      </w:r>
      <w:r>
        <w:br/>
      </w:r>
      <w:r>
        <w:rPr>
          <w:rStyle w:val="NormalTok"/>
        </w:rPr>
        <w:t xml:space="preserve">Detailed technical specification.</w:t>
      </w:r>
      <w:r>
        <w:br/>
      </w:r>
      <w:r>
        <w:br/>
      </w:r>
      <w:r>
        <w:rPr>
          <w:rStyle w:val="FunctionTok"/>
        </w:rPr>
        <w:t xml:space="preserve">## Backward Compatibility</w:t>
      </w:r>
      <w:r>
        <w:br/>
      </w:r>
      <w:r>
        <w:rPr>
          <w:rStyle w:val="NormalTok"/>
        </w:rPr>
        <w:t xml:space="preserve">Impact on existing implementations.</w:t>
      </w:r>
      <w:r>
        <w:br/>
      </w:r>
      <w:r>
        <w:br/>
      </w:r>
      <w:r>
        <w:rPr>
          <w:rStyle w:val="FunctionTok"/>
        </w:rPr>
        <w:t xml:space="preserve">## Security Considerations</w:t>
      </w:r>
      <w:r>
        <w:br/>
      </w:r>
      <w:r>
        <w:rPr>
          <w:rStyle w:val="NormalTok"/>
        </w:rPr>
        <w:t xml:space="preserve">Security implications.</w:t>
      </w:r>
      <w:r>
        <w:br/>
      </w:r>
      <w:r>
        <w:br/>
      </w:r>
      <w:r>
        <w:rPr>
          <w:rStyle w:val="FunctionTok"/>
        </w:rPr>
        <w:t xml:space="preserve">## Reference Implementation</w:t>
      </w:r>
      <w:r>
        <w:br/>
      </w:r>
      <w:r>
        <w:rPr>
          <w:rStyle w:val="NormalTok"/>
        </w:rPr>
        <w:t xml:space="preserve">Link to implementation (or planned timeline).</w:t>
      </w:r>
      <w:r>
        <w:br/>
      </w:r>
      <w:r>
        <w:br/>
      </w:r>
      <w:r>
        <w:rPr>
          <w:rStyle w:val="FunctionTok"/>
        </w:rPr>
        <w:t xml:space="preserve">## Alternatives Considered</w:t>
      </w:r>
      <w:r>
        <w:br/>
      </w:r>
      <w:r>
        <w:rPr>
          <w:rStyle w:val="NormalTok"/>
        </w:rPr>
        <w:t xml:space="preserve">What other approaches were evaluated?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X359fe6f5f381f935fbd2189963cc0a5d9b44cd6"/>
    <w:p>
      <w:pPr>
        <w:pStyle w:val="Heading2"/>
      </w:pPr>
      <w:r>
        <w:t xml:space="preserve">4. Protocol Evolution</w:t>
      </w:r>
    </w:p>
    <w:bookmarkStart w:id="21" w:name="Xb426379b6786981e39ea802028b01fb331820b1"/>
    <w:p>
      <w:pPr>
        <w:pStyle w:val="Heading3"/>
      </w:pPr>
      <w:r>
        <w:t xml:space="preserve">4.1 Versioning Policy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Patch (1.0.x):</w:t>
      </w:r>
      <w:r>
        <w:t xml:space="preserve"> </w:t>
      </w:r>
      <w:r>
        <w:t xml:space="preserve">Bug fixes, clarifications — no AEP needed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Minor (1.x.0):</w:t>
      </w:r>
      <w:r>
        <w:t xml:space="preserve"> </w:t>
      </w:r>
      <w:r>
        <w:t xml:space="preserve">Backward-compatible additions — requires AEP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Major (x.0.0):</w:t>
      </w:r>
      <w:r>
        <w:t xml:space="preserve"> </w:t>
      </w:r>
      <w:r>
        <w:t xml:space="preserve">Breaking changes — requires AEP + migration guide + 12-month deprecation</w:t>
      </w:r>
    </w:p>
    <w:bookmarkEnd w:id="21"/>
    <w:bookmarkStart w:id="22" w:name="X91af0d658d75ed94143fd61af3759e739986464"/>
    <w:p>
      <w:pPr>
        <w:pStyle w:val="Heading3"/>
      </w:pPr>
      <w:r>
        <w:t xml:space="preserve">4.2 Release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Notice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Annually (max)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</w:tr>
    </w:tbl>
    <w:bookmarkEnd w:id="22"/>
    <w:bookmarkStart w:id="23" w:name="Xdc301c8ff922e14d0d92e86109f9a710751cb7e"/>
    <w:p>
      <w:pPr>
        <w:pStyle w:val="Heading3"/>
      </w:pPr>
      <w:r>
        <w:t xml:space="preserve">4.3 Backward Compatibility</w:t>
      </w:r>
    </w:p>
    <w:p>
      <w:pPr>
        <w:pStyle w:val="FirstParagraph"/>
      </w:pPr>
      <w:r>
        <w:t xml:space="preserve">Every protocol change MUST:</w:t>
      </w:r>
    </w:p>
    <w:p>
      <w:pPr>
        <w:pStyle w:val="Compact"/>
        <w:numPr>
          <w:ilvl w:val="0"/>
          <w:numId w:val="1005"/>
        </w:numPr>
      </w:pPr>
      <w:r>
        <w:t xml:space="preserve">Include backward compatibility analysis</w:t>
      </w:r>
    </w:p>
    <w:p>
      <w:pPr>
        <w:pStyle w:val="Compact"/>
        <w:numPr>
          <w:ilvl w:val="0"/>
          <w:numId w:val="1005"/>
        </w:numPr>
      </w:pPr>
      <w:r>
        <w:t xml:space="preserve">Provide migration guide for breaking changes</w:t>
      </w:r>
    </w:p>
    <w:p>
      <w:pPr>
        <w:pStyle w:val="Compact"/>
        <w:numPr>
          <w:ilvl w:val="0"/>
          <w:numId w:val="1005"/>
        </w:numPr>
      </w:pPr>
      <w:r>
        <w:t xml:space="preserve">Support previous major version for 24 months minimum</w:t>
      </w:r>
    </w:p>
    <w:p>
      <w:pPr>
        <w:pStyle w:val="Compact"/>
        <w:numPr>
          <w:ilvl w:val="0"/>
          <w:numId w:val="1005"/>
        </w:numPr>
      </w:pPr>
      <w:r>
        <w:t xml:space="preserve">Include version negotiation mechanism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757c4e88a3093e9abdcc934abdb49db5561a842"/>
    <w:p>
      <w:pPr>
        <w:pStyle w:val="Heading2"/>
      </w:pPr>
      <w:r>
        <w:t xml:space="preserve">5. Community Guidelines</w:t>
      </w:r>
    </w:p>
    <w:bookmarkStart w:id="26" w:name="X75c40aa29555da68cb780a7cfaccf1ee74f5dc7"/>
    <w:p>
      <w:pPr>
        <w:pStyle w:val="Heading3"/>
      </w:pPr>
      <w:r>
        <w:t xml:space="preserve">5.1 Code of Conduct</w:t>
      </w:r>
    </w:p>
    <w:p>
      <w:pPr>
        <w:pStyle w:val="FirstParagraph"/>
      </w:pPr>
      <w:r>
        <w:t xml:space="preserve">AVP follows the</w:t>
      </w:r>
      <w:r>
        <w:t xml:space="preserve"> </w:t>
      </w:r>
      <w:hyperlink r:id="rId25">
        <w:r>
          <w:rPr>
            <w:rStyle w:val="Hyperlink"/>
          </w:rPr>
          <w:t xml:space="preserve">Contributor Covenant</w:t>
        </w:r>
      </w:hyperlink>
      <w:r>
        <w:t xml:space="preserve"> </w:t>
      </w:r>
      <w:r>
        <w:t xml:space="preserve">v2.1.</w:t>
      </w:r>
    </w:p>
    <w:p>
      <w:pPr>
        <w:pStyle w:val="BodyText"/>
      </w:pPr>
      <w:r>
        <w:t xml:space="preserve">Key points:</w:t>
      </w:r>
    </w:p>
    <w:p>
      <w:pPr>
        <w:pStyle w:val="Compact"/>
        <w:numPr>
          <w:ilvl w:val="0"/>
          <w:numId w:val="1006"/>
        </w:numPr>
      </w:pPr>
      <w:r>
        <w:t xml:space="preserve">Be respectful and inclusive</w:t>
      </w:r>
    </w:p>
    <w:p>
      <w:pPr>
        <w:pStyle w:val="Compact"/>
        <w:numPr>
          <w:ilvl w:val="0"/>
          <w:numId w:val="1006"/>
        </w:numPr>
      </w:pPr>
      <w:r>
        <w:t xml:space="preserve">Focus on constructive feedback</w:t>
      </w:r>
    </w:p>
    <w:p>
      <w:pPr>
        <w:pStyle w:val="Compact"/>
        <w:numPr>
          <w:ilvl w:val="0"/>
          <w:numId w:val="1006"/>
        </w:numPr>
      </w:pPr>
      <w:r>
        <w:t xml:space="preserve">No harassment, discrimination, or personal attacks</w:t>
      </w:r>
    </w:p>
    <w:p>
      <w:pPr>
        <w:pStyle w:val="Compact"/>
        <w:numPr>
          <w:ilvl w:val="0"/>
          <w:numId w:val="1006"/>
        </w:numPr>
      </w:pPr>
      <w:r>
        <w:t xml:space="preserve">Disagree on ideas, not people</w:t>
      </w:r>
    </w:p>
    <w:bookmarkEnd w:id="26"/>
    <w:bookmarkStart w:id="27" w:name="X427dcdf86f4dfe3c37db488834dfd0a07ab35c0"/>
    <w:p>
      <w:pPr>
        <w:pStyle w:val="Heading3"/>
      </w:pPr>
      <w:r>
        <w:t xml:space="preserve">5.2 Contribution Guidelines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 contributions</w:t>
      </w:r>
      <w:r>
        <w:t xml:space="preserve"> </w:t>
      </w:r>
      <w:r>
        <w:t xml:space="preserve">— PR to relevant repo, follow coding standards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Spec contributions</w:t>
      </w:r>
      <w:r>
        <w:t xml:space="preserve"> </w:t>
      </w:r>
      <w:r>
        <w:t xml:space="preserve">— AEP process for changes, PR for typos/clarifications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— PR to docs repo, reviewed by WG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Bug reports</w:t>
      </w:r>
      <w:r>
        <w:t xml:space="preserve"> </w:t>
      </w:r>
      <w:r>
        <w:t xml:space="preserve">— GitHub Issues with reproduction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Feature requests</w:t>
      </w:r>
      <w:r>
        <w:t xml:space="preserve"> </w:t>
      </w:r>
      <w:r>
        <w:t xml:space="preserve">— GitHub Discussions or AEP</w:t>
      </w:r>
    </w:p>
    <w:bookmarkEnd w:id="27"/>
    <w:bookmarkStart w:id="28" w:name="X21e831631a6bdb633147392b55105a469f16c2b"/>
    <w:p>
      <w:pPr>
        <w:pStyle w:val="Heading3"/>
      </w:pPr>
      <w:r>
        <w:t xml:space="preserve">5.3 Recognition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Contribution Level</w:t>
            </w:r>
          </w:p>
        </w:tc>
        <w:tc>
          <w:tcPr/>
          <w:p>
            <w:pPr>
              <w:pStyle w:val="Compact"/>
            </w:pPr>
            <w:r>
              <w:t xml:space="preserve">Recognition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PR merged</w:t>
            </w:r>
          </w:p>
        </w:tc>
        <w:tc>
          <w:tcPr/>
          <w:p>
            <w:pPr>
              <w:pStyle w:val="Compact"/>
            </w:pPr>
            <w:r>
              <w:t xml:space="preserve">Listed in CONTRIBUTORS.md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10+ meaningful contributions</w:t>
            </w:r>
          </w:p>
        </w:tc>
        <w:tc>
          <w:tcPr/>
          <w:p>
            <w:pPr>
              <w:pStyle w:val="Compact"/>
            </w:pPr>
            <w:r>
              <w:t xml:space="preserve">"Core Contributor"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WG membership</w:t>
            </w:r>
          </w:p>
        </w:tc>
        <w:tc>
          <w:tcPr/>
          <w:p>
            <w:pPr>
              <w:pStyle w:val="Compact"/>
            </w:pPr>
            <w:r>
              <w:t xml:space="preserve">Listed on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Listed on website + governance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feature/AEP accepted</w:t>
            </w:r>
          </w:p>
        </w:tc>
        <w:tc>
          <w:tcPr/>
          <w:p>
            <w:pPr>
              <w:pStyle w:val="Compact"/>
            </w:pPr>
            <w:r>
              <w:t xml:space="preserve">Acknowledged in release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X11c5ab241d9786829dbe1f1364c18082c15b72a"/>
    <w:p>
      <w:pPr>
        <w:pStyle w:val="Heading2"/>
      </w:pPr>
      <w:r>
        <w:t xml:space="preserve">6. Intellectual Property</w:t>
      </w:r>
    </w:p>
    <w:bookmarkStart w:id="30" w:name="Xc4d67af7a376b52d62ab6e91242c7b61df3efb7"/>
    <w:p>
      <w:pPr>
        <w:pStyle w:val="Heading3"/>
      </w:pPr>
      <w:r>
        <w:t xml:space="preserve">6.1 License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 specification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Maximum adoption, attribution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implementations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Permissive, patent 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SDKs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Permissive, patent 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Website/docs</w:t>
            </w:r>
          </w:p>
        </w:tc>
        <w:tc>
          <w:tcPr/>
          <w:p>
            <w:pPr>
              <w:pStyle w:val="Compact"/>
            </w:pPr>
            <w:r>
              <w:t xml:space="preserve">CC BY 4.0</w:t>
            </w:r>
          </w:p>
        </w:tc>
        <w:tc>
          <w:tcPr/>
          <w:p>
            <w:pPr>
              <w:pStyle w:val="Compact"/>
            </w:pPr>
            <w:r>
              <w:t xml:space="preserve">Open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Brand/logo</w:t>
            </w:r>
          </w:p>
        </w:tc>
        <w:tc>
          <w:tcPr/>
          <w:p>
            <w:pPr>
              <w:pStyle w:val="Compact"/>
            </w:pPr>
            <w:r>
              <w:t xml:space="preserve">Trademark</w:t>
            </w:r>
          </w:p>
        </w:tc>
        <w:tc>
          <w:tcPr/>
          <w:p>
            <w:pPr>
              <w:pStyle w:val="Compact"/>
            </w:pPr>
            <w:r>
              <w:t xml:space="preserve">Protect protocol identity</w:t>
            </w:r>
          </w:p>
        </w:tc>
      </w:tr>
    </w:tbl>
    <w:bookmarkEnd w:id="30"/>
    <w:bookmarkStart w:id="31" w:name="X33b510b4a1b0b999afbba0ecd6f0df3103c88a1"/>
    <w:p>
      <w:pPr>
        <w:pStyle w:val="Heading3"/>
      </w:pPr>
      <w:r>
        <w:t xml:space="preserve">6.2 Patent Policy</w:t>
      </w:r>
    </w:p>
    <w:p>
      <w:pPr>
        <w:pStyle w:val="Compact"/>
        <w:numPr>
          <w:ilvl w:val="0"/>
          <w:numId w:val="1008"/>
        </w:numPr>
      </w:pPr>
      <w:r>
        <w:t xml:space="preserve">All contributors grant royalty-free patent license for AVP implementations</w:t>
      </w:r>
    </w:p>
    <w:p>
      <w:pPr>
        <w:pStyle w:val="Compact"/>
        <w:numPr>
          <w:ilvl w:val="0"/>
          <w:numId w:val="1008"/>
        </w:numPr>
      </w:pPr>
      <w:r>
        <w:t xml:space="preserve">No contributor may assert patents against AVP implementations</w:t>
      </w:r>
    </w:p>
    <w:p>
      <w:pPr>
        <w:pStyle w:val="Compact"/>
        <w:numPr>
          <w:ilvl w:val="0"/>
          <w:numId w:val="1008"/>
        </w:numPr>
      </w:pPr>
      <w:r>
        <w:t xml:space="preserve">RAND-Z (Reasonable and Non-Discriminatory, Zero-royalty) commitment</w:t>
      </w:r>
    </w:p>
    <w:bookmarkEnd w:id="31"/>
    <w:bookmarkStart w:id="32" w:name="X4c5103a669655fd2b7f22a98efd111425ab07db"/>
    <w:p>
      <w:pPr>
        <w:pStyle w:val="Heading3"/>
      </w:pPr>
      <w:r>
        <w:t xml:space="preserve">6.3 Trademark Policy</w:t>
      </w:r>
    </w:p>
    <w:p>
      <w:pPr>
        <w:pStyle w:val="Compact"/>
        <w:numPr>
          <w:ilvl w:val="0"/>
          <w:numId w:val="1009"/>
        </w:numPr>
      </w:pPr>
      <w:r>
        <w:t xml:space="preserve">"AVP" and "AI Vendor Protocol" are trademarks of AVP Foundation (once established)</w:t>
      </w:r>
    </w:p>
    <w:p>
      <w:pPr>
        <w:pStyle w:val="Compact"/>
        <w:numPr>
          <w:ilvl w:val="0"/>
          <w:numId w:val="1009"/>
        </w:numPr>
      </w:pPr>
      <w:r>
        <w:t xml:space="preserve">Use permitted for:</w:t>
      </w:r>
    </w:p>
    <w:p>
      <w:pPr>
        <w:pStyle w:val="Compact"/>
        <w:numPr>
          <w:ilvl w:val="1"/>
          <w:numId w:val="1010"/>
        </w:numPr>
      </w:pPr>
      <w:r>
        <w:t xml:space="preserve">Referring to the protocol ("implements AVP")</w:t>
      </w:r>
    </w:p>
    <w:p>
      <w:pPr>
        <w:pStyle w:val="Compact"/>
        <w:numPr>
          <w:ilvl w:val="1"/>
          <w:numId w:val="1010"/>
        </w:numPr>
      </w:pPr>
      <w:r>
        <w:t xml:space="preserve">Compatibility claims ("AVP-compatible")</w:t>
      </w:r>
    </w:p>
    <w:p>
      <w:pPr>
        <w:pStyle w:val="Compact"/>
        <w:numPr>
          <w:ilvl w:val="0"/>
          <w:numId w:val="1009"/>
        </w:numPr>
      </w:pPr>
      <w:r>
        <w:t xml:space="preserve">Use requires permission for:</w:t>
      </w:r>
    </w:p>
    <w:p>
      <w:pPr>
        <w:pStyle w:val="Compact"/>
        <w:numPr>
          <w:ilvl w:val="1"/>
          <w:numId w:val="1011"/>
        </w:numPr>
      </w:pPr>
      <w:r>
        <w:t xml:space="preserve">Implying endorsement</w:t>
      </w:r>
    </w:p>
    <w:p>
      <w:pPr>
        <w:pStyle w:val="Compact"/>
        <w:numPr>
          <w:ilvl w:val="1"/>
          <w:numId w:val="1011"/>
        </w:numPr>
      </w:pPr>
      <w:r>
        <w:t xml:space="preserve">Modified protocol versions</w:t>
      </w:r>
    </w:p>
    <w:p>
      <w:pPr>
        <w:pStyle w:val="Compact"/>
        <w:numPr>
          <w:ilvl w:val="1"/>
          <w:numId w:val="1011"/>
        </w:numPr>
      </w:pPr>
      <w:r>
        <w:t xml:space="preserve">Commercial products using AVP branding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X6c799b58a722419ea6fe4696febc3e598cc354b"/>
    <w:p>
      <w:pPr>
        <w:pStyle w:val="Heading2"/>
      </w:pPr>
      <w:r>
        <w:t xml:space="preserve">7. Conflict Resolution</w:t>
      </w:r>
    </w:p>
    <w:bookmarkStart w:id="34" w:name="X9a45ef5ec64f808898fdd022c0c73cca4e874bb"/>
    <w:p>
      <w:pPr>
        <w:pStyle w:val="Heading3"/>
      </w:pPr>
      <w:r>
        <w:t xml:space="preserve">7.1 Technical Disagreements</w:t>
      </w:r>
    </w:p>
    <w:p>
      <w:pPr>
        <w:pStyle w:val="SourceCode"/>
      </w:pPr>
      <w:r>
        <w:rPr>
          <w:rStyle w:val="VerbatimChar"/>
        </w:rPr>
        <w:t xml:space="preserve">Step 1: Discussion in PR/Issue (public)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2: Working Group mediation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3: Steering Committee decision (binding)</w:t>
      </w:r>
    </w:p>
    <w:bookmarkEnd w:id="34"/>
    <w:bookmarkStart w:id="35" w:name="X275d5dd1b9cbc978cc78acb05720ce6e2346fea"/>
    <w:p>
      <w:pPr>
        <w:pStyle w:val="Heading3"/>
      </w:pPr>
      <w:r>
        <w:t xml:space="preserve">7.2 Community Conflicts</w:t>
      </w:r>
    </w:p>
    <w:p>
      <w:pPr>
        <w:pStyle w:val="SourceCode"/>
      </w:pPr>
      <w:r>
        <w:rPr>
          <w:rStyle w:val="VerbatimChar"/>
        </w:rPr>
        <w:t xml:space="preserve">Step 1: Private discussion with Code of Conduct team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2: Mediation by neutral community member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3: Steering Committee decision</w:t>
      </w:r>
      <w:r>
        <w:br/>
      </w:r>
      <w:r>
        <w:rPr>
          <w:rStyle w:val="VerbatimChar"/>
        </w:rPr>
        <w:t xml:space="preserve">    │   Possible outcomes: warning, temporary ban, permanent ban</w:t>
      </w:r>
    </w:p>
    <w:bookmarkEnd w:id="35"/>
    <w:bookmarkStart w:id="36" w:name="X8f7cfd05cc5b23ce41997f964bbf9924751c881"/>
    <w:p>
      <w:pPr>
        <w:pStyle w:val="Heading3"/>
      </w:pPr>
      <w:r>
        <w:t xml:space="preserve">7.3 Corporate Disputes</w:t>
      </w:r>
    </w:p>
    <w:p>
      <w:pPr>
        <w:pStyle w:val="SourceCode"/>
      </w:pPr>
      <w:r>
        <w:rPr>
          <w:rStyle w:val="VerbatimChar"/>
        </w:rPr>
        <w:t xml:space="preserve">Step 1: Contact Steering Committee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2: Mediation by independent party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Step 3: Binding arbitration (if foundation established)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Governance Document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s://www.contributor-covenan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www.contributor-covenan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AVP - GOVERNANCE</dc:title>
  <dc:creator/>
  <cp:keywords/>
  <dcterms:created xsi:type="dcterms:W3CDTF">2026-03-17T19:30:10Z</dcterms:created>
  <dcterms:modified xsi:type="dcterms:W3CDTF">2026-03-17T19:30:10Z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