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STANDARDIZATION-ROADMAP</w:t>
      </w:r>
    </w:p>
    <w:bookmarkStart w:id="44" w:name="avp-standardization-roadmap"/>
    <w:p>
      <w:pPr>
        <w:pStyle w:val="Heading1"/>
      </w:pPr>
      <w:r>
        <w:t xml:space="preserve">AVP Standardization Roadmap</w:t>
      </w:r>
    </w:p>
    <w:p>
      <w:pPr>
        <w:pStyle w:val="FirstParagraph"/>
      </w:pPr>
      <w:r>
        <w:rPr>
          <w:b/>
          <w:bCs/>
        </w:rPr>
        <w:t xml:space="preserve">Path from Open-Source Protocol to Internet Standard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a649032aa494ba4e597f73c6422bf278dfd63f">
        <w:r>
          <w:rPr>
            <w:rStyle w:val="Hyperlink"/>
          </w:rPr>
          <w:t xml:space="preserve">Vision</w:t>
        </w:r>
      </w:hyperlink>
    </w:p>
    <w:p>
      <w:pPr>
        <w:pStyle w:val="Compact"/>
        <w:numPr>
          <w:ilvl w:val="0"/>
          <w:numId w:val="1001"/>
        </w:numPr>
      </w:pPr>
      <w:hyperlink w:anchor="X1704feea43905f0a22b511207d36215280af72c">
        <w:r>
          <w:rPr>
            <w:rStyle w:val="Hyperlink"/>
          </w:rPr>
          <w:t xml:space="preserve">Standardization Strategy</w:t>
        </w:r>
      </w:hyperlink>
    </w:p>
    <w:p>
      <w:pPr>
        <w:pStyle w:val="Compact"/>
        <w:numPr>
          <w:ilvl w:val="0"/>
          <w:numId w:val="1001"/>
        </w:numPr>
      </w:pPr>
      <w:hyperlink w:anchor="Xac4e6885738ada3901a2b693463617a66f040cb">
        <w:r>
          <w:rPr>
            <w:rStyle w:val="Hyperlink"/>
          </w:rPr>
          <w:t xml:space="preserve">Phase 1: Community Standard</w:t>
        </w:r>
      </w:hyperlink>
    </w:p>
    <w:p>
      <w:pPr>
        <w:pStyle w:val="Compact"/>
        <w:numPr>
          <w:ilvl w:val="0"/>
          <w:numId w:val="1001"/>
        </w:numPr>
      </w:pPr>
      <w:hyperlink w:anchor="Xa5b13769d85d8bcea25764514f132c262b54a2f">
        <w:r>
          <w:rPr>
            <w:rStyle w:val="Hyperlink"/>
          </w:rPr>
          <w:t xml:space="preserve">Phase 2: Industry Adoption</w:t>
        </w:r>
      </w:hyperlink>
    </w:p>
    <w:p>
      <w:pPr>
        <w:pStyle w:val="Compact"/>
        <w:numPr>
          <w:ilvl w:val="0"/>
          <w:numId w:val="1001"/>
        </w:numPr>
      </w:pPr>
      <w:hyperlink w:anchor="Xc3b8340429f65c98fc88d60a113312dd678c2e8">
        <w:r>
          <w:rPr>
            <w:rStyle w:val="Hyperlink"/>
          </w:rPr>
          <w:t xml:space="preserve">Phase 3: De Facto Standard</w:t>
        </w:r>
      </w:hyperlink>
    </w:p>
    <w:p>
      <w:pPr>
        <w:pStyle w:val="Compact"/>
        <w:numPr>
          <w:ilvl w:val="0"/>
          <w:numId w:val="1001"/>
        </w:numPr>
      </w:pPr>
      <w:hyperlink w:anchor="X2da306df783b65bae54dac7b1e9b92f050e44c5">
        <w:r>
          <w:rPr>
            <w:rStyle w:val="Hyperlink"/>
          </w:rPr>
          <w:t xml:space="preserve">Phase 4: Formal Standard</w:t>
        </w:r>
      </w:hyperlink>
    </w:p>
    <w:p>
      <w:pPr>
        <w:pStyle w:val="Compact"/>
        <w:numPr>
          <w:ilvl w:val="0"/>
          <w:numId w:val="1001"/>
        </w:numPr>
      </w:pPr>
      <w:hyperlink w:anchor="X31159c4e1ca017c80f0aeb615f829f753d3a7d7">
        <w:r>
          <w:rPr>
            <w:rStyle w:val="Hyperlink"/>
          </w:rPr>
          <w:t xml:space="preserve">Governance for Standardization</w:t>
        </w:r>
      </w:hyperlink>
    </w:p>
    <w:p>
      <w:pPr>
        <w:pStyle w:val="Compact"/>
        <w:numPr>
          <w:ilvl w:val="0"/>
          <w:numId w:val="1001"/>
        </w:numPr>
      </w:pPr>
      <w:hyperlink w:anchor="X8b631eacd727387095fb3769e89b19538c31423">
        <w:r>
          <w:rPr>
            <w:rStyle w:val="Hyperlink"/>
          </w:rPr>
          <w:t xml:space="preserve">Comparison with Existing Standards</w:t>
        </w:r>
      </w:hyperlink>
    </w:p>
    <w:p>
      <w:pPr>
        <w:pStyle w:val="Compact"/>
        <w:numPr>
          <w:ilvl w:val="0"/>
          <w:numId w:val="1001"/>
        </w:numPr>
      </w:pPr>
      <w:hyperlink w:anchor="X38d5424a5326972b107ce593710d0c32d0453d7">
        <w:r>
          <w:rPr>
            <w:rStyle w:val="Hyperlink"/>
          </w:rPr>
          <w:t xml:space="preserve">Adoption Incentive Framework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0a649032aa494ba4e597f73c6422bf278dfd63f"/>
    <w:p>
      <w:pPr>
        <w:pStyle w:val="Heading2"/>
      </w:pPr>
      <w:r>
        <w:t xml:space="preserve">1. Vision</w:t>
      </w:r>
    </w:p>
    <w:p>
      <w:pPr>
        <w:pStyle w:val="FirstParagraph"/>
      </w:pPr>
      <w:r>
        <w:t xml:space="preserve">AVP aims to become the universal standard for AI agent business communication, similar to how: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Analogy</w:t>
            </w:r>
          </w:p>
        </w:tc>
        <w:tc>
          <w:tcPr/>
          <w:p>
            <w:pPr>
              <w:pStyle w:val="Compact"/>
            </w:pPr>
            <w:r>
              <w:t xml:space="preserve">What It Standardized</w:t>
            </w:r>
          </w:p>
        </w:tc>
        <w:tc>
          <w:tcPr/>
          <w:p>
            <w:pPr>
              <w:pStyle w:val="Compact"/>
            </w:pPr>
            <w:r>
              <w:t xml:space="preserve">AVP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Web page transfer</w:t>
            </w:r>
          </w:p>
        </w:tc>
        <w:tc>
          <w:tcPr/>
          <w:p>
            <w:pPr>
              <w:pStyle w:val="Compact"/>
            </w:pPr>
            <w:r>
              <w:t xml:space="preserve">AI agent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Agent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t xml:space="preserve">Crawler permissions</w:t>
            </w:r>
          </w:p>
        </w:tc>
        <w:tc>
          <w:tcPr/>
          <w:p>
            <w:pPr>
              <w:pStyle w:val="Compact"/>
            </w:pPr>
            <w:r>
              <w:t xml:space="preserve">Agent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Agent capability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Domain name resolution</w:t>
            </w:r>
          </w:p>
        </w:tc>
        <w:tc>
          <w:tcPr/>
          <w:p>
            <w:pPr>
              <w:pStyle w:val="Compact"/>
            </w:pPr>
            <w:r>
              <w:t xml:space="preserve">Agent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Email exchange</w:t>
            </w:r>
          </w:p>
        </w:tc>
        <w:tc>
          <w:tcPr/>
          <w:p>
            <w:pPr>
              <w:pStyle w:val="Compact"/>
            </w:pPr>
            <w:r>
              <w:t xml:space="preserve">Proposal exchange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state:</w:t>
      </w:r>
      <w:r>
        <w:t xml:space="preserve"> </w:t>
      </w:r>
      <w:r>
        <w:t xml:space="preserve">Every business website has</w:t>
      </w:r>
      <w:r>
        <w:t xml:space="preserve"> </w:t>
      </w:r>
      <w:r>
        <w:rPr>
          <w:rStyle w:val="VerbatimChar"/>
        </w:rPr>
        <w:t xml:space="preserve">/.well-known/avp.json</w:t>
      </w:r>
      <w:r>
        <w:t xml:space="preserve"> </w:t>
      </w:r>
      <w:r>
        <w:t xml:space="preserve">— just like every website has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1704feea43905f0a22b511207d36215280af72c"/>
    <w:p>
      <w:pPr>
        <w:pStyle w:val="Heading2"/>
      </w:pPr>
      <w:r>
        <w:t xml:space="preserve">2. Standardization Strategy</w:t>
      </w:r>
    </w:p>
    <w:bookmarkStart w:id="11" w:name="Xa881108bb23d97d3fbf1b14d4e3b2062576c281"/>
    <w:p>
      <w:pPr>
        <w:pStyle w:val="Heading3"/>
      </w:pPr>
      <w:r>
        <w:t xml:space="preserve">2.1 The Path</w:t>
      </w:r>
    </w:p>
    <w:p>
      <w:pPr>
        <w:pStyle w:val="SourceCode"/>
      </w:pPr>
      <w:r>
        <w:rPr>
          <w:rStyle w:val="VerbatimChar"/>
        </w:rPr>
        <w:t xml:space="preserve">                    STANDARDIZATION PATH</w:t>
      </w:r>
      <w:r>
        <w:br/>
      </w:r>
      <w:r>
        <w:br/>
      </w:r>
      <w:r>
        <w:rPr>
          <w:rStyle w:val="VerbatimChar"/>
        </w:rPr>
        <w:t xml:space="preserve">Year 1              Year 2              Year 3              Year 4+</w:t>
      </w:r>
      <w:r>
        <w:br/>
      </w:r>
      <w:r>
        <w:rPr>
          <w:rStyle w:val="VerbatimChar"/>
        </w:rPr>
        <w:t xml:space="preserve">┌───────────┐      ┌───────────┐      ┌───────────┐      ┌───────────┐</w:t>
      </w:r>
      <w:r>
        <w:br/>
      </w:r>
      <w:r>
        <w:rPr>
          <w:rStyle w:val="VerbatimChar"/>
        </w:rPr>
        <w:t xml:space="preserve">│ Community  │─────▶│ Industry  │─────▶│ De Facto  │─────▶│ Formal    │</w:t>
      </w:r>
      <w:r>
        <w:br/>
      </w:r>
      <w:r>
        <w:rPr>
          <w:rStyle w:val="VerbatimChar"/>
        </w:rPr>
        <w:t xml:space="preserve">│ Standard   │      │ Adoption  │      │ Standard  │      │ Standard  │</w:t>
      </w:r>
      <w:r>
        <w:br/>
      </w:r>
      <w:r>
        <w:rPr>
          <w:rStyle w:val="VerbatimChar"/>
        </w:rPr>
        <w:t xml:space="preserve">│            │      │           │      │           │      │           │</w:t>
      </w:r>
      <w:r>
        <w:br/>
      </w:r>
      <w:r>
        <w:rPr>
          <w:rStyle w:val="VerbatimChar"/>
        </w:rPr>
        <w:t xml:space="preserve">│ - Open spec│      │ - 1000+   │      │ - 10K+    │      │ - IETF    │</w:t>
      </w:r>
      <w:r>
        <w:br/>
      </w:r>
      <w:r>
        <w:rPr>
          <w:rStyle w:val="VerbatimChar"/>
        </w:rPr>
        <w:t xml:space="preserve">│ - GitHub   │      │   vendors │      │   vendors │      │   RFC     │</w:t>
      </w:r>
      <w:r>
        <w:br/>
      </w:r>
      <w:r>
        <w:rPr>
          <w:rStyle w:val="VerbatimChar"/>
        </w:rPr>
        <w:t xml:space="preserve">│ - 10-20    │      │ - Platform│      │ - Platform│      │ - W3C     │</w:t>
      </w:r>
      <w:r>
        <w:br/>
      </w:r>
      <w:r>
        <w:rPr>
          <w:rStyle w:val="VerbatimChar"/>
        </w:rPr>
        <w:t xml:space="preserve">│   adopters │      │   support │      │   default │      │   spec    │</w:t>
      </w:r>
      <w:r>
        <w:br/>
      </w:r>
      <w:r>
        <w:rPr>
          <w:rStyle w:val="VerbatimChar"/>
        </w:rPr>
        <w:t xml:space="preserve">│ - Feedback │      │ - SDK in  │      │ - Multiple│      │ - ISO     │</w:t>
      </w:r>
      <w:r>
        <w:br/>
      </w:r>
      <w:r>
        <w:rPr>
          <w:rStyle w:val="VerbatimChar"/>
        </w:rPr>
        <w:t xml:space="preserve">│   loop     │      │   5+ langs│      │   registrs│      │           │</w:t>
      </w:r>
      <w:r>
        <w:br/>
      </w:r>
      <w:r>
        <w:rPr>
          <w:rStyle w:val="VerbatimChar"/>
        </w:rPr>
        <w:t xml:space="preserve">└───────────┘      └───────────┘      └───────────┘      └───────────┘</w:t>
      </w:r>
    </w:p>
    <w:bookmarkEnd w:id="11"/>
    <w:bookmarkStart w:id="12" w:name="X63c244860eb63f11d5ef76eb1bda31f79ca18a5"/>
    <w:p>
      <w:pPr>
        <w:pStyle w:val="Heading3"/>
      </w:pPr>
      <w:r>
        <w:t xml:space="preserve">2.2 Why This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first</w:t>
      </w:r>
      <w:r>
        <w:t xml:space="preserve"> </w:t>
      </w:r>
      <w:r>
        <w:t xml:space="preserve">— Prove the protocol works with real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Adoption second</w:t>
      </w:r>
      <w:r>
        <w:t xml:space="preserve"> </w:t>
      </w:r>
      <w:r>
        <w:t xml:space="preserve">— Get critical mass before formalizing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Formalization last</w:t>
      </w:r>
      <w:r>
        <w:t xml:space="preserve"> </w:t>
      </w:r>
      <w:r>
        <w:t xml:space="preserve">— Standards bodies respect existing adoption</w:t>
      </w:r>
    </w:p>
    <w:p>
      <w:pPr>
        <w:pStyle w:val="FirstParagraph"/>
      </w:pPr>
      <w:r>
        <w:t xml:space="preserve">This is how HTTP, JSON, OAuth, and WebSocket all became standards.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c61fe4c83369a46ce01fdcd3c157f43a80f42a6"/>
    <w:p>
      <w:pPr>
        <w:pStyle w:val="Heading2"/>
      </w:pPr>
      <w:r>
        <w:t xml:space="preserve">3. Phase 1: Community Standard (Year 1)</w:t>
      </w:r>
    </w:p>
    <w:bookmarkStart w:id="14" w:name="X4dba2bb027d8b18a6d68cb2f96e90a5b13fc703"/>
    <w:p>
      <w:pPr>
        <w:pStyle w:val="Heading3"/>
      </w:pPr>
      <w:r>
        <w:t xml:space="preserve">3.1 Goals</w:t>
      </w:r>
    </w:p>
    <w:p>
      <w:pPr>
        <w:pStyle w:val="Compact"/>
        <w:numPr>
          <w:ilvl w:val="0"/>
          <w:numId w:val="1003"/>
        </w:numPr>
      </w:pPr>
      <w:r>
        <w:t xml:space="preserve">Publish protocol spec as open document</w:t>
      </w:r>
    </w:p>
    <w:p>
      <w:pPr>
        <w:pStyle w:val="Compact"/>
        <w:numPr>
          <w:ilvl w:val="0"/>
          <w:numId w:val="1003"/>
        </w:numPr>
      </w:pPr>
      <w:r>
        <w:t xml:space="preserve">Build reference implementations</w:t>
      </w:r>
    </w:p>
    <w:p>
      <w:pPr>
        <w:pStyle w:val="Compact"/>
        <w:numPr>
          <w:ilvl w:val="0"/>
          <w:numId w:val="1003"/>
        </w:numPr>
      </w:pPr>
      <w:r>
        <w:t xml:space="preserve">Get 10-20 real-world adopters</w:t>
      </w:r>
    </w:p>
    <w:p>
      <w:pPr>
        <w:pStyle w:val="Compact"/>
        <w:numPr>
          <w:ilvl w:val="0"/>
          <w:numId w:val="1003"/>
        </w:numPr>
      </w:pPr>
      <w:r>
        <w:t xml:space="preserve">Iterate based on feedback</w:t>
      </w:r>
    </w:p>
    <w:p>
      <w:pPr>
        <w:pStyle w:val="Compact"/>
        <w:numPr>
          <w:ilvl w:val="0"/>
          <w:numId w:val="1003"/>
        </w:numPr>
      </w:pPr>
      <w:r>
        <w:t xml:space="preserve">Establish community governance</w:t>
      </w:r>
    </w:p>
    <w:bookmarkEnd w:id="14"/>
    <w:bookmarkStart w:id="15" w:name="Xbddff27be4a1837a8a64aa04f989f775bdde2ed"/>
    <w:p>
      <w:pPr>
        <w:pStyle w:val="Heading3"/>
      </w:pPr>
      <w:r>
        <w:t xml:space="preserve">3.2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spec on GitHub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CC BY 4.0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RFC-style process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AVP Enhancement Proposals (AEPs)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community forum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GitHub Discussions + Discord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AEP cycle</w:t>
            </w:r>
          </w:p>
        </w:tc>
        <w:tc>
          <w:tcPr/>
          <w:p>
            <w:pPr>
              <w:pStyle w:val="Compact"/>
            </w:pPr>
            <w:r>
              <w:t xml:space="preserve">Month 3-4</w:t>
            </w:r>
          </w:p>
        </w:tc>
        <w:tc>
          <w:tcPr/>
          <w:p>
            <w:pPr>
              <w:pStyle w:val="Compact"/>
            </w:pPr>
            <w:r>
              <w:t xml:space="preserve">Community proposes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v1.0 stable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Based on alpha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v1.1</w:t>
            </w:r>
          </w:p>
        </w:tc>
        <w:tc>
          <w:tcPr/>
          <w:p>
            <w:pPr>
              <w:pStyle w:val="Compact"/>
            </w:pPr>
            <w:r>
              <w:t xml:space="preserve">Month 9</w:t>
            </w:r>
          </w:p>
        </w:tc>
        <w:tc>
          <w:tcPr/>
          <w:p>
            <w:pPr>
              <w:pStyle w:val="Compact"/>
            </w:pPr>
            <w:r>
              <w:t xml:space="preserve">Based on beta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v1.2</w:t>
            </w:r>
          </w:p>
        </w:tc>
        <w:tc>
          <w:tcPr/>
          <w:p>
            <w:pPr>
              <w:pStyle w:val="Compact"/>
            </w:pPr>
            <w:r>
              <w:t xml:space="preserve">Month 12</w:t>
            </w:r>
          </w:p>
        </w:tc>
        <w:tc>
          <w:tcPr/>
          <w:p>
            <w:pPr>
              <w:pStyle w:val="Compact"/>
            </w:pPr>
            <w:r>
              <w:t xml:space="preserve">Based on public launch feedback</w:t>
            </w:r>
          </w:p>
        </w:tc>
      </w:tr>
    </w:tbl>
    <w:bookmarkEnd w:id="15"/>
    <w:bookmarkStart w:id="16" w:name="Xe8de6abe6a4ca89f4a8f082527df65237e95cd7"/>
    <w:p>
      <w:pPr>
        <w:pStyle w:val="Heading3"/>
      </w:pPr>
      <w:r>
        <w:t xml:space="preserve">3.3 AVP Enhancement Proposals (AEPs)</w:t>
      </w:r>
    </w:p>
    <w:p>
      <w:pPr>
        <w:pStyle w:val="SourceCode"/>
      </w:pPr>
      <w:r>
        <w:rPr>
          <w:rStyle w:val="VerbatimChar"/>
        </w:rPr>
        <w:t xml:space="preserve">AEP Process:</w:t>
      </w:r>
      <w:r>
        <w:br/>
      </w:r>
      <w:r>
        <w:br/>
      </w:r>
      <w:r>
        <w:rPr>
          <w:rStyle w:val="VerbatimChar"/>
        </w:rPr>
        <w:t xml:space="preserve">1. Author writes AEP (markdown document)</w:t>
      </w:r>
      <w:r>
        <w:br/>
      </w:r>
      <w:r>
        <w:rPr>
          <w:rStyle w:val="VerbatimChar"/>
        </w:rPr>
        <w:t xml:space="preserve">   ├── Problem statement</w:t>
      </w:r>
      <w:r>
        <w:br/>
      </w:r>
      <w:r>
        <w:rPr>
          <w:rStyle w:val="VerbatimChar"/>
        </w:rPr>
        <w:t xml:space="preserve">   ├── Proposed solution</w:t>
      </w:r>
      <w:r>
        <w:br/>
      </w:r>
      <w:r>
        <w:rPr>
          <w:rStyle w:val="VerbatimChar"/>
        </w:rPr>
        <w:t xml:space="preserve">   ├── Backward compatibility analysis</w:t>
      </w:r>
      <w:r>
        <w:br/>
      </w:r>
      <w:r>
        <w:rPr>
          <w:rStyle w:val="VerbatimChar"/>
        </w:rPr>
        <w:t xml:space="preserve">   └── Reference implementation (optional)</w:t>
      </w:r>
      <w:r>
        <w:br/>
      </w:r>
      <w:r>
        <w:br/>
      </w:r>
      <w:r>
        <w:rPr>
          <w:rStyle w:val="VerbatimChar"/>
        </w:rPr>
        <w:t xml:space="preserve">2. Community review (14 days minimum)</w:t>
      </w:r>
      <w:r>
        <w:br/>
      </w:r>
      <w:r>
        <w:rPr>
          <w:rStyle w:val="VerbatimChar"/>
        </w:rPr>
        <w:t xml:space="preserve">   ├── GitHub PR discussion</w:t>
      </w:r>
      <w:r>
        <w:br/>
      </w:r>
      <w:r>
        <w:rPr>
          <w:rStyle w:val="VerbatimChar"/>
        </w:rPr>
        <w:t xml:space="preserve">   ├── Discord/forum debate</w:t>
      </w:r>
      <w:r>
        <w:br/>
      </w:r>
      <w:r>
        <w:rPr>
          <w:rStyle w:val="VerbatimChar"/>
        </w:rPr>
        <w:t xml:space="preserve">   └── Implementer feedback</w:t>
      </w:r>
      <w:r>
        <w:br/>
      </w:r>
      <w:r>
        <w:br/>
      </w:r>
      <w:r>
        <w:rPr>
          <w:rStyle w:val="VerbatimChar"/>
        </w:rPr>
        <w:t xml:space="preserve">3. Working Group vote</w:t>
      </w:r>
      <w:r>
        <w:br/>
      </w:r>
      <w:r>
        <w:rPr>
          <w:rStyle w:val="VerbatimChar"/>
        </w:rPr>
        <w:t xml:space="preserve">   ├── Requires 2/3 majority</w:t>
      </w:r>
      <w:r>
        <w:br/>
      </w:r>
      <w:r>
        <w:rPr>
          <w:rStyle w:val="VerbatimChar"/>
        </w:rPr>
        <w:t xml:space="preserve">   └── At least 3 implementations must agree</w:t>
      </w:r>
      <w:r>
        <w:br/>
      </w:r>
      <w:r>
        <w:br/>
      </w:r>
      <w:r>
        <w:rPr>
          <w:rStyle w:val="VerbatimChar"/>
        </w:rPr>
        <w:t xml:space="preserve">4. If accepted:</w:t>
      </w:r>
      <w:r>
        <w:br/>
      </w:r>
      <w:r>
        <w:rPr>
          <w:rStyle w:val="VerbatimChar"/>
        </w:rPr>
        <w:t xml:space="preserve">   ├── Merged into spec</w:t>
      </w:r>
      <w:r>
        <w:br/>
      </w:r>
      <w:r>
        <w:rPr>
          <w:rStyle w:val="VerbatimChar"/>
        </w:rPr>
        <w:t xml:space="preserve">   ├── Reference implementation updated</w:t>
      </w:r>
      <w:r>
        <w:br/>
      </w:r>
      <w:r>
        <w:rPr>
          <w:rStyle w:val="VerbatimChar"/>
        </w:rPr>
        <w:t xml:space="preserve">   └── SDKs updated</w:t>
      </w:r>
      <w:r>
        <w:br/>
      </w:r>
      <w:r>
        <w:br/>
      </w:r>
      <w:r>
        <w:rPr>
          <w:rStyle w:val="VerbatimChar"/>
        </w:rPr>
        <w:t xml:space="preserve">5. If rejected:</w:t>
      </w:r>
      <w:r>
        <w:br/>
      </w:r>
      <w:r>
        <w:rPr>
          <w:rStyle w:val="VerbatimChar"/>
        </w:rPr>
        <w:t xml:space="preserve">   ├── Feedback provided</w:t>
      </w:r>
      <w:r>
        <w:br/>
      </w:r>
      <w:r>
        <w:rPr>
          <w:rStyle w:val="VerbatimChar"/>
        </w:rPr>
        <w:t xml:space="preserve">   └── Author can revise and resubmit</w:t>
      </w:r>
    </w:p>
    <w:bookmarkEnd w:id="16"/>
    <w:bookmarkStart w:id="17" w:name="X0c83f0d89ef708c19045c6de011d9db31ae47b6"/>
    <w:p>
      <w:pPr>
        <w:pStyle w:val="Heading3"/>
      </w:pPr>
      <w:r>
        <w:t xml:space="preserve">3.4 Success Criteria</w:t>
      </w:r>
    </w:p>
    <w:p>
      <w:pPr>
        <w:pStyle w:val="Compact"/>
        <w:numPr>
          <w:ilvl w:val="0"/>
          <w:numId w:val="1004"/>
        </w:numPr>
      </w:pPr>
      <w:r>
        <w:t xml:space="preserve">500+ GitHub stars</w:t>
      </w:r>
    </w:p>
    <w:p>
      <w:pPr>
        <w:pStyle w:val="Compact"/>
        <w:numPr>
          <w:ilvl w:val="0"/>
          <w:numId w:val="1005"/>
        </w:numPr>
      </w:pPr>
      <w:r>
        <w:t xml:space="preserve">20+ contributors</w:t>
      </w:r>
    </w:p>
    <w:p>
      <w:pPr>
        <w:pStyle w:val="Compact"/>
        <w:numPr>
          <w:ilvl w:val="0"/>
          <w:numId w:val="1006"/>
        </w:numPr>
      </w:pPr>
      <w:r>
        <w:t xml:space="preserve">10+ AEPs submitted</w:t>
      </w:r>
    </w:p>
    <w:p>
      <w:pPr>
        <w:pStyle w:val="Compact"/>
        <w:numPr>
          <w:ilvl w:val="0"/>
          <w:numId w:val="1007"/>
        </w:numPr>
      </w:pPr>
      <w:r>
        <w:t xml:space="preserve">3+ independent implementations</w:t>
      </w:r>
    </w:p>
    <w:p>
      <w:pPr>
        <w:pStyle w:val="Compact"/>
        <w:numPr>
          <w:ilvl w:val="0"/>
          <w:numId w:val="1008"/>
        </w:numPr>
      </w:pPr>
      <w:r>
        <w:t xml:space="preserve">Active Discord community (100+ members)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76ef678da2e415119106756441e3af8ddb0c1b3"/>
    <w:p>
      <w:pPr>
        <w:pStyle w:val="Heading2"/>
      </w:pPr>
      <w:r>
        <w:t xml:space="preserve">4. Phase 2: Industry Adoption (Year 2)</w:t>
      </w:r>
    </w:p>
    <w:bookmarkStart w:id="19" w:name="X5e0e5018eb506a2fa39ae29872f15942385814d"/>
    <w:p>
      <w:pPr>
        <w:pStyle w:val="Heading3"/>
      </w:pPr>
      <w:r>
        <w:t xml:space="preserve">4.1 Goals</w:t>
      </w:r>
    </w:p>
    <w:p>
      <w:pPr>
        <w:pStyle w:val="Compact"/>
        <w:numPr>
          <w:ilvl w:val="0"/>
          <w:numId w:val="1009"/>
        </w:numPr>
      </w:pPr>
      <w:r>
        <w:t xml:space="preserve">1,000+ vendors using AVP</w:t>
      </w:r>
    </w:p>
    <w:p>
      <w:pPr>
        <w:pStyle w:val="Compact"/>
        <w:numPr>
          <w:ilvl w:val="0"/>
          <w:numId w:val="1009"/>
        </w:numPr>
      </w:pPr>
      <w:r>
        <w:t xml:space="preserve">Platform integrations (Clutch, WordPress, etc.)</w:t>
      </w:r>
    </w:p>
    <w:p>
      <w:pPr>
        <w:pStyle w:val="Compact"/>
        <w:numPr>
          <w:ilvl w:val="0"/>
          <w:numId w:val="1009"/>
        </w:numPr>
      </w:pPr>
      <w:r>
        <w:t xml:space="preserve">SDKs in 5+ languages</w:t>
      </w:r>
    </w:p>
    <w:p>
      <w:pPr>
        <w:pStyle w:val="Compact"/>
        <w:numPr>
          <w:ilvl w:val="0"/>
          <w:numId w:val="1009"/>
        </w:numPr>
      </w:pPr>
      <w:r>
        <w:t xml:space="preserve">Industry recognition</w:t>
      </w:r>
    </w:p>
    <w:bookmarkEnd w:id="19"/>
    <w:bookmarkStart w:id="20" w:name="X7d9c7fea19d545d1073aecd9548a90a2b5dda92"/>
    <w:p>
      <w:pPr>
        <w:pStyle w:val="Heading3"/>
      </w:pPr>
      <w:r>
        <w:t xml:space="preserve">4.2 Platform Partnership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</w:t>
            </w:r>
          </w:p>
        </w:tc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40% of web runs WordPress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Clutch</w:t>
            </w:r>
          </w:p>
        </w:tc>
        <w:tc>
          <w:tcPr/>
          <w:p>
            <w:pPr>
              <w:pStyle w:val="Compact"/>
            </w:pPr>
            <w:r>
              <w:t xml:space="preserve">API bridge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Largest vendor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GoodFirms</w:t>
            </w:r>
          </w:p>
        </w:tc>
        <w:tc>
          <w:tcPr/>
          <w:p>
            <w:pPr>
              <w:pStyle w:val="Compact"/>
            </w:pPr>
            <w:r>
              <w:t xml:space="preserve">API bridge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Second largest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Data enrichment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Professional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Shopify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E-commerce vendors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CRM for SMBs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AppExchange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Enterprise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Webflow</w:t>
            </w:r>
          </w:p>
        </w:tc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Modern website builder</w:t>
            </w:r>
          </w:p>
        </w:tc>
      </w:tr>
    </w:tbl>
    <w:bookmarkEnd w:id="20"/>
    <w:bookmarkStart w:id="21" w:name="Xdb49f14393bad70dbd66d75b352d768cf6471f3"/>
    <w:p>
      <w:pPr>
        <w:pStyle w:val="Heading3"/>
      </w:pPr>
      <w:r>
        <w:t xml:space="preserve">4.3 Developer Ecosystem</w:t>
      </w:r>
    </w:p>
    <w:p>
      <w:pPr>
        <w:pStyle w:val="SourceCode"/>
      </w:pPr>
      <w:r>
        <w:rPr>
          <w:rStyle w:val="VerbatimChar"/>
        </w:rPr>
        <w:t xml:space="preserve">SDK Priority:</w:t>
      </w:r>
      <w:r>
        <w:br/>
      </w:r>
      <w:r>
        <w:br/>
      </w:r>
      <w:r>
        <w:rPr>
          <w:rStyle w:val="VerbatimChar"/>
        </w:rPr>
        <w:t xml:space="preserve">Phase 1 (Year 1):</w:t>
      </w:r>
      <w:r>
        <w:br/>
      </w:r>
      <w:r>
        <w:rPr>
          <w:rStyle w:val="VerbatimChar"/>
        </w:rPr>
        <w:t xml:space="preserve">├── JavaScript/TypeScript (npm)</w:t>
      </w:r>
      <w:r>
        <w:br/>
      </w:r>
      <w:r>
        <w:rPr>
          <w:rStyle w:val="VerbatimChar"/>
        </w:rPr>
        <w:t xml:space="preserve">└── Python (pip)</w:t>
      </w:r>
      <w:r>
        <w:br/>
      </w:r>
      <w:r>
        <w:br/>
      </w:r>
      <w:r>
        <w:rPr>
          <w:rStyle w:val="VerbatimChar"/>
        </w:rPr>
        <w:t xml:space="preserve">Phase 2 (Year 2 Q1-Q2):</w:t>
      </w:r>
      <w:r>
        <w:br/>
      </w:r>
      <w:r>
        <w:rPr>
          <w:rStyle w:val="VerbatimChar"/>
        </w:rPr>
        <w:t xml:space="preserve">├── Go</w:t>
      </w:r>
      <w:r>
        <w:br/>
      </w:r>
      <w:r>
        <w:rPr>
          <w:rStyle w:val="VerbatimChar"/>
        </w:rPr>
        <w:t xml:space="preserve">├── Java/Kotlin</w:t>
      </w:r>
      <w:r>
        <w:br/>
      </w:r>
      <w:r>
        <w:rPr>
          <w:rStyle w:val="VerbatimChar"/>
        </w:rPr>
        <w:t xml:space="preserve">└── Ruby</w:t>
      </w:r>
      <w:r>
        <w:br/>
      </w:r>
      <w:r>
        <w:br/>
      </w:r>
      <w:r>
        <w:rPr>
          <w:rStyle w:val="VerbatimChar"/>
        </w:rPr>
        <w:t xml:space="preserve">Phase 3 (Year 2 Q3-Q4):</w:t>
      </w:r>
      <w:r>
        <w:br/>
      </w:r>
      <w:r>
        <w:rPr>
          <w:rStyle w:val="VerbatimChar"/>
        </w:rPr>
        <w:t xml:space="preserve">├── PHP</w:t>
      </w:r>
      <w:r>
        <w:br/>
      </w:r>
      <w:r>
        <w:rPr>
          <w:rStyle w:val="VerbatimChar"/>
        </w:rPr>
        <w:t xml:space="preserve">├── C#/.NET</w:t>
      </w:r>
      <w:r>
        <w:br/>
      </w:r>
      <w:r>
        <w:rPr>
          <w:rStyle w:val="VerbatimChar"/>
        </w:rPr>
        <w:t xml:space="preserve">├── Rust</w:t>
      </w:r>
      <w:r>
        <w:br/>
      </w:r>
      <w:r>
        <w:rPr>
          <w:rStyle w:val="VerbatimChar"/>
        </w:rPr>
        <w:t xml:space="preserve">└── Swift</w:t>
      </w:r>
    </w:p>
    <w:bookmarkEnd w:id="21"/>
    <w:bookmarkStart w:id="22" w:name="X1d1c62402351e8eae3140964c9f415c173d8fba"/>
    <w:p>
      <w:pPr>
        <w:pStyle w:val="Heading3"/>
      </w:pPr>
      <w:r>
        <w:t xml:space="preserve">4.4 Industry Event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Summit</w:t>
            </w:r>
          </w:p>
        </w:tc>
        <w:tc>
          <w:tcPr/>
          <w:p>
            <w:pPr>
              <w:pStyle w:val="Compact"/>
            </w:pPr>
            <w:r>
              <w:t xml:space="preserve">Launch announcement</w:t>
            </w:r>
          </w:p>
        </w:tc>
        <w:tc>
          <w:tcPr/>
          <w:p>
            <w:pPr>
              <w:pStyle w:val="Compact"/>
            </w:pPr>
            <w:r>
              <w:t xml:space="preserve">Year 1 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KubeCon</w:t>
            </w:r>
          </w:p>
        </w:tc>
        <w:tc>
          <w:tcPr/>
          <w:p>
            <w:pPr>
              <w:pStyle w:val="Compact"/>
            </w:pPr>
            <w:r>
              <w:t xml:space="preserve">Developer adoption</w:t>
            </w:r>
          </w:p>
        </w:tc>
        <w:tc>
          <w:tcPr/>
          <w:p>
            <w:pPr>
              <w:pStyle w:val="Compact"/>
            </w:pPr>
            <w:r>
              <w:t xml:space="preserve">Year 2 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World</w:t>
            </w:r>
          </w:p>
        </w:tc>
        <w:tc>
          <w:tcPr/>
          <w:p>
            <w:pPr>
              <w:pStyle w:val="Compact"/>
            </w:pPr>
            <w:r>
              <w:t xml:space="preserve">Protocol showcase</w:t>
            </w:r>
          </w:p>
        </w:tc>
        <w:tc>
          <w:tcPr/>
          <w:p>
            <w:pPr>
              <w:pStyle w:val="Compact"/>
            </w:pPr>
            <w:r>
              <w:t xml:space="preserve">Year 2 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IETF Meeting</w:t>
            </w:r>
          </w:p>
        </w:tc>
        <w:tc>
          <w:tcPr/>
          <w:p>
            <w:pPr>
              <w:pStyle w:val="Compact"/>
            </w:pPr>
            <w:r>
              <w:t xml:space="preserve">Standards engagement</w:t>
            </w:r>
          </w:p>
        </w:tc>
        <w:tc>
          <w:tcPr/>
          <w:p>
            <w:pPr>
              <w:pStyle w:val="Compact"/>
            </w:pPr>
            <w:r>
              <w:t xml:space="preserve">Year 2 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W3C TPAC</w:t>
            </w:r>
          </w:p>
        </w:tc>
        <w:tc>
          <w:tcPr/>
          <w:p>
            <w:pPr>
              <w:pStyle w:val="Compact"/>
            </w:pPr>
            <w:r>
              <w:t xml:space="preserve">Web standards alignment</w:t>
            </w:r>
          </w:p>
        </w:tc>
        <w:tc>
          <w:tcPr/>
          <w:p>
            <w:pPr>
              <w:pStyle w:val="Compact"/>
            </w:pPr>
            <w:r>
              <w:t xml:space="preserve">Year 2 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Summit</w:t>
            </w:r>
          </w:p>
        </w:tc>
        <w:tc>
          <w:tcPr/>
          <w:p>
            <w:pPr>
              <w:pStyle w:val="Compact"/>
            </w:pPr>
            <w:r>
              <w:t xml:space="preserve">AI-native protocol positioning</w:t>
            </w:r>
          </w:p>
        </w:tc>
        <w:tc>
          <w:tcPr/>
          <w:p>
            <w:pPr>
              <w:pStyle w:val="Compact"/>
            </w:pPr>
            <w:r>
              <w:t xml:space="preserve">Year 2 Q2</w:t>
            </w:r>
          </w:p>
        </w:tc>
      </w:tr>
    </w:tbl>
    <w:bookmarkEnd w:id="22"/>
    <w:bookmarkStart w:id="23" w:name="X2ebad14b9df76bf970ab73cac0df16513f8db34"/>
    <w:p>
      <w:pPr>
        <w:pStyle w:val="Heading3"/>
      </w:pPr>
      <w:r>
        <w:t xml:space="preserve">4.5 Success Criteria</w:t>
      </w:r>
    </w:p>
    <w:p>
      <w:pPr>
        <w:pStyle w:val="Compact"/>
        <w:numPr>
          <w:ilvl w:val="0"/>
          <w:numId w:val="1010"/>
        </w:numPr>
      </w:pPr>
      <w:r>
        <w:t xml:space="preserve">1,000+ registered vendors</w:t>
      </w:r>
    </w:p>
    <w:p>
      <w:pPr>
        <w:pStyle w:val="Compact"/>
        <w:numPr>
          <w:ilvl w:val="0"/>
          <w:numId w:val="1011"/>
        </w:numPr>
      </w:pPr>
      <w:r>
        <w:t xml:space="preserve">5+ platform integrations live</w:t>
      </w:r>
    </w:p>
    <w:p>
      <w:pPr>
        <w:pStyle w:val="Compact"/>
        <w:numPr>
          <w:ilvl w:val="0"/>
          <w:numId w:val="1012"/>
        </w:numPr>
      </w:pPr>
      <w:r>
        <w:t xml:space="preserve">SDKs in 5+ languages</w:t>
      </w:r>
    </w:p>
    <w:p>
      <w:pPr>
        <w:pStyle w:val="Compact"/>
        <w:numPr>
          <w:ilvl w:val="0"/>
          <w:numId w:val="1013"/>
        </w:numPr>
      </w:pPr>
      <w:r>
        <w:t xml:space="preserve">2+ blog posts from major tech companies mentioning AVP</w:t>
      </w:r>
    </w:p>
    <w:p>
      <w:pPr>
        <w:pStyle w:val="Compact"/>
        <w:numPr>
          <w:ilvl w:val="0"/>
          <w:numId w:val="1014"/>
        </w:numPr>
      </w:pPr>
      <w:r>
        <w:t xml:space="preserve">Invited to speak at major conference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eda98f0f4c3015a51cfd44c87a288c5eb783dbb"/>
    <w:p>
      <w:pPr>
        <w:pStyle w:val="Heading2"/>
      </w:pPr>
      <w:r>
        <w:t xml:space="preserve">5. Phase 3: De Facto Standard (Year 3)</w:t>
      </w:r>
    </w:p>
    <w:bookmarkStart w:id="25" w:name="X6eed750f2cba35542693dd7d8b2c27ce8057bd5"/>
    <w:p>
      <w:pPr>
        <w:pStyle w:val="Heading3"/>
      </w:pPr>
      <w:r>
        <w:t xml:space="preserve">5.1 Goals</w:t>
      </w:r>
    </w:p>
    <w:p>
      <w:pPr>
        <w:pStyle w:val="Compact"/>
        <w:numPr>
          <w:ilvl w:val="0"/>
          <w:numId w:val="1015"/>
        </w:numPr>
      </w:pPr>
      <w:r>
        <w:t xml:space="preserve">10,000+ vendors</w:t>
      </w:r>
    </w:p>
    <w:p>
      <w:pPr>
        <w:pStyle w:val="Compact"/>
        <w:numPr>
          <w:ilvl w:val="0"/>
          <w:numId w:val="1015"/>
        </w:numPr>
      </w:pPr>
      <w:r>
        <w:t xml:space="preserve">Multiple competing registries</w:t>
      </w:r>
    </w:p>
    <w:p>
      <w:pPr>
        <w:pStyle w:val="Compact"/>
        <w:numPr>
          <w:ilvl w:val="0"/>
          <w:numId w:val="1015"/>
        </w:numPr>
      </w:pPr>
      <w:r>
        <w:t xml:space="preserve">Protocol recognized by industry analysts</w:t>
      </w:r>
    </w:p>
    <w:p>
      <w:pPr>
        <w:pStyle w:val="Compact"/>
        <w:numPr>
          <w:ilvl w:val="0"/>
          <w:numId w:val="1015"/>
        </w:numPr>
      </w:pPr>
      <w:r>
        <w:t xml:space="preserve">Begin formal standardization process</w:t>
      </w:r>
    </w:p>
    <w:bookmarkEnd w:id="25"/>
    <w:bookmarkStart w:id="26" w:name="X913df67d783f3dc0cd90a1aec510bcb5e899f45"/>
    <w:p>
      <w:pPr>
        <w:pStyle w:val="Heading3"/>
      </w:pPr>
      <w:r>
        <w:t xml:space="preserve">5.2 Network Effects</w:t>
      </w:r>
    </w:p>
    <w:p>
      <w:pPr>
        <w:pStyle w:val="SourceCode"/>
      </w:pPr>
      <w:r>
        <w:rPr>
          <w:rStyle w:val="VerbatimChar"/>
        </w:rPr>
        <w:t xml:space="preserve">                 NETWORK EFFECT FLYWHEEL</w:t>
      </w:r>
      <w:r>
        <w:br/>
      </w:r>
      <w:r>
        <w:br/>
      </w:r>
      <w:r>
        <w:rPr>
          <w:rStyle w:val="VerbatimChar"/>
        </w:rPr>
        <w:t xml:space="preserve">                      ┌──────────┐</w:t>
      </w:r>
      <w:r>
        <w:br/>
      </w:r>
      <w:r>
        <w:rPr>
          <w:rStyle w:val="VerbatimChar"/>
        </w:rPr>
        <w:t xml:space="preserve">                      │ More     │</w:t>
      </w:r>
      <w:r>
        <w:br/>
      </w:r>
      <w:r>
        <w:rPr>
          <w:rStyle w:val="VerbatimChar"/>
        </w:rPr>
        <w:t xml:space="preserve">                 ┌───▶│ Vendors  │───┐</w:t>
      </w:r>
      <w:r>
        <w:br/>
      </w:r>
      <w:r>
        <w:rPr>
          <w:rStyle w:val="VerbatimChar"/>
        </w:rPr>
        <w:t xml:space="preserve">                 │    └──────────┘   │</w:t>
      </w:r>
      <w:r>
        <w:br/>
      </w:r>
      <w:r>
        <w:rPr>
          <w:rStyle w:val="VerbatimChar"/>
        </w:rPr>
        <w:t xml:space="preserve">                 │                   │</w:t>
      </w:r>
      <w:r>
        <w:br/>
      </w:r>
      <w:r>
        <w:rPr>
          <w:rStyle w:val="VerbatimChar"/>
        </w:rPr>
        <w:t xml:space="preserve">          ┌──────┴──┐          ┌────▼─────┐</w:t>
      </w:r>
      <w:r>
        <w:br/>
      </w:r>
      <w:r>
        <w:rPr>
          <w:rStyle w:val="VerbatimChar"/>
        </w:rPr>
        <w:t xml:space="preserve">          │ More    │          │ More     │</w:t>
      </w:r>
      <w:r>
        <w:br/>
      </w:r>
      <w:r>
        <w:rPr>
          <w:rStyle w:val="VerbatimChar"/>
        </w:rPr>
        <w:t xml:space="preserve">          │ Value   │          │ Buyers   │</w:t>
      </w:r>
      <w:r>
        <w:br/>
      </w:r>
      <w:r>
        <w:rPr>
          <w:rStyle w:val="VerbatimChar"/>
        </w:rPr>
        <w:t xml:space="preserve">          │ for All │          │          │</w:t>
      </w:r>
      <w:r>
        <w:br/>
      </w:r>
      <w:r>
        <w:rPr>
          <w:rStyle w:val="VerbatimChar"/>
        </w:rPr>
        <w:t xml:space="preserve">          └──────┬──┘          └────┬─────┘</w:t>
      </w:r>
      <w:r>
        <w:br/>
      </w:r>
      <w:r>
        <w:rPr>
          <w:rStyle w:val="VerbatimChar"/>
        </w:rPr>
        <w:t xml:space="preserve">                 │                   │</w:t>
      </w:r>
      <w:r>
        <w:br/>
      </w:r>
      <w:r>
        <w:rPr>
          <w:rStyle w:val="VerbatimChar"/>
        </w:rPr>
        <w:t xml:space="preserve">                 │    ┌──────────┐   │</w:t>
      </w:r>
      <w:r>
        <w:br/>
      </w:r>
      <w:r>
        <w:rPr>
          <w:rStyle w:val="VerbatimChar"/>
        </w:rPr>
        <w:t xml:space="preserve">                 └────│ More     │◀──┘</w:t>
      </w:r>
      <w:r>
        <w:br/>
      </w:r>
      <w:r>
        <w:rPr>
          <w:rStyle w:val="VerbatimChar"/>
        </w:rPr>
        <w:t xml:space="preserve">                      │ Deals    │</w:t>
      </w:r>
      <w:r>
        <w:br/>
      </w:r>
      <w:r>
        <w:rPr>
          <w:rStyle w:val="VerbatimChar"/>
        </w:rPr>
        <w:t xml:space="preserve">                      └──────────┘</w:t>
      </w:r>
    </w:p>
    <w:bookmarkEnd w:id="26"/>
    <w:bookmarkStart w:id="27" w:name="Xa75ca2581f32e01edab43025e2b8498d1c9b541"/>
    <w:p>
      <w:pPr>
        <w:pStyle w:val="Heading3"/>
      </w:pPr>
      <w:r>
        <w:t xml:space="preserve">5.3 Federation</w:t>
      </w:r>
    </w:p>
    <w:p>
      <w:pPr>
        <w:pStyle w:val="FirstParagraph"/>
      </w:pPr>
      <w:r>
        <w:t xml:space="preserve">By Year 3, multiple registries should exist:</w:t>
      </w:r>
    </w:p>
    <w:p>
      <w:pPr>
        <w:pStyle w:val="SourceCode"/>
      </w:pPr>
      <w:r>
        <w:rPr>
          <w:rStyle w:val="VerbatimChar"/>
        </w:rPr>
        <w:t xml:space="preserve">Global Registry (avp-protocol.org)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EU Registry (eu.avp-protocol.org)</w:t>
      </w:r>
      <w:r>
        <w:br/>
      </w:r>
      <w:r>
        <w:rPr>
          <w:rStyle w:val="VerbatimChar"/>
        </w:rPr>
        <w:t xml:space="preserve">    │   └── GDPR-compliant data residency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India Registry (in.avp-protocol.org)</w:t>
      </w:r>
      <w:r>
        <w:br/>
      </w:r>
      <w:r>
        <w:rPr>
          <w:rStyle w:val="VerbatimChar"/>
        </w:rPr>
        <w:t xml:space="preserve">    │   └── DPDPA-compliant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Industry Registry: Healthcare (health.avp-protocol.org)</w:t>
      </w:r>
      <w:r>
        <w:br/>
      </w:r>
      <w:r>
        <w:rPr>
          <w:rStyle w:val="VerbatimChar"/>
        </w:rPr>
        <w:t xml:space="preserve">    │   └── HIPAA-compliant vendors only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Private Registries (enterprise.company.com)</w:t>
      </w:r>
      <w:r>
        <w:br/>
      </w:r>
      <w:r>
        <w:rPr>
          <w:rStyle w:val="VerbatimChar"/>
        </w:rPr>
        <w:t xml:space="preserve">        └── Internal vendor management</w:t>
      </w:r>
    </w:p>
    <w:bookmarkEnd w:id="27"/>
    <w:bookmarkStart w:id="28" w:name="X26bac96d950f200184d34d570fd906166f49354"/>
    <w:p>
      <w:pPr>
        <w:pStyle w:val="Heading3"/>
      </w:pPr>
      <w:r>
        <w:t xml:space="preserve">5.4 Success Criteria</w:t>
      </w:r>
    </w:p>
    <w:p>
      <w:pPr>
        <w:pStyle w:val="Compact"/>
        <w:numPr>
          <w:ilvl w:val="0"/>
          <w:numId w:val="1016"/>
        </w:numPr>
      </w:pPr>
      <w:r>
        <w:t xml:space="preserve">10,000+ vendors</w:t>
      </w:r>
    </w:p>
    <w:p>
      <w:pPr>
        <w:pStyle w:val="Compact"/>
        <w:numPr>
          <w:ilvl w:val="0"/>
          <w:numId w:val="1017"/>
        </w:numPr>
      </w:pPr>
      <w:r>
        <w:t xml:space="preserve">3+ independent registries</w:t>
      </w:r>
    </w:p>
    <w:p>
      <w:pPr>
        <w:pStyle w:val="Compact"/>
        <w:numPr>
          <w:ilvl w:val="0"/>
          <w:numId w:val="1018"/>
        </w:numPr>
      </w:pPr>
      <w:r>
        <w:t xml:space="preserve">Gartner/Forrester mentions AVP in reports</w:t>
      </w:r>
    </w:p>
    <w:p>
      <w:pPr>
        <w:pStyle w:val="Compact"/>
        <w:numPr>
          <w:ilvl w:val="0"/>
          <w:numId w:val="1019"/>
        </w:numPr>
      </w:pPr>
      <w:r>
        <w:t xml:space="preserve">100+ deals per month</w:t>
      </w:r>
    </w:p>
    <w:p>
      <w:pPr>
        <w:pStyle w:val="Compact"/>
        <w:numPr>
          <w:ilvl w:val="0"/>
          <w:numId w:val="1020"/>
        </w:numPr>
      </w:pPr>
      <w:r>
        <w:t xml:space="preserve">Formal standardization process begun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a75f00a2693857f51fc0d767d62f520a9a59ce3"/>
    <w:p>
      <w:pPr>
        <w:pStyle w:val="Heading2"/>
      </w:pPr>
      <w:r>
        <w:t xml:space="preserve">6. Phase 4: Formal Standard (Year 4+)</w:t>
      </w:r>
    </w:p>
    <w:bookmarkStart w:id="30" w:name="Xe050471a0ec89d179b540a41ea719e4e728b1da"/>
    <w:p>
      <w:pPr>
        <w:pStyle w:val="Heading3"/>
      </w:pPr>
      <w:r>
        <w:t xml:space="preserve">6.1 Standards Bodies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What To Submit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IETF</w:t>
            </w:r>
          </w:p>
        </w:tc>
        <w:tc>
          <w:tcPr/>
          <w:p>
            <w:pPr>
              <w:pStyle w:val="Compact"/>
            </w:pPr>
            <w:r>
              <w:t xml:space="preserve">RFC for protocol (transport, auth, discovery)</w:t>
            </w:r>
          </w:p>
        </w:tc>
        <w:tc>
          <w:tcPr/>
          <w:p>
            <w:pPr>
              <w:pStyle w:val="Compact"/>
            </w:pPr>
            <w:r>
              <w:t xml:space="preserve">Year 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W3C</w:t>
            </w:r>
          </w:p>
        </w:tc>
        <w:tc>
          <w:tcPr/>
          <w:p>
            <w:pPr>
              <w:pStyle w:val="Compact"/>
            </w:pPr>
            <w:r>
              <w:t xml:space="preserve">Recommendation for well-known URI + discovery</w:t>
            </w:r>
          </w:p>
        </w:tc>
        <w:tc>
          <w:tcPr/>
          <w:p>
            <w:pPr>
              <w:pStyle w:val="Compact"/>
            </w:pPr>
            <w:r>
              <w:t xml:space="preserve">Year 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OASIS</w:t>
            </w:r>
          </w:p>
        </w:tc>
        <w:tc>
          <w:tcPr/>
          <w:p>
            <w:pPr>
              <w:pStyle w:val="Compact"/>
            </w:pPr>
            <w:r>
              <w:t xml:space="preserve">Business communication standard</w:t>
            </w:r>
          </w:p>
        </w:tc>
        <w:tc>
          <w:tcPr/>
          <w:p>
            <w:pPr>
              <w:pStyle w:val="Compact"/>
            </w:pPr>
            <w:r>
              <w:t xml:space="preserve">Year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ISO standard (if sufficient adoption)</w:t>
            </w:r>
          </w:p>
        </w:tc>
        <w:tc>
          <w:tcPr/>
          <w:p>
            <w:pPr>
              <w:pStyle w:val="Compact"/>
            </w:pPr>
            <w:r>
              <w:t xml:space="preserve">Year 5+</w:t>
            </w:r>
          </w:p>
        </w:tc>
      </w:tr>
    </w:tbl>
    <w:bookmarkEnd w:id="30"/>
    <w:bookmarkStart w:id="31" w:name="X695d172f5427bc2898a8941e1839d9e49511471"/>
    <w:p>
      <w:pPr>
        <w:pStyle w:val="Heading3"/>
      </w:pPr>
      <w:r>
        <w:t xml:space="preserve">6.2 IETF RFC Path</w:t>
      </w:r>
    </w:p>
    <w:p>
      <w:pPr>
        <w:pStyle w:val="SourceCode"/>
      </w:pPr>
      <w:r>
        <w:rPr>
          <w:rStyle w:val="VerbatimChar"/>
        </w:rPr>
        <w:t xml:space="preserve">Step 1: Internet-Draft (I-D)</w:t>
      </w:r>
      <w:r>
        <w:br/>
      </w:r>
      <w:r>
        <w:rPr>
          <w:rStyle w:val="VerbatimChar"/>
        </w:rPr>
        <w:t xml:space="preserve">│   Submit draft-avp-protocol-00</w:t>
      </w:r>
      <w:r>
        <w:br/>
      </w:r>
      <w:r>
        <w:rPr>
          <w:rStyle w:val="VerbatimChar"/>
        </w:rPr>
        <w:t xml:space="preserve">│   Duration: 6 months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Step 2: Working Group Adoption</w:t>
      </w:r>
      <w:r>
        <w:br/>
      </w:r>
      <w:r>
        <w:rPr>
          <w:rStyle w:val="VerbatimChar"/>
        </w:rPr>
        <w:t xml:space="preserve">│   IETF creates AVP WG (or fits into existing WG)</w:t>
      </w:r>
      <w:r>
        <w:br/>
      </w:r>
      <w:r>
        <w:rPr>
          <w:rStyle w:val="VerbatimChar"/>
        </w:rPr>
        <w:t xml:space="preserve">│   Duration: 3-6 months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Step 3: WG Review + Iteration</w:t>
      </w:r>
      <w:r>
        <w:br/>
      </w:r>
      <w:r>
        <w:rPr>
          <w:rStyle w:val="VerbatimChar"/>
        </w:rPr>
        <w:t xml:space="preserve">│   Multiple draft revisions</w:t>
      </w:r>
      <w:r>
        <w:br/>
      </w:r>
      <w:r>
        <w:rPr>
          <w:rStyle w:val="VerbatimChar"/>
        </w:rPr>
        <w:t xml:space="preserve">│   Duration: 12-18 months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Step 4: IETF Last Call</w:t>
      </w:r>
      <w:r>
        <w:br/>
      </w:r>
      <w:r>
        <w:rPr>
          <w:rStyle w:val="VerbatimChar"/>
        </w:rPr>
        <w:t xml:space="preserve">│   Community-wide review</w:t>
      </w:r>
      <w:r>
        <w:br/>
      </w:r>
      <w:r>
        <w:rPr>
          <w:rStyle w:val="VerbatimChar"/>
        </w:rPr>
        <w:t xml:space="preserve">│   Duration: 2-4 weeks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Step 5: IESG Review</w:t>
      </w:r>
      <w:r>
        <w:br/>
      </w:r>
      <w:r>
        <w:rPr>
          <w:rStyle w:val="VerbatimChar"/>
        </w:rPr>
        <w:t xml:space="preserve">│   Area Directors review</w:t>
      </w:r>
      <w:r>
        <w:br/>
      </w:r>
      <w:r>
        <w:rPr>
          <w:rStyle w:val="VerbatimChar"/>
        </w:rPr>
        <w:t xml:space="preserve">│   Duration: 1-3 months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Step 6: RFC Publication</w:t>
      </w:r>
      <w:r>
        <w:br/>
      </w:r>
      <w:r>
        <w:rPr>
          <w:rStyle w:val="VerbatimChar"/>
        </w:rPr>
        <w:t xml:space="preserve">│   Informational or Standards Track</w:t>
      </w:r>
      <w:r>
        <w:br/>
      </w:r>
      <w:r>
        <w:rPr>
          <w:rStyle w:val="VerbatimChar"/>
        </w:rPr>
        <w:t xml:space="preserve">│   Duration: 1-2 months</w:t>
      </w:r>
    </w:p>
    <w:bookmarkEnd w:id="31"/>
    <w:bookmarkStart w:id="32" w:name="Xd3f84cce8612b9acc50103d94502800100a3fec"/>
    <w:p>
      <w:pPr>
        <w:pStyle w:val="Heading3"/>
      </w:pPr>
      <w:r>
        <w:t xml:space="preserve">6.3 IANA Registrations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/.well-known/avp.json</w:t>
            </w:r>
          </w:p>
        </w:tc>
        <w:tc>
          <w:tcPr/>
          <w:p>
            <w:pPr>
              <w:pStyle w:val="Compact"/>
            </w:pPr>
            <w:r>
              <w:t xml:space="preserve">Well-Known URI</w:t>
            </w:r>
          </w:p>
        </w:tc>
        <w:tc>
          <w:tcPr/>
          <w:p>
            <w:pPr>
              <w:pStyle w:val="Compact"/>
            </w:pPr>
            <w:r>
              <w:t xml:space="preserve">RFC 8615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AVP-Version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HTTP Header</w:t>
            </w:r>
          </w:p>
        </w:tc>
        <w:tc>
          <w:tcPr/>
          <w:p>
            <w:pPr>
              <w:pStyle w:val="Compact"/>
            </w:pPr>
            <w:r>
              <w:t xml:space="preserve">RFC 7230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AVP-Agent-ID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HTTP Header</w:t>
            </w:r>
          </w:p>
        </w:tc>
        <w:tc>
          <w:tcPr/>
          <w:p>
            <w:pPr>
              <w:pStyle w:val="Compact"/>
            </w:pPr>
            <w:r>
              <w:t xml:space="preserve">RFC 7230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AVP-Signature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HTTP Header</w:t>
            </w:r>
          </w:p>
        </w:tc>
        <w:tc>
          <w:tcPr/>
          <w:p>
            <w:pPr>
              <w:pStyle w:val="Compact"/>
            </w:pPr>
            <w:r>
              <w:t xml:space="preserve">RFC 7230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application/avp+json</w:t>
            </w:r>
          </w:p>
        </w:tc>
        <w:tc>
          <w:tcPr/>
          <w:p>
            <w:pPr>
              <w:pStyle w:val="Compact"/>
            </w:pPr>
            <w:r>
              <w:t xml:space="preserve">Media Type</w:t>
            </w:r>
          </w:p>
        </w:tc>
        <w:tc>
          <w:tcPr/>
          <w:p>
            <w:pPr>
              <w:pStyle w:val="Compact"/>
            </w:pPr>
            <w:r>
              <w:t xml:space="preserve">RFC 6838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X31159c4e1ca017c80f0aeb615f829f753d3a7d7"/>
    <w:p>
      <w:pPr>
        <w:pStyle w:val="Heading2"/>
      </w:pPr>
      <w:r>
        <w:t xml:space="preserve">7. Governance for Standardization</w:t>
      </w:r>
    </w:p>
    <w:bookmarkStart w:id="34" w:name="Xae92fd6a7aa338cd84a3755beb2fd072be35bd6"/>
    <w:p>
      <w:pPr>
        <w:pStyle w:val="Heading3"/>
      </w:pPr>
      <w:r>
        <w:t xml:space="preserve">7.1 Governance Evolution</w:t>
      </w:r>
    </w:p>
    <w:p>
      <w:pPr>
        <w:pStyle w:val="SourceCode"/>
      </w:pPr>
      <w:r>
        <w:rPr>
          <w:rStyle w:val="VerbatimChar"/>
        </w:rPr>
        <w:t xml:space="preserve">Year 1: Benevolent Dictator (founder-led)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Year 2: Steering Committee (5-7 members)</w:t>
      </w:r>
      <w:r>
        <w:br/>
      </w:r>
      <w:r>
        <w:rPr>
          <w:rStyle w:val="VerbatimChar"/>
        </w:rPr>
        <w:t xml:space="preserve">    │   - 2 founders</w:t>
      </w:r>
      <w:r>
        <w:br/>
      </w:r>
      <w:r>
        <w:rPr>
          <w:rStyle w:val="VerbatimChar"/>
        </w:rPr>
        <w:t xml:space="preserve">    │   - 3 community-elected</w:t>
      </w:r>
      <w:r>
        <w:br/>
      </w:r>
      <w:r>
        <w:rPr>
          <w:rStyle w:val="VerbatimChar"/>
        </w:rPr>
        <w:t xml:space="preserve">    │   - 2 corporate sponsors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Year 3: Foundation</w:t>
      </w:r>
      <w:r>
        <w:br/>
      </w:r>
      <w:r>
        <w:rPr>
          <w:rStyle w:val="VerbatimChar"/>
        </w:rPr>
        <w:t xml:space="preserve">    │   - AVP Foundation (non-profit)</w:t>
      </w:r>
      <w:r>
        <w:br/>
      </w:r>
      <w:r>
        <w:rPr>
          <w:rStyle w:val="VerbatimChar"/>
        </w:rPr>
        <w:t xml:space="preserve">    │   - Formal governance charter</w:t>
      </w:r>
      <w:r>
        <w:br/>
      </w:r>
      <w:r>
        <w:rPr>
          <w:rStyle w:val="VerbatimChar"/>
        </w:rPr>
        <w:t xml:space="preserve">    │   - Corporate membership tiers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Year 4+: Standards Body Working Group</w:t>
      </w:r>
      <w:r>
        <w:br/>
      </w:r>
      <w:r>
        <w:rPr>
          <w:rStyle w:val="VerbatimChar"/>
        </w:rPr>
        <w:t xml:space="preserve">    - IETF WG or W3C CG</w:t>
      </w:r>
      <w:r>
        <w:br/>
      </w:r>
      <w:r>
        <w:rPr>
          <w:rStyle w:val="VerbatimChar"/>
        </w:rPr>
        <w:t xml:space="preserve">    - Open participation</w:t>
      </w:r>
      <w:r>
        <w:br/>
      </w:r>
      <w:r>
        <w:rPr>
          <w:rStyle w:val="VerbatimChar"/>
        </w:rPr>
        <w:t xml:space="preserve">    - Consensus-based</w:t>
      </w:r>
    </w:p>
    <w:bookmarkEnd w:id="34"/>
    <w:bookmarkStart w:id="35" w:name="X67d0378a8dd07b1cc21b353e575061e0db795ab"/>
    <w:p>
      <w:pPr>
        <w:pStyle w:val="Heading3"/>
      </w:pPr>
      <w:r>
        <w:t xml:space="preserve">7.2 Corporate Membership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Annual Fee</w:t>
            </w:r>
          </w:p>
        </w:tc>
        <w:tc>
          <w:tcPr/>
          <w:p>
            <w:pPr>
              <w:pStyle w:val="Compact"/>
            </w:pPr>
            <w:r>
              <w:t xml:space="preserve">Benefits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Board seat, logo on spec, early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Advisory role, logo on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Listed as supporter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Participation in AEPs and discussions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X8b631eacd727387095fb3769e89b19538c31423"/>
    <w:p>
      <w:pPr>
        <w:pStyle w:val="Heading2"/>
      </w:pPr>
      <w:r>
        <w:t xml:space="preserve">8. Comparison with Existing Standards</w:t>
      </w:r>
    </w:p>
    <w:bookmarkStart w:id="37" w:name="X0687806746653c30deee48b25fd2354f32aee4e"/>
    <w:p>
      <w:pPr>
        <w:pStyle w:val="Heading3"/>
      </w:pPr>
      <w:r>
        <w:t xml:space="preserve">8.1 How AVP Relates to Other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Relationship to AVP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HTTP/HTTPS</w:t>
            </w:r>
          </w:p>
        </w:tc>
        <w:tc>
          <w:tcPr/>
          <w:p>
            <w:pPr>
              <w:pStyle w:val="Compact"/>
            </w:pPr>
            <w:r>
              <w:t xml:space="preserve">Transport layer — AVP uses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Inspiration for auth model — AVP has custom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  <w:r>
              <w:t xml:space="preserve">Complementary — AVP agents can also publish OpenAPI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t xml:space="preserve">Precedent —</w:t>
            </w:r>
            <w:r>
              <w:t xml:space="preserve"> </w:t>
            </w:r>
            <w:r>
              <w:rPr>
                <w:rStyle w:val="VerbatimChar"/>
              </w:rPr>
              <w:t xml:space="preserve">/.well-known/avp.json</w:t>
            </w:r>
            <w:r>
              <w:t xml:space="preserve"> </w:t>
            </w:r>
            <w:r>
              <w:t xml:space="preserve">follows similar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Schema.org</w:t>
            </w:r>
          </w:p>
        </w:tc>
        <w:tc>
          <w:tcPr/>
          <w:p>
            <w:pPr>
              <w:pStyle w:val="Compact"/>
            </w:pPr>
            <w:r>
              <w:t xml:space="preserve">Complementary — AVP capabilities could map to Schema.org 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(Model Context Protocol)</w:t>
            </w:r>
          </w:p>
        </w:tc>
        <w:tc>
          <w:tcPr/>
          <w:p>
            <w:pPr>
              <w:pStyle w:val="Compact"/>
            </w:pPr>
            <w:r>
              <w:t xml:space="preserve">Different scope — MCP is for tool-model communication; AVP is for agent-agent business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ActivityPub</w:t>
            </w:r>
          </w:p>
        </w:tc>
        <w:tc>
          <w:tcPr/>
          <w:p>
            <w:pPr>
              <w:pStyle w:val="Compact"/>
            </w:pPr>
            <w:r>
              <w:t xml:space="preserve">Inspiration — Federated social protocol; AVP is federated business protocol</w:t>
            </w:r>
          </w:p>
        </w:tc>
      </w:tr>
    </w:tbl>
    <w:bookmarkEnd w:id="37"/>
    <w:bookmarkStart w:id="38" w:name="X59b0a1e6312c1abead10904095a69ffef8e80cc"/>
    <w:p>
      <w:pPr>
        <w:pStyle w:val="Heading3"/>
      </w:pPr>
      <w:r>
        <w:t xml:space="preserve">8.2 What Makes AVP Unique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Business-native</w:t>
      </w:r>
      <w:r>
        <w:t xml:space="preserve"> </w:t>
      </w:r>
      <w:r>
        <w:t xml:space="preserve">— Not just communication; understands RFPs, proposals, pricing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AI-native</w:t>
      </w:r>
      <w:r>
        <w:t xml:space="preserve"> </w:t>
      </w:r>
      <w:r>
        <w:t xml:space="preserve">— Designed for AI agent interaction, not human APIs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Trust-integrated</w:t>
      </w:r>
      <w:r>
        <w:t xml:space="preserve"> </w:t>
      </w:r>
      <w:r>
        <w:t xml:space="preserve">— Business verification and trust scoring are core, not add-ons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Negotiation-aware</w:t>
      </w:r>
      <w:r>
        <w:t xml:space="preserve"> </w:t>
      </w:r>
      <w:r>
        <w:t xml:space="preserve">— Multi-round negotiation with state machine is built-in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Decentralized</w:t>
      </w:r>
      <w:r>
        <w:t xml:space="preserve"> </w:t>
      </w:r>
      <w:r>
        <w:t xml:space="preserve">— No single authority controls the network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38d5424a5326972b107ce593710d0c32d0453d7"/>
    <w:p>
      <w:pPr>
        <w:pStyle w:val="Heading2"/>
      </w:pPr>
      <w:r>
        <w:t xml:space="preserve">9. Adoption Incentive Framework</w:t>
      </w:r>
    </w:p>
    <w:bookmarkStart w:id="40" w:name="X921996533ba60c1deeeb0ee2e61991106cfabda"/>
    <w:p>
      <w:pPr>
        <w:pStyle w:val="Heading3"/>
      </w:pPr>
      <w:r>
        <w:t xml:space="preserve">9.1 For Vendors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Incentive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premium verification</w:t>
            </w:r>
          </w:p>
        </w:tc>
        <w:tc>
          <w:tcPr/>
          <w:p>
            <w:pPr>
              <w:pStyle w:val="Compact"/>
            </w:pPr>
            <w:r>
              <w:t xml:space="preserve">Alpha/Beta</w:t>
            </w:r>
          </w:p>
        </w:tc>
        <w:tc>
          <w:tcPr/>
          <w:p>
            <w:pPr>
              <w:pStyle w:val="Compact"/>
            </w:pPr>
            <w:r>
              <w:t xml:space="preserve">First 100 vendors get lifetime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generation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AVP brings qualified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benefit</w:t>
            </w:r>
          </w:p>
        </w:tc>
        <w:tc>
          <w:tcPr/>
          <w:p>
            <w:pPr>
              <w:pStyle w:val="Compact"/>
            </w:pPr>
            <w:r>
              <w:t xml:space="preserve">Post-launch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avp.json</w:t>
            </w:r>
            <w:r>
              <w:t xml:space="preserve"> </w:t>
            </w:r>
            <w:r>
              <w:t xml:space="preserve">as a signal for business legitimacy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visibility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Listed in registry, discoverable by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support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Free engineering support for integration</w:t>
            </w:r>
          </w:p>
        </w:tc>
      </w:tr>
    </w:tbl>
    <w:bookmarkEnd w:id="40"/>
    <w:bookmarkStart w:id="41" w:name="X2befc5d5220ab13cfd8e3c3bc94ec4baed445ce"/>
    <w:p>
      <w:pPr>
        <w:pStyle w:val="Heading3"/>
      </w:pPr>
      <w:r>
        <w:t xml:space="preserve">9.2 For Buyers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Incentive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Chrome extension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Always free for buyers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vendor matching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AI-powered, not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Hours → minutes for vendor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Transparent pricing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Comparable proposals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 AI</w:t>
            </w:r>
          </w:p>
        </w:tc>
        <w:tc>
          <w:tcPr/>
          <w:p>
            <w:pPr>
              <w:pStyle w:val="Compact"/>
            </w:pPr>
            <w:r>
              <w:t xml:space="preserve">Beta+</w:t>
            </w:r>
          </w:p>
        </w:tc>
        <w:tc>
          <w:tcPr/>
          <w:p>
            <w:pPr>
              <w:pStyle w:val="Compact"/>
            </w:pPr>
            <w:r>
              <w:t xml:space="preserve">AI handles negotiation</w:t>
            </w:r>
          </w:p>
        </w:tc>
      </w:tr>
    </w:tbl>
    <w:bookmarkEnd w:id="41"/>
    <w:bookmarkStart w:id="42" w:name="Xf9282768c477a19232156afa7a29a81ba60da52"/>
    <w:p>
      <w:pPr>
        <w:pStyle w:val="Heading3"/>
      </w:pPr>
      <w:r>
        <w:t xml:space="preserve">9.3 For 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Incentive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share</w:t>
            </w:r>
          </w:p>
        </w:tc>
        <w:tc>
          <w:tcPr/>
          <w:p>
            <w:pPr>
              <w:pStyle w:val="Compact"/>
            </w:pPr>
            <w:r>
              <w:t xml:space="preserve">Launch+</w:t>
            </w:r>
          </w:p>
        </w:tc>
        <w:tc>
          <w:tcPr/>
          <w:p>
            <w:pPr>
              <w:pStyle w:val="Compact"/>
            </w:pPr>
            <w:r>
              <w:t xml:space="preserve">Commission on deals originating from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"AVP-enabled" as a selling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enrichment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AVP data enriches platform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access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Access to AVP vendor network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Standardization Roadmap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STANDARDIZATION-ROADMAP</dc:title>
  <dc:creator/>
  <cp:keywords/>
  <dcterms:created xsi:type="dcterms:W3CDTF">2026-03-17T19:30:11Z</dcterms:created>
  <dcterms:modified xsi:type="dcterms:W3CDTF">2026-03-17T19:30:11Z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