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8B5E4" w14:textId="77777777" w:rsidR="00D140AF" w:rsidRPr="00576E30" w:rsidRDefault="00B00830" w:rsidP="00B52407">
      <w:pPr>
        <w:ind w:firstLine="0"/>
        <w:jc w:val="center"/>
        <w:rPr>
          <w:lang w:val="en-CA"/>
        </w:rPr>
      </w:pPr>
      <w:r w:rsidRPr="00576E30">
        <w:rPr>
          <w:noProof/>
          <w:lang w:val="en-CA"/>
        </w:rPr>
        <w:drawing>
          <wp:inline distT="0" distB="0" distL="0" distR="0" wp14:anchorId="37DAF414" wp14:editId="65D2643A">
            <wp:extent cx="3998367" cy="1193530"/>
            <wp:effectExtent l="0" t="0" r="0" b="0"/>
            <wp:docPr id="2086134927" name="image9.png" descr="My Home"/>
            <wp:cNvGraphicFramePr/>
            <a:graphic xmlns:a="http://schemas.openxmlformats.org/drawingml/2006/main">
              <a:graphicData uri="http://schemas.openxmlformats.org/drawingml/2006/picture">
                <pic:pic xmlns:pic="http://schemas.openxmlformats.org/drawingml/2006/picture">
                  <pic:nvPicPr>
                    <pic:cNvPr id="0" name="image9.png" descr="My Home"/>
                    <pic:cNvPicPr preferRelativeResize="0"/>
                  </pic:nvPicPr>
                  <pic:blipFill>
                    <a:blip r:embed="rId12"/>
                    <a:srcRect/>
                    <a:stretch>
                      <a:fillRect/>
                    </a:stretch>
                  </pic:blipFill>
                  <pic:spPr>
                    <a:xfrm>
                      <a:off x="0" y="0"/>
                      <a:ext cx="3998367" cy="1193530"/>
                    </a:xfrm>
                    <a:prstGeom prst="rect">
                      <a:avLst/>
                    </a:prstGeom>
                    <a:ln/>
                  </pic:spPr>
                </pic:pic>
              </a:graphicData>
            </a:graphic>
          </wp:inline>
        </w:drawing>
      </w:r>
    </w:p>
    <w:p w14:paraId="3866B269" w14:textId="77777777" w:rsidR="00D140AF" w:rsidRPr="00576E30" w:rsidRDefault="00D140AF" w:rsidP="00B52407">
      <w:pPr>
        <w:rPr>
          <w:lang w:val="en-CA"/>
        </w:rPr>
      </w:pPr>
    </w:p>
    <w:p w14:paraId="1DFD88E4" w14:textId="77777777" w:rsidR="00927A86" w:rsidRPr="00576E30" w:rsidRDefault="00927A86" w:rsidP="00B52407">
      <w:pPr>
        <w:rPr>
          <w:lang w:val="en-CA"/>
        </w:rPr>
      </w:pPr>
    </w:p>
    <w:p w14:paraId="0E1C3D16" w14:textId="0DB282DC" w:rsidR="15DE08F9" w:rsidRPr="00576E30" w:rsidRDefault="006A3114" w:rsidP="00B52407">
      <w:pPr>
        <w:spacing w:after="0"/>
        <w:ind w:firstLine="0"/>
        <w:jc w:val="center"/>
        <w:rPr>
          <w:b/>
          <w:bCs/>
          <w:lang w:val="en-CA"/>
        </w:rPr>
      </w:pPr>
      <w:r w:rsidRPr="00576E30">
        <w:rPr>
          <w:b/>
          <w:bCs/>
          <w:lang w:val="en-CA"/>
        </w:rPr>
        <w:t>Capstone Project Proposal</w:t>
      </w:r>
    </w:p>
    <w:p w14:paraId="080D1493" w14:textId="6015439E" w:rsidR="00830815" w:rsidRPr="00576E30" w:rsidRDefault="00830815" w:rsidP="00B52407">
      <w:pPr>
        <w:spacing w:after="0"/>
        <w:ind w:firstLine="0"/>
        <w:jc w:val="center"/>
        <w:rPr>
          <w:b/>
          <w:lang w:val="en-CA"/>
        </w:rPr>
      </w:pPr>
    </w:p>
    <w:p w14:paraId="1C988E1D" w14:textId="77777777" w:rsidR="00B52407" w:rsidRPr="00576E30" w:rsidRDefault="00B52407" w:rsidP="00B52407">
      <w:pPr>
        <w:spacing w:after="0"/>
        <w:ind w:firstLine="0"/>
        <w:jc w:val="center"/>
        <w:rPr>
          <w:b/>
          <w:lang w:val="en-CA"/>
        </w:rPr>
      </w:pPr>
    </w:p>
    <w:p w14:paraId="48478EE4" w14:textId="77777777" w:rsidR="00927A86" w:rsidRPr="00576E30" w:rsidRDefault="00927A86" w:rsidP="00B52407">
      <w:pPr>
        <w:spacing w:after="0"/>
        <w:ind w:firstLine="0"/>
        <w:jc w:val="center"/>
        <w:rPr>
          <w:b/>
          <w:lang w:val="en-CA"/>
        </w:rPr>
      </w:pPr>
    </w:p>
    <w:p w14:paraId="157B42E9" w14:textId="19102A01" w:rsidR="00B52407" w:rsidRPr="00576E30" w:rsidRDefault="006A3114" w:rsidP="00B52407">
      <w:pPr>
        <w:spacing w:after="0"/>
        <w:ind w:firstLine="0"/>
        <w:jc w:val="center"/>
        <w:rPr>
          <w:b/>
          <w:lang w:val="en-CA"/>
        </w:rPr>
      </w:pPr>
      <w:r w:rsidRPr="00576E30">
        <w:rPr>
          <w:b/>
          <w:lang w:val="en-CA"/>
        </w:rPr>
        <w:t>Group 4:</w:t>
      </w:r>
    </w:p>
    <w:p w14:paraId="1B155F90" w14:textId="0BA07C62" w:rsidR="006A3114" w:rsidRPr="00576E30" w:rsidRDefault="006A3114" w:rsidP="00B52407">
      <w:pPr>
        <w:spacing w:after="0"/>
        <w:ind w:firstLine="0"/>
        <w:jc w:val="center"/>
        <w:rPr>
          <w:bCs/>
          <w:lang w:val="en-CA"/>
        </w:rPr>
      </w:pPr>
      <w:r w:rsidRPr="00576E30">
        <w:rPr>
          <w:bCs/>
          <w:lang w:val="en-CA"/>
        </w:rPr>
        <w:t>Shaishaba Neupane</w:t>
      </w:r>
    </w:p>
    <w:p w14:paraId="00EE8462" w14:textId="349ABAF7" w:rsidR="00B52407" w:rsidRPr="007C3305" w:rsidRDefault="006A3114" w:rsidP="00B52407">
      <w:pPr>
        <w:spacing w:after="0"/>
        <w:ind w:firstLine="0"/>
        <w:jc w:val="center"/>
        <w:rPr>
          <w:bCs/>
          <w:lang w:val="es-CO"/>
        </w:rPr>
      </w:pPr>
      <w:r w:rsidRPr="007C3305">
        <w:rPr>
          <w:bCs/>
          <w:lang w:val="es-CO"/>
        </w:rPr>
        <w:t>Wilder Enrique Merino Cruzado</w:t>
      </w:r>
    </w:p>
    <w:p w14:paraId="0D89A60D" w14:textId="2C272492" w:rsidR="006A3114" w:rsidRPr="007C3305" w:rsidRDefault="006A3114" w:rsidP="006A3114">
      <w:pPr>
        <w:spacing w:after="0"/>
        <w:ind w:firstLine="0"/>
        <w:jc w:val="center"/>
        <w:rPr>
          <w:bCs/>
          <w:lang w:val="es-CO"/>
        </w:rPr>
      </w:pPr>
      <w:r w:rsidRPr="007C3305">
        <w:rPr>
          <w:bCs/>
          <w:lang w:val="es-CO"/>
        </w:rPr>
        <w:t>Diego</w:t>
      </w:r>
      <w:r w:rsidR="00C154EB">
        <w:rPr>
          <w:bCs/>
          <w:lang w:val="es-CO"/>
        </w:rPr>
        <w:t xml:space="preserve"> Jesus</w:t>
      </w:r>
      <w:r w:rsidRPr="007C3305">
        <w:rPr>
          <w:bCs/>
          <w:lang w:val="es-CO"/>
        </w:rPr>
        <w:t xml:space="preserve"> Servan Julca</w:t>
      </w:r>
    </w:p>
    <w:p w14:paraId="14795E54" w14:textId="699818B6" w:rsidR="00D140AF" w:rsidRPr="00D45860" w:rsidRDefault="0E4174C5" w:rsidP="00B52407">
      <w:pPr>
        <w:spacing w:after="0"/>
        <w:ind w:firstLine="0"/>
        <w:jc w:val="center"/>
        <w:rPr>
          <w:lang w:val="en-CA"/>
        </w:rPr>
      </w:pPr>
      <w:r w:rsidRPr="00D45860">
        <w:rPr>
          <w:lang w:val="en-CA"/>
        </w:rPr>
        <w:t>Juan Jose Vargas Gomez</w:t>
      </w:r>
    </w:p>
    <w:p w14:paraId="242E8EAA" w14:textId="77777777" w:rsidR="00830815" w:rsidRPr="00D45860" w:rsidRDefault="00830815" w:rsidP="00B52407">
      <w:pPr>
        <w:spacing w:after="0"/>
        <w:ind w:firstLine="0"/>
        <w:jc w:val="center"/>
        <w:rPr>
          <w:lang w:val="en-CA"/>
        </w:rPr>
      </w:pPr>
    </w:p>
    <w:p w14:paraId="53DBA706" w14:textId="77777777" w:rsidR="00B52407" w:rsidRPr="00D45860" w:rsidRDefault="00B52407" w:rsidP="00B52407">
      <w:pPr>
        <w:spacing w:after="0"/>
        <w:ind w:firstLine="0"/>
        <w:jc w:val="center"/>
        <w:rPr>
          <w:lang w:val="en-CA"/>
        </w:rPr>
      </w:pPr>
    </w:p>
    <w:p w14:paraId="7BDD2388" w14:textId="77777777" w:rsidR="00927A86" w:rsidRPr="00D45860" w:rsidRDefault="00927A86" w:rsidP="00B52407">
      <w:pPr>
        <w:spacing w:after="0"/>
        <w:ind w:firstLine="0"/>
        <w:jc w:val="center"/>
        <w:rPr>
          <w:lang w:val="en-CA"/>
        </w:rPr>
      </w:pPr>
    </w:p>
    <w:p w14:paraId="09D4796D" w14:textId="77777777" w:rsidR="00927A86" w:rsidRPr="00D45860" w:rsidRDefault="00927A86" w:rsidP="00B52407">
      <w:pPr>
        <w:spacing w:after="0"/>
        <w:ind w:firstLine="0"/>
        <w:jc w:val="center"/>
        <w:rPr>
          <w:lang w:val="en-CA"/>
        </w:rPr>
      </w:pPr>
    </w:p>
    <w:p w14:paraId="18B157FC" w14:textId="77777777" w:rsidR="00C46F66" w:rsidRPr="00D45860" w:rsidRDefault="00C46F66" w:rsidP="00B52407">
      <w:pPr>
        <w:spacing w:after="0"/>
        <w:ind w:firstLine="0"/>
        <w:jc w:val="center"/>
        <w:rPr>
          <w:lang w:val="en-CA"/>
        </w:rPr>
      </w:pPr>
    </w:p>
    <w:p w14:paraId="53082BC3" w14:textId="533AFFC3" w:rsidR="00D140AF" w:rsidRPr="00576E30" w:rsidRDefault="00B00830" w:rsidP="00B52407">
      <w:pPr>
        <w:spacing w:after="0"/>
        <w:ind w:firstLine="0"/>
        <w:jc w:val="center"/>
        <w:rPr>
          <w:lang w:val="en-CA"/>
        </w:rPr>
      </w:pPr>
      <w:r w:rsidRPr="00576E30">
        <w:rPr>
          <w:lang w:val="en-CA"/>
        </w:rPr>
        <w:t>University of Niagara Falls Canada</w:t>
      </w:r>
    </w:p>
    <w:p w14:paraId="459ECE2A" w14:textId="398E644A" w:rsidR="1B6540D9" w:rsidRPr="00576E30" w:rsidRDefault="1B6540D9" w:rsidP="00B52407">
      <w:pPr>
        <w:spacing w:after="0"/>
        <w:ind w:firstLine="0"/>
        <w:jc w:val="center"/>
        <w:rPr>
          <w:lang w:val="en-CA"/>
        </w:rPr>
      </w:pPr>
      <w:r w:rsidRPr="00576E30">
        <w:rPr>
          <w:lang w:val="en-CA"/>
        </w:rPr>
        <w:t>Master of Data Analytics (MDA)</w:t>
      </w:r>
    </w:p>
    <w:p w14:paraId="61983F0D" w14:textId="71DE695B" w:rsidR="65FB7615" w:rsidRPr="00576E30" w:rsidRDefault="006A3114" w:rsidP="00B52407">
      <w:pPr>
        <w:spacing w:after="0"/>
        <w:ind w:firstLine="0"/>
        <w:jc w:val="center"/>
        <w:rPr>
          <w:lang w:val="en-CA"/>
        </w:rPr>
      </w:pPr>
      <w:r w:rsidRPr="00576E30">
        <w:rPr>
          <w:lang w:val="en-CA"/>
        </w:rPr>
        <w:t>Winter 2026 Capstone Project (DAMO – 699 - 1</w:t>
      </w:r>
      <w:r w:rsidR="65FB7615" w:rsidRPr="00576E30">
        <w:rPr>
          <w:lang w:val="en-CA"/>
        </w:rPr>
        <w:t>)</w:t>
      </w:r>
    </w:p>
    <w:p w14:paraId="3448F515" w14:textId="642AB021" w:rsidR="00830815" w:rsidRPr="00576E30" w:rsidRDefault="00830815" w:rsidP="00B52407">
      <w:pPr>
        <w:spacing w:after="0"/>
        <w:ind w:firstLine="0"/>
        <w:jc w:val="center"/>
        <w:rPr>
          <w:lang w:val="en-CA"/>
        </w:rPr>
      </w:pPr>
      <w:r w:rsidRPr="00576E30">
        <w:rPr>
          <w:lang w:val="en-CA"/>
        </w:rPr>
        <w:t xml:space="preserve">Professor: </w:t>
      </w:r>
      <w:r w:rsidR="006A3114" w:rsidRPr="00576E30">
        <w:rPr>
          <w:lang w:val="en-CA"/>
        </w:rPr>
        <w:t>Patty Zakaria</w:t>
      </w:r>
    </w:p>
    <w:p w14:paraId="61D118BD" w14:textId="3E05E35B" w:rsidR="00D140AF" w:rsidRPr="00576E30" w:rsidRDefault="006A3114" w:rsidP="00B52407">
      <w:pPr>
        <w:spacing w:after="0"/>
        <w:ind w:firstLine="0"/>
        <w:jc w:val="center"/>
        <w:rPr>
          <w:lang w:val="en-CA"/>
        </w:rPr>
      </w:pPr>
      <w:r w:rsidRPr="00576E30">
        <w:rPr>
          <w:lang w:val="en-CA"/>
        </w:rPr>
        <w:t>Jan 21</w:t>
      </w:r>
      <w:r w:rsidR="009169D7" w:rsidRPr="00576E30">
        <w:rPr>
          <w:lang w:val="en-CA"/>
        </w:rPr>
        <w:t xml:space="preserve">, </w:t>
      </w:r>
      <w:r w:rsidR="00B00830" w:rsidRPr="00576E30">
        <w:rPr>
          <w:lang w:val="en-CA"/>
        </w:rPr>
        <w:t>202</w:t>
      </w:r>
      <w:r w:rsidRPr="00576E30">
        <w:rPr>
          <w:lang w:val="en-CA"/>
        </w:rPr>
        <w:t>6</w:t>
      </w:r>
    </w:p>
    <w:p w14:paraId="02C21A7F" w14:textId="37B4223B" w:rsidR="006A3114" w:rsidRPr="00576E30" w:rsidRDefault="006A3114" w:rsidP="006A3114">
      <w:pPr>
        <w:pStyle w:val="Heading1"/>
        <w:rPr>
          <w:rFonts w:cs="Times New Roman"/>
          <w:lang w:val="en-CA"/>
        </w:rPr>
      </w:pPr>
      <w:r w:rsidRPr="00576E30">
        <w:rPr>
          <w:rFonts w:cs="Times New Roman"/>
          <w:lang w:val="en-CA"/>
        </w:rPr>
        <w:lastRenderedPageBreak/>
        <w:t>Title of Capstone Project</w:t>
      </w:r>
    </w:p>
    <w:p w14:paraId="0093FC10" w14:textId="35BDAE65" w:rsidR="00106054" w:rsidRPr="00576E30" w:rsidRDefault="00D56D15" w:rsidP="00106054">
      <w:pPr>
        <w:spacing w:after="0"/>
        <w:rPr>
          <w:lang w:val="en-CA"/>
        </w:rPr>
      </w:pPr>
      <w:r w:rsidRPr="00D56D15">
        <w:rPr>
          <w:lang w:val="en-CA"/>
        </w:rPr>
        <w:t>U.S. Public Bus Ridership After COVID-19 (2016–2024): Structural Breaks in Key Predictors Across 48 States</w:t>
      </w:r>
      <w:r>
        <w:rPr>
          <w:lang w:val="en-CA"/>
        </w:rPr>
        <w:t xml:space="preserve">. </w:t>
      </w:r>
      <w:r w:rsidRPr="00D56D15">
        <w:rPr>
          <w:lang w:val="en-CA"/>
        </w:rPr>
        <w:t>–</w:t>
      </w:r>
      <w:r>
        <w:rPr>
          <w:lang w:val="en-CA"/>
        </w:rPr>
        <w:t xml:space="preserve"> </w:t>
      </w:r>
      <w:r w:rsidRPr="00D56D15">
        <w:rPr>
          <w:lang w:val="en-CA"/>
        </w:rPr>
        <w:t>—</w:t>
      </w:r>
    </w:p>
    <w:p w14:paraId="2730B48F" w14:textId="69D745BA" w:rsidR="00B52407" w:rsidRPr="00576E30" w:rsidRDefault="006A3114" w:rsidP="005E0F24">
      <w:pPr>
        <w:pStyle w:val="Heading1"/>
        <w:rPr>
          <w:rFonts w:cs="Times New Roman"/>
          <w:lang w:val="en-CA"/>
        </w:rPr>
      </w:pPr>
      <w:r w:rsidRPr="00576E30">
        <w:rPr>
          <w:rFonts w:cs="Times New Roman"/>
          <w:lang w:val="en-CA"/>
        </w:rPr>
        <w:t>Project Idea</w:t>
      </w:r>
    </w:p>
    <w:p w14:paraId="11E60B26" w14:textId="5E90A8CC" w:rsidR="00D56D15" w:rsidRPr="00D56D15" w:rsidRDefault="00D56D15" w:rsidP="00D56D15">
      <w:pPr>
        <w:spacing w:after="0"/>
        <w:rPr>
          <w:lang w:val="en-CA"/>
        </w:rPr>
      </w:pPr>
      <w:r w:rsidRPr="00D56D15">
        <w:rPr>
          <w:lang w:val="en-CA"/>
        </w:rPr>
        <w:t>This project examines whether COVID-19 produced structural changes in the determinants of public bus ridership in the United States using monthly state-level panel data from 2016</w:t>
      </w:r>
      <w:r>
        <w:rPr>
          <w:lang w:val="en-CA"/>
        </w:rPr>
        <w:t>-</w:t>
      </w:r>
      <w:r w:rsidRPr="00D56D15">
        <w:rPr>
          <w:lang w:val="en-CA"/>
        </w:rPr>
        <w:t>2024. Rather than treating the pandemic as a one-time shock, the study tests whether the relationships between ridership and key predictors shifted across distinct time regimes: a pre-COVID period (2016</w:t>
      </w:r>
      <w:r>
        <w:rPr>
          <w:lang w:val="en-CA"/>
        </w:rPr>
        <w:t>-</w:t>
      </w:r>
      <w:r w:rsidRPr="00D56D15">
        <w:rPr>
          <w:lang w:val="en-CA"/>
        </w:rPr>
        <w:t>2019), a COVID emergency period (April 2020</w:t>
      </w:r>
      <w:r>
        <w:rPr>
          <w:lang w:val="en-CA"/>
        </w:rPr>
        <w:t>-</w:t>
      </w:r>
      <w:r w:rsidRPr="00D56D15">
        <w:rPr>
          <w:lang w:val="en-CA"/>
        </w:rPr>
        <w:t>June 2023), and a post-emergency period (July 2023</w:t>
      </w:r>
      <w:r>
        <w:rPr>
          <w:lang w:val="en-CA"/>
        </w:rPr>
        <w:t>-</w:t>
      </w:r>
      <w:r w:rsidRPr="00D56D15">
        <w:rPr>
          <w:lang w:val="en-CA"/>
        </w:rPr>
        <w:t>2024). The final dataset includes 48 U.S. states observed over time (excluding jurisdictions with incomplete or non-comparable coverage such as Washington, D.C. and U.S. territories, as well as two states with missing data).</w:t>
      </w:r>
    </w:p>
    <w:p w14:paraId="43ACD2A9" w14:textId="69CB408A" w:rsidR="001D2213" w:rsidRPr="00576E30" w:rsidRDefault="00D56D15" w:rsidP="00D56D15">
      <w:pPr>
        <w:spacing w:after="0"/>
        <w:rPr>
          <w:lang w:val="en-CA"/>
        </w:rPr>
      </w:pPr>
      <w:r w:rsidRPr="00D56D15">
        <w:rPr>
          <w:lang w:val="en-CA"/>
        </w:rPr>
        <w:t>The analysis focuses on whether key economic and contextual drivers—</w:t>
      </w:r>
      <w:r>
        <w:rPr>
          <w:lang w:val="en-CA"/>
        </w:rPr>
        <w:t xml:space="preserve"> </w:t>
      </w:r>
      <w:r w:rsidRPr="00D56D15">
        <w:rPr>
          <w:lang w:val="en-CA"/>
        </w:rPr>
        <w:t>such as economic activity (GDP), unemployment, service supply (vehicle revenue miles), restriction intensity (stringency index during 2020</w:t>
      </w:r>
      <w:r>
        <w:rPr>
          <w:lang w:val="en-CA"/>
        </w:rPr>
        <w:t>-</w:t>
      </w:r>
      <w:r w:rsidRPr="00D56D15">
        <w:rPr>
          <w:lang w:val="en-CA"/>
        </w:rPr>
        <w:t>2022), and political context (red vs blue classification)—</w:t>
      </w:r>
      <w:r>
        <w:rPr>
          <w:lang w:val="en-CA"/>
        </w:rPr>
        <w:t xml:space="preserve"> </w:t>
      </w:r>
      <w:r w:rsidRPr="00D56D15">
        <w:rPr>
          <w:lang w:val="en-CA"/>
        </w:rPr>
        <w:t>exhibit regime-dependent effects on ridership. The study uses a state</w:t>
      </w:r>
      <w:r>
        <w:rPr>
          <w:lang w:val="en-CA"/>
        </w:rPr>
        <w:t>-</w:t>
      </w:r>
      <w:r w:rsidRPr="00D56D15">
        <w:rPr>
          <w:lang w:val="en-CA"/>
        </w:rPr>
        <w:t>month structure to capture heterogeneity across states and to support fixed-effects modeling that controls for persistent differences in geography, baseline transit dependence, and institutional context. The results aim to inform evidence-based transit planning by clarifying whether pre-pandemic ridership relationships remain reliable for decision-making, or whether a new post-COVID regime has reshaped demand dynamics.</w:t>
      </w:r>
    </w:p>
    <w:p w14:paraId="3634B4A7" w14:textId="34BFA69A" w:rsidR="6CAF6221" w:rsidRPr="00576E30" w:rsidRDefault="006A3114" w:rsidP="005E0F24">
      <w:pPr>
        <w:pStyle w:val="Heading1"/>
        <w:rPr>
          <w:rFonts w:cs="Times New Roman"/>
          <w:lang w:val="en-CA"/>
        </w:rPr>
      </w:pPr>
      <w:r w:rsidRPr="00576E30">
        <w:rPr>
          <w:rFonts w:cs="Times New Roman"/>
          <w:lang w:val="en-CA"/>
        </w:rPr>
        <w:t>Problem Identification</w:t>
      </w:r>
    </w:p>
    <w:p w14:paraId="0BDDBE60" w14:textId="77777777" w:rsidR="00D56D15" w:rsidRDefault="00D56D15" w:rsidP="00D56D15">
      <w:pPr>
        <w:spacing w:after="0"/>
        <w:rPr>
          <w:lang w:eastAsia="en-CA"/>
        </w:rPr>
      </w:pPr>
      <w:r>
        <w:rPr>
          <w:lang w:eastAsia="en-CA"/>
        </w:rPr>
        <w:t xml:space="preserve">COVID-19 caused a major disruption to public transit ridership, but the more difficult challenge for agencies is that the relationships that used to explain and predict ridership may </w:t>
      </w:r>
      <w:r>
        <w:rPr>
          <w:lang w:eastAsia="en-CA"/>
        </w:rPr>
        <w:lastRenderedPageBreak/>
        <w:t>have changed. Transit systems were affected not only by the initial shock (lockdowns and restrictions) but also by longer-run shifts in commuting patterns, service adjustments, and macroeconomic conditions. Decision-makers therefore need evidence on whether ridership is still governed by the same economic and service drivers as before, or whether COVID introduced a new regime in which the sensitivity of ridership to key predictors shifted across time.</w:t>
      </w:r>
    </w:p>
    <w:p w14:paraId="54DD135C" w14:textId="77777777" w:rsidR="00D56D15" w:rsidRDefault="00D56D15" w:rsidP="00D56D15">
      <w:pPr>
        <w:spacing w:after="0"/>
        <w:rPr>
          <w:lang w:eastAsia="en-CA"/>
        </w:rPr>
      </w:pPr>
    </w:p>
    <w:p w14:paraId="05B5B923" w14:textId="470D8107" w:rsidR="001D2213" w:rsidRPr="00576E30" w:rsidRDefault="00D56D15" w:rsidP="00D56D15">
      <w:pPr>
        <w:spacing w:after="0"/>
        <w:rPr>
          <w:lang w:val="en-CA"/>
        </w:rPr>
      </w:pPr>
      <w:r>
        <w:rPr>
          <w:lang w:eastAsia="en-CA"/>
        </w:rPr>
        <w:t>Without a rigorous, data-driven assessment of these structural changes, transit planning can become reactive—misaligning service supply decisions, staffing, and funding priorities with actual demand conditions. This matters to multiple stakeholders. Transit agencies and municipal/regional planners require evidence to set service levels and allocate resources efficiently. Governments and funding bodies must justify subsidies and long-term investments when ridership behavior is unstable. Communities and riders are directly affected because service reductions can limit access to jobs and essential services, disproportionately impacting lower-income populations who rely on public transit. By quantifying regime-dependent relationships between ridership and measurable drivers across 48 U.S. states using monthly panel data, this project supports more resilient, evidence-based strategies for transit adaptation after COVID-19.</w:t>
      </w:r>
    </w:p>
    <w:p w14:paraId="31F14A4C" w14:textId="66BD1CD4" w:rsidR="007069AD" w:rsidRPr="00576E30" w:rsidRDefault="00704A14" w:rsidP="005E0F24">
      <w:pPr>
        <w:pStyle w:val="Heading1"/>
        <w:rPr>
          <w:rFonts w:cs="Times New Roman"/>
          <w:lang w:val="en-CA"/>
        </w:rPr>
      </w:pPr>
      <w:r w:rsidRPr="00576E30">
        <w:rPr>
          <w:rFonts w:cs="Times New Roman"/>
          <w:lang w:val="en-CA"/>
        </w:rPr>
        <w:t>Aim of Investigation</w:t>
      </w:r>
    </w:p>
    <w:p w14:paraId="155B969E" w14:textId="77777777" w:rsidR="00106054" w:rsidRDefault="00106054" w:rsidP="00106054">
      <w:pPr>
        <w:spacing w:after="0"/>
        <w:ind w:firstLine="0"/>
        <w:rPr>
          <w:lang w:val="en-CA"/>
        </w:rPr>
      </w:pPr>
      <w:r w:rsidRPr="00106054">
        <w:rPr>
          <w:b/>
          <w:bCs/>
          <w:lang w:val="en-CA"/>
        </w:rPr>
        <w:t>Primary Objective:</w:t>
      </w:r>
      <w:r w:rsidRPr="00106054">
        <w:rPr>
          <w:lang w:val="en-CA"/>
        </w:rPr>
        <w:t xml:space="preserve"> </w:t>
      </w:r>
    </w:p>
    <w:p w14:paraId="2A2B8192" w14:textId="273BE2D4" w:rsidR="00106054" w:rsidRDefault="00DA6950" w:rsidP="00106054">
      <w:pPr>
        <w:spacing w:after="0"/>
        <w:rPr>
          <w:lang w:val="en-CA"/>
        </w:rPr>
      </w:pPr>
      <w:r w:rsidRPr="00DA6950">
        <w:rPr>
          <w:lang w:val="en-CA"/>
        </w:rPr>
        <w:t>To test whether the COVID-19 emergency produced structural changes in the relationships between key predictors and U.S. public bus ridership across states, using monthly state-level panel data from 2016–2024 and a pre-COVID vs COVID-emergency vs post-emergency modeling framework</w:t>
      </w:r>
      <w:r w:rsidR="00CA296B" w:rsidRPr="00CA296B">
        <w:rPr>
          <w:lang w:val="en-CA"/>
        </w:rPr>
        <w:t>.</w:t>
      </w:r>
    </w:p>
    <w:p w14:paraId="63B45B2F" w14:textId="2B9B123D" w:rsidR="00106054" w:rsidRDefault="00106054" w:rsidP="00106054">
      <w:pPr>
        <w:spacing w:after="0"/>
        <w:ind w:firstLine="0"/>
        <w:rPr>
          <w:b/>
          <w:bCs/>
          <w:lang w:val="en-CA"/>
        </w:rPr>
      </w:pPr>
      <w:r w:rsidRPr="00106054">
        <w:rPr>
          <w:b/>
          <w:bCs/>
          <w:lang w:val="en-CA"/>
        </w:rPr>
        <w:t>Research Questions</w:t>
      </w:r>
      <w:r>
        <w:rPr>
          <w:b/>
          <w:bCs/>
          <w:lang w:val="en-CA"/>
        </w:rPr>
        <w:t>:</w:t>
      </w:r>
    </w:p>
    <w:p w14:paraId="43321B34" w14:textId="6CAE9850" w:rsidR="00106054" w:rsidRPr="00654EF3" w:rsidRDefault="00DA6950" w:rsidP="00654EF3">
      <w:pPr>
        <w:spacing w:after="0"/>
        <w:rPr>
          <w:lang w:val="en-CA"/>
        </w:rPr>
      </w:pPr>
      <w:r w:rsidRPr="00DA6950">
        <w:rPr>
          <w:lang w:val="en-CA"/>
        </w:rPr>
        <w:lastRenderedPageBreak/>
        <w:t>Did the COVID-19 emergency create a structural break in the determinants of U.S. public bus ridership, such that the effects of key economic, policy, service, and political-context predictors differ between the pre-COVID period (2016–2019), the COVID emergency period (Apr 2020–Jun 2023), and the post-emergency period (Jul 2023–2024) across U.S. states?</w:t>
      </w:r>
    </w:p>
    <w:p w14:paraId="509BC092" w14:textId="75ADF487" w:rsidR="00576E30" w:rsidRPr="00106054" w:rsidRDefault="00704A14" w:rsidP="00106054">
      <w:pPr>
        <w:pStyle w:val="Heading2"/>
        <w:rPr>
          <w:rFonts w:cs="Times New Roman"/>
          <w:lang w:val="en-CA"/>
        </w:rPr>
      </w:pPr>
      <w:r w:rsidRPr="00576E30">
        <w:rPr>
          <w:rFonts w:cs="Times New Roman"/>
          <w:lang w:val="en-CA"/>
        </w:rPr>
        <w:t>Hypotheses</w:t>
      </w:r>
    </w:p>
    <w:p w14:paraId="5963F3D2" w14:textId="5717D42C" w:rsidR="00410E44" w:rsidRPr="00654EF3" w:rsidRDefault="00410E44" w:rsidP="00654EF3">
      <w:pPr>
        <w:ind w:firstLine="0"/>
        <w:rPr>
          <w:b/>
          <w:bCs/>
          <w:i/>
          <w:iCs/>
          <w:lang w:val="en-CA"/>
        </w:rPr>
      </w:pPr>
      <w:r w:rsidRPr="00410E44">
        <w:rPr>
          <w:b/>
          <w:bCs/>
          <w:i/>
          <w:iCs/>
          <w:lang w:val="en-CA"/>
        </w:rPr>
        <w:t xml:space="preserve">H1 </w:t>
      </w:r>
      <w:r w:rsidR="00654EF3" w:rsidRPr="00654EF3">
        <w:rPr>
          <w:b/>
          <w:bCs/>
          <w:i/>
          <w:iCs/>
          <w:lang w:val="en-CA"/>
        </w:rPr>
        <w:t>-</w:t>
      </w:r>
      <w:r w:rsidRPr="00410E44">
        <w:rPr>
          <w:b/>
          <w:bCs/>
          <w:i/>
          <w:iCs/>
          <w:lang w:val="en-CA"/>
        </w:rPr>
        <w:t xml:space="preserve"> Economic activity sensitivity changed post-COVID</w:t>
      </w:r>
    </w:p>
    <w:p w14:paraId="70F03014" w14:textId="1155A068" w:rsidR="00654EF3" w:rsidRPr="00410E44" w:rsidRDefault="00DA6950" w:rsidP="00410E44">
      <w:pPr>
        <w:rPr>
          <w:lang w:val="en-CA"/>
        </w:rPr>
      </w:pPr>
      <w:r w:rsidRPr="00DA6950">
        <w:rPr>
          <w:lang w:val="en-CA"/>
        </w:rPr>
        <w:t>The relationship between economic activity and public bus ridership differs significantly across the pre-COVID, COVID emergency, and post-emergency periods, indicating a structural change</w:t>
      </w:r>
      <w:r w:rsidR="00654EF3" w:rsidRPr="00654EF3">
        <w:rPr>
          <w:lang w:val="en-CA"/>
        </w:rPr>
        <w:t>.</w:t>
      </w:r>
    </w:p>
    <w:p w14:paraId="690690E8" w14:textId="0BE589AA" w:rsidR="00410E44" w:rsidRDefault="00410E44" w:rsidP="00654EF3">
      <w:pPr>
        <w:ind w:firstLine="0"/>
        <w:rPr>
          <w:b/>
          <w:bCs/>
          <w:i/>
          <w:iCs/>
          <w:lang w:val="en-CA"/>
        </w:rPr>
      </w:pPr>
      <w:r w:rsidRPr="00410E44">
        <w:rPr>
          <w:b/>
          <w:bCs/>
          <w:i/>
          <w:iCs/>
          <w:lang w:val="en-CA"/>
        </w:rPr>
        <w:t xml:space="preserve">H2 </w:t>
      </w:r>
      <w:r w:rsidR="00C82B51">
        <w:rPr>
          <w:b/>
          <w:bCs/>
          <w:i/>
          <w:iCs/>
          <w:lang w:val="en-CA"/>
        </w:rPr>
        <w:t>-</w:t>
      </w:r>
      <w:r w:rsidRPr="00410E44">
        <w:rPr>
          <w:b/>
          <w:bCs/>
          <w:i/>
          <w:iCs/>
          <w:lang w:val="en-CA"/>
        </w:rPr>
        <w:t xml:space="preserve"> Unemployment sensitivity changed post-COVID</w:t>
      </w:r>
    </w:p>
    <w:p w14:paraId="12883F29" w14:textId="401EF06B" w:rsidR="00C82B51" w:rsidRPr="00410E44" w:rsidRDefault="00DA6950" w:rsidP="00C82B51">
      <w:pPr>
        <w:rPr>
          <w:lang w:val="en-CA"/>
        </w:rPr>
      </w:pPr>
      <w:r w:rsidRPr="00DA6950">
        <w:rPr>
          <w:lang w:val="en-CA"/>
        </w:rPr>
        <w:t>The ridership–unemployment relationship differs significantly across the pre-COVID, COVID emergency, and post-emergency periods, indicating a structural change</w:t>
      </w:r>
      <w:r w:rsidR="00A87E45" w:rsidRPr="00A87E45">
        <w:rPr>
          <w:lang w:val="en-CA"/>
        </w:rPr>
        <w:t>.</w:t>
      </w:r>
    </w:p>
    <w:p w14:paraId="45530DB9" w14:textId="3AC32B54" w:rsidR="00410E44" w:rsidRDefault="00410E44" w:rsidP="00654EF3">
      <w:pPr>
        <w:ind w:firstLine="0"/>
        <w:rPr>
          <w:b/>
          <w:bCs/>
          <w:i/>
          <w:iCs/>
          <w:lang w:val="en-CA"/>
        </w:rPr>
      </w:pPr>
      <w:r w:rsidRPr="00410E44">
        <w:rPr>
          <w:b/>
          <w:bCs/>
          <w:i/>
          <w:iCs/>
          <w:lang w:val="en-CA"/>
        </w:rPr>
        <w:t xml:space="preserve">H3 </w:t>
      </w:r>
      <w:r w:rsidR="00A87E45">
        <w:rPr>
          <w:b/>
          <w:bCs/>
          <w:i/>
          <w:iCs/>
          <w:lang w:val="en-CA"/>
        </w:rPr>
        <w:t>–</w:t>
      </w:r>
      <w:r w:rsidRPr="00410E44">
        <w:rPr>
          <w:b/>
          <w:bCs/>
          <w:i/>
          <w:iCs/>
          <w:lang w:val="en-CA"/>
        </w:rPr>
        <w:t xml:space="preserve"> </w:t>
      </w:r>
      <w:r w:rsidR="00DA6950">
        <w:rPr>
          <w:b/>
          <w:bCs/>
          <w:i/>
          <w:iCs/>
          <w:lang w:val="en-CA"/>
        </w:rPr>
        <w:t>C</w:t>
      </w:r>
      <w:r w:rsidR="00DA6950">
        <w:rPr>
          <w:b/>
          <w:bCs/>
          <w:i/>
          <w:iCs/>
          <w:lang w:val="en-CA"/>
        </w:rPr>
        <w:t>hange</w:t>
      </w:r>
      <w:r w:rsidR="00DA6950">
        <w:rPr>
          <w:b/>
          <w:bCs/>
          <w:i/>
          <w:iCs/>
          <w:lang w:val="en-CA"/>
        </w:rPr>
        <w:t xml:space="preserve"> in s</w:t>
      </w:r>
      <w:r w:rsidR="00A87E45">
        <w:rPr>
          <w:b/>
          <w:bCs/>
          <w:i/>
          <w:iCs/>
          <w:lang w:val="en-CA"/>
        </w:rPr>
        <w:t xml:space="preserve">ervice offer </w:t>
      </w:r>
    </w:p>
    <w:p w14:paraId="6FC2A1A9" w14:textId="2B07996A" w:rsidR="00410E44" w:rsidRPr="00DA6950" w:rsidRDefault="00DA6950" w:rsidP="00C82B51">
      <w:pPr>
        <w:rPr>
          <w:lang w:val="en-CA"/>
        </w:rPr>
      </w:pPr>
      <w:r w:rsidRPr="00DA6950">
        <w:rPr>
          <w:lang w:val="en-CA"/>
        </w:rPr>
        <w:t>The relationship between service supply (vehicle revenue miles) and public bus ridership differs significantly across the pre-COVID, COVID emergency, and post-emergency periods, indicating a structural change</w:t>
      </w:r>
      <w:r w:rsidR="00A87E45" w:rsidRPr="00DA6950">
        <w:rPr>
          <w:lang w:val="en-CA"/>
        </w:rPr>
        <w:t>.</w:t>
      </w:r>
    </w:p>
    <w:p w14:paraId="18C0B6C0" w14:textId="0113CA9A" w:rsidR="00410E44" w:rsidRPr="00410E44" w:rsidRDefault="00410E44" w:rsidP="00654EF3">
      <w:pPr>
        <w:ind w:firstLine="0"/>
        <w:rPr>
          <w:lang w:val="en-CA"/>
        </w:rPr>
      </w:pPr>
      <w:r w:rsidRPr="00410E44">
        <w:rPr>
          <w:b/>
          <w:bCs/>
          <w:i/>
          <w:iCs/>
          <w:lang w:val="en-CA"/>
        </w:rPr>
        <w:t xml:space="preserve">H4 </w:t>
      </w:r>
      <w:r w:rsidR="00C82B51">
        <w:rPr>
          <w:b/>
          <w:bCs/>
          <w:i/>
          <w:iCs/>
          <w:lang w:val="en-CA"/>
        </w:rPr>
        <w:t>-</w:t>
      </w:r>
      <w:r w:rsidRPr="00410E44">
        <w:rPr>
          <w:b/>
          <w:bCs/>
          <w:i/>
          <w:iCs/>
          <w:lang w:val="en-CA"/>
        </w:rPr>
        <w:t xml:space="preserve"> Restriction intensity (or mobility constraints) sensitivity changed post-</w:t>
      </w:r>
      <w:r w:rsidRPr="00410E44">
        <w:rPr>
          <w:b/>
          <w:bCs/>
          <w:lang w:val="en-CA"/>
        </w:rPr>
        <w:t>COVID</w:t>
      </w:r>
    </w:p>
    <w:p w14:paraId="3D17C9F3" w14:textId="0C8D866B" w:rsidR="00C82B51" w:rsidRPr="00C82B51" w:rsidRDefault="00DA6950" w:rsidP="00C82B51">
      <w:pPr>
        <w:rPr>
          <w:lang w:val="en-CA"/>
        </w:rPr>
      </w:pPr>
      <w:r w:rsidRPr="00DA6950">
        <w:rPr>
          <w:lang w:val="en-CA"/>
        </w:rPr>
        <w:t>During the COVID policy period (2020–2022), higher restriction intensity is associated with lower public bus ridership. This restriction–ridership relationship is specific to the period in which restriction intensity is measured and is expected to weaken or disappear outside that policy window</w:t>
      </w:r>
      <w:r w:rsidR="00C82B51" w:rsidRPr="00C82B51">
        <w:rPr>
          <w:lang w:val="en-CA"/>
        </w:rPr>
        <w:t>.</w:t>
      </w:r>
    </w:p>
    <w:p w14:paraId="56F3B59E" w14:textId="775F587A" w:rsidR="00C82B51" w:rsidRDefault="00410E44" w:rsidP="00C82B51">
      <w:pPr>
        <w:rPr>
          <w:lang w:val="en-CA"/>
        </w:rPr>
      </w:pPr>
      <w:r w:rsidRPr="00410E44">
        <w:rPr>
          <w:b/>
          <w:bCs/>
          <w:i/>
          <w:iCs/>
          <w:lang w:val="en-CA"/>
        </w:rPr>
        <w:lastRenderedPageBreak/>
        <w:t>H</w:t>
      </w:r>
      <w:r w:rsidR="00A87E45">
        <w:rPr>
          <w:b/>
          <w:bCs/>
          <w:i/>
          <w:iCs/>
          <w:lang w:val="en-CA"/>
        </w:rPr>
        <w:t>5</w:t>
      </w:r>
      <w:r w:rsidRPr="00410E44">
        <w:rPr>
          <w:b/>
          <w:bCs/>
          <w:i/>
          <w:iCs/>
          <w:lang w:val="en-CA"/>
        </w:rPr>
        <w:t xml:space="preserve"> </w:t>
      </w:r>
      <w:r w:rsidR="00C82B51">
        <w:rPr>
          <w:b/>
          <w:bCs/>
          <w:i/>
          <w:iCs/>
          <w:lang w:val="en-CA"/>
        </w:rPr>
        <w:t>-</w:t>
      </w:r>
      <w:r w:rsidRPr="00410E44">
        <w:rPr>
          <w:b/>
          <w:bCs/>
          <w:i/>
          <w:iCs/>
          <w:lang w:val="en-CA"/>
        </w:rPr>
        <w:t xml:space="preserve"> Political moderation (Red/Blue) of post-COVID dynamics</w:t>
      </w:r>
      <w:r w:rsidRPr="00410E44">
        <w:rPr>
          <w:b/>
          <w:bCs/>
          <w:i/>
          <w:iCs/>
          <w:lang w:val="en-CA"/>
        </w:rPr>
        <w:br/>
      </w:r>
      <w:r w:rsidR="00DA6950" w:rsidRPr="00DA6950">
        <w:rPr>
          <w:lang w:val="en-CA"/>
        </w:rPr>
        <w:t>The structural change in ridership determinants differs systematically between politically red and blue states across the pre-COVID, COVID emergency, and post-emergency periods</w:t>
      </w:r>
      <w:r w:rsidR="00A87E45" w:rsidRPr="00A87E45">
        <w:rPr>
          <w:lang w:val="en-CA"/>
        </w:rPr>
        <w:t>.</w:t>
      </w:r>
    </w:p>
    <w:p w14:paraId="668C3531" w14:textId="77777777" w:rsidR="00410E44" w:rsidRPr="00576E30" w:rsidRDefault="00410E44" w:rsidP="00147975">
      <w:pPr>
        <w:rPr>
          <w:lang w:val="en-CA"/>
        </w:rPr>
      </w:pPr>
    </w:p>
    <w:p w14:paraId="3BE99FEE" w14:textId="53A87A61" w:rsidR="001249F3" w:rsidRDefault="001249F3" w:rsidP="001249F3">
      <w:pPr>
        <w:pStyle w:val="Heading1"/>
        <w:rPr>
          <w:rFonts w:cs="Times New Roman"/>
          <w:lang w:val="en-CA"/>
        </w:rPr>
      </w:pPr>
      <w:r w:rsidRPr="001249F3">
        <w:rPr>
          <w:rFonts w:cs="Times New Roman"/>
          <w:lang w:val="en-CA"/>
        </w:rPr>
        <w:t>Methods and Justification Aligned to Each Hypothesis</w:t>
      </w:r>
    </w:p>
    <w:p w14:paraId="41F3A769" w14:textId="5E7CE05B" w:rsidR="0061136C" w:rsidRPr="0061136C" w:rsidRDefault="0061136C" w:rsidP="0061136C">
      <w:pPr>
        <w:ind w:firstLine="0"/>
        <w:rPr>
          <w:b/>
          <w:bCs/>
          <w:lang w:val="en-CA"/>
        </w:rPr>
      </w:pPr>
      <w:r w:rsidRPr="0061136C">
        <w:rPr>
          <w:b/>
          <w:bCs/>
          <w:lang w:val="en-CA"/>
        </w:rPr>
        <w:t>Panel Structure and Unit of Analysis</w:t>
      </w:r>
      <w:r>
        <w:rPr>
          <w:b/>
          <w:bCs/>
          <w:lang w:val="en-CA"/>
        </w:rPr>
        <w:t>:</w:t>
      </w:r>
    </w:p>
    <w:p w14:paraId="77E6E2B9" w14:textId="314DCB49" w:rsidR="0061136C" w:rsidRPr="0061136C" w:rsidRDefault="0061136C" w:rsidP="0061136C">
      <w:pPr>
        <w:rPr>
          <w:lang w:val="en-CA"/>
        </w:rPr>
      </w:pPr>
      <w:r w:rsidRPr="0061136C">
        <w:rPr>
          <w:lang w:val="en-CA"/>
        </w:rPr>
        <w:t xml:space="preserve">This study uses a monthly state-level panel dataset to examine regime-dependent changes in U.S. public bus ridership. The unit of analysis is the state–month (state </w:t>
      </w:r>
      <w:r>
        <w:rPr>
          <w:lang w:val="en-CA"/>
        </w:rPr>
        <w:t>x</w:t>
      </w:r>
      <w:r w:rsidRPr="0061136C">
        <w:rPr>
          <w:lang w:val="en-CA"/>
        </w:rPr>
        <w:t xml:space="preserve"> year </w:t>
      </w:r>
      <w:r>
        <w:rPr>
          <w:lang w:val="en-CA"/>
        </w:rPr>
        <w:t>x</w:t>
      </w:r>
      <w:r w:rsidRPr="0061136C">
        <w:rPr>
          <w:lang w:val="en-CA"/>
        </w:rPr>
        <w:t xml:space="preserve"> month). The final analytical sample includes 48 U.S. states with consistent monthly coverage for the dependent variable and core predictors. Jurisdictions that are not comparable to state reporting or that exhibit incomplete coverage (e.g., Washington, D.C. and </w:t>
      </w:r>
      <w:r>
        <w:rPr>
          <w:lang w:val="en-CA"/>
        </w:rPr>
        <w:t xml:space="preserve">other </w:t>
      </w:r>
      <w:r w:rsidRPr="0061136C">
        <w:rPr>
          <w:lang w:val="en-CA"/>
        </w:rPr>
        <w:t>U.S. territories) are excluded, as well as two states with incomplete merged series</w:t>
      </w:r>
      <w:r>
        <w:rPr>
          <w:lang w:val="en-CA"/>
        </w:rPr>
        <w:t xml:space="preserve"> (</w:t>
      </w:r>
      <w:r w:rsidRPr="0061136C">
        <w:rPr>
          <w:lang w:val="en-CA"/>
        </w:rPr>
        <w:t>Wyoming and Idaho</w:t>
      </w:r>
      <w:r>
        <w:rPr>
          <w:lang w:val="en-CA"/>
        </w:rPr>
        <w:t>)</w:t>
      </w:r>
      <w:r w:rsidRPr="0061136C">
        <w:rPr>
          <w:lang w:val="en-CA"/>
        </w:rPr>
        <w:t>. The study period used for the core analysis is 2016</w:t>
      </w:r>
      <w:r>
        <w:rPr>
          <w:lang w:val="en-CA"/>
        </w:rPr>
        <w:t>-</w:t>
      </w:r>
      <w:r w:rsidRPr="0061136C">
        <w:rPr>
          <w:lang w:val="en-CA"/>
        </w:rPr>
        <w:t>2024, which provides a stable pre-pandemic baseline and sufficient coverage to evaluate emergency and post-emergency dynamics.</w:t>
      </w:r>
    </w:p>
    <w:p w14:paraId="395A2D85" w14:textId="19DB55FE" w:rsidR="0061136C" w:rsidRPr="0061136C" w:rsidRDefault="0061136C" w:rsidP="0061136C">
      <w:pPr>
        <w:ind w:firstLine="0"/>
        <w:rPr>
          <w:b/>
          <w:bCs/>
          <w:lang w:val="en-CA"/>
        </w:rPr>
      </w:pPr>
      <w:r w:rsidRPr="0061136C">
        <w:rPr>
          <w:b/>
          <w:bCs/>
          <w:lang w:val="en-CA"/>
        </w:rPr>
        <w:t>Outcome and Predictor Variables</w:t>
      </w:r>
      <w:r>
        <w:rPr>
          <w:b/>
          <w:bCs/>
          <w:lang w:val="en-CA"/>
        </w:rPr>
        <w:t>:</w:t>
      </w:r>
    </w:p>
    <w:p w14:paraId="7EDD6DCA" w14:textId="0E7EB9F5" w:rsidR="0061136C" w:rsidRPr="0061136C" w:rsidRDefault="0061136C" w:rsidP="0061136C">
      <w:pPr>
        <w:rPr>
          <w:lang w:val="en-CA"/>
        </w:rPr>
      </w:pPr>
      <w:r w:rsidRPr="0061136C">
        <w:rPr>
          <w:lang w:val="en-CA"/>
        </w:rPr>
        <w:t>The dependent variable is monthly bus ridership (UPT). The predictor set is organized into four conceptual groups aligned with the project objective:</w:t>
      </w:r>
    </w:p>
    <w:p w14:paraId="4EC32E5C" w14:textId="4F4CE027" w:rsidR="0061136C" w:rsidRPr="0061136C" w:rsidRDefault="0061136C" w:rsidP="0061136C">
      <w:pPr>
        <w:pStyle w:val="ListParagraph"/>
        <w:numPr>
          <w:ilvl w:val="0"/>
          <w:numId w:val="1"/>
        </w:numPr>
        <w:rPr>
          <w:lang w:val="en-CA"/>
        </w:rPr>
      </w:pPr>
      <w:r w:rsidRPr="0061136C">
        <w:rPr>
          <w:i/>
          <w:iCs/>
          <w:lang w:val="en-CA"/>
        </w:rPr>
        <w:t>Economic conditions</w:t>
      </w:r>
      <w:r w:rsidRPr="0061136C">
        <w:rPr>
          <w:lang w:val="en-CA"/>
        </w:rPr>
        <w:t>: economic activity (GDP) and labor-market conditions (unemployment rate).</w:t>
      </w:r>
    </w:p>
    <w:p w14:paraId="30D6573D" w14:textId="77777777" w:rsidR="0061136C" w:rsidRPr="0061136C" w:rsidRDefault="0061136C" w:rsidP="0061136C">
      <w:pPr>
        <w:pStyle w:val="ListParagraph"/>
        <w:numPr>
          <w:ilvl w:val="0"/>
          <w:numId w:val="1"/>
        </w:numPr>
        <w:rPr>
          <w:lang w:val="en-CA"/>
        </w:rPr>
      </w:pPr>
      <w:r w:rsidRPr="0061136C">
        <w:rPr>
          <w:i/>
          <w:iCs/>
          <w:lang w:val="en-CA"/>
        </w:rPr>
        <w:t>Service supply:</w:t>
      </w:r>
      <w:r w:rsidRPr="0061136C">
        <w:rPr>
          <w:lang w:val="en-CA"/>
        </w:rPr>
        <w:t xml:space="preserve"> vehicle revenue miles (VRM) as a measure of transit service provision.</w:t>
      </w:r>
    </w:p>
    <w:p w14:paraId="3496EE6F" w14:textId="77777777" w:rsidR="0061136C" w:rsidRPr="0061136C" w:rsidRDefault="0061136C" w:rsidP="0061136C">
      <w:pPr>
        <w:pStyle w:val="ListParagraph"/>
        <w:numPr>
          <w:ilvl w:val="0"/>
          <w:numId w:val="1"/>
        </w:numPr>
        <w:rPr>
          <w:lang w:val="en-CA"/>
        </w:rPr>
      </w:pPr>
      <w:r w:rsidRPr="0061136C">
        <w:rPr>
          <w:i/>
          <w:iCs/>
          <w:lang w:val="en-CA"/>
        </w:rPr>
        <w:lastRenderedPageBreak/>
        <w:t>COVID policy intensity</w:t>
      </w:r>
      <w:r w:rsidRPr="0061136C">
        <w:rPr>
          <w:lang w:val="en-CA"/>
        </w:rPr>
        <w:t>: restriction intensity (Stringency Index), which is available for the COVID policy window (2020–2022) and is used to represent the intensity of restrictions when measured.</w:t>
      </w:r>
    </w:p>
    <w:p w14:paraId="1C266C70" w14:textId="77777777" w:rsidR="0061136C" w:rsidRPr="0061136C" w:rsidRDefault="0061136C" w:rsidP="0061136C">
      <w:pPr>
        <w:pStyle w:val="ListParagraph"/>
        <w:numPr>
          <w:ilvl w:val="0"/>
          <w:numId w:val="1"/>
        </w:numPr>
        <w:rPr>
          <w:lang w:val="en-CA"/>
        </w:rPr>
      </w:pPr>
      <w:r w:rsidRPr="0061136C">
        <w:rPr>
          <w:i/>
          <w:iCs/>
          <w:lang w:val="en-CA"/>
        </w:rPr>
        <w:t>Political context:</w:t>
      </w:r>
      <w:r w:rsidRPr="0061136C">
        <w:rPr>
          <w:lang w:val="en-CA"/>
        </w:rPr>
        <w:t xml:space="preserve"> a red vs. blue classification, operationalized as a time-varying step function aligned to election cycles (e.g., election-year classifications carried forward to non-election years).</w:t>
      </w:r>
    </w:p>
    <w:p w14:paraId="13A83306" w14:textId="77777777" w:rsidR="0061136C" w:rsidRPr="0061136C" w:rsidRDefault="0061136C" w:rsidP="0061136C">
      <w:pPr>
        <w:ind w:firstLine="0"/>
        <w:rPr>
          <w:b/>
          <w:bCs/>
          <w:lang w:val="en-CA"/>
        </w:rPr>
      </w:pPr>
      <w:r w:rsidRPr="0061136C">
        <w:rPr>
          <w:b/>
          <w:bCs/>
          <w:lang w:val="en-CA"/>
        </w:rPr>
        <w:t>Regime Definitions and COVID Timing Convention</w:t>
      </w:r>
    </w:p>
    <w:p w14:paraId="1DA61D27" w14:textId="1013D51F" w:rsidR="0061136C" w:rsidRPr="0061136C" w:rsidRDefault="0061136C" w:rsidP="0061136C">
      <w:pPr>
        <w:rPr>
          <w:lang w:val="en-CA"/>
        </w:rPr>
      </w:pPr>
      <w:r w:rsidRPr="0061136C">
        <w:rPr>
          <w:lang w:val="en-CA"/>
        </w:rPr>
        <w:t xml:space="preserve">The primary objective is to test whether COVID produced structural changes in the relationships between ridership and its determinants. Accordingly, the analysis is organized around </w:t>
      </w:r>
      <w:r w:rsidRPr="0061136C">
        <w:rPr>
          <w:lang w:val="en-CA"/>
        </w:rPr>
        <w:t>three-time</w:t>
      </w:r>
      <w:r w:rsidRPr="0061136C">
        <w:rPr>
          <w:lang w:val="en-CA"/>
        </w:rPr>
        <w:t xml:space="preserve"> regimes that reflect distinct operating environments:</w:t>
      </w:r>
    </w:p>
    <w:p w14:paraId="435EE151" w14:textId="77777777" w:rsidR="0061136C" w:rsidRPr="0061136C" w:rsidRDefault="0061136C" w:rsidP="0061136C">
      <w:pPr>
        <w:pStyle w:val="ListParagraph"/>
        <w:numPr>
          <w:ilvl w:val="0"/>
          <w:numId w:val="2"/>
        </w:numPr>
        <w:rPr>
          <w:lang w:val="en-CA"/>
        </w:rPr>
      </w:pPr>
      <w:r w:rsidRPr="0061136C">
        <w:rPr>
          <w:i/>
          <w:iCs/>
          <w:lang w:val="en-CA"/>
        </w:rPr>
        <w:t>Pre-COVID period</w:t>
      </w:r>
      <w:r w:rsidRPr="0061136C">
        <w:rPr>
          <w:lang w:val="en-CA"/>
        </w:rPr>
        <w:t>: January 2016 – December 2019</w:t>
      </w:r>
    </w:p>
    <w:p w14:paraId="76A2B369" w14:textId="77777777" w:rsidR="0061136C" w:rsidRPr="0061136C" w:rsidRDefault="0061136C" w:rsidP="0061136C">
      <w:pPr>
        <w:pStyle w:val="ListParagraph"/>
        <w:numPr>
          <w:ilvl w:val="0"/>
          <w:numId w:val="2"/>
        </w:numPr>
        <w:rPr>
          <w:lang w:val="en-CA"/>
        </w:rPr>
      </w:pPr>
      <w:r w:rsidRPr="0061136C">
        <w:rPr>
          <w:i/>
          <w:iCs/>
          <w:lang w:val="en-CA"/>
        </w:rPr>
        <w:t>COVID emergency period</w:t>
      </w:r>
      <w:r w:rsidRPr="0061136C">
        <w:rPr>
          <w:lang w:val="en-CA"/>
        </w:rPr>
        <w:t>: April 2020 – June 2023</w:t>
      </w:r>
    </w:p>
    <w:p w14:paraId="0804CE58" w14:textId="77777777" w:rsidR="0061136C" w:rsidRPr="0061136C" w:rsidRDefault="0061136C" w:rsidP="0061136C">
      <w:pPr>
        <w:pStyle w:val="ListParagraph"/>
        <w:numPr>
          <w:ilvl w:val="0"/>
          <w:numId w:val="2"/>
        </w:numPr>
        <w:rPr>
          <w:lang w:val="en-CA"/>
        </w:rPr>
      </w:pPr>
      <w:r w:rsidRPr="0061136C">
        <w:rPr>
          <w:i/>
          <w:iCs/>
          <w:lang w:val="en-CA"/>
        </w:rPr>
        <w:t>Post-emergency period</w:t>
      </w:r>
      <w:r w:rsidRPr="0061136C">
        <w:rPr>
          <w:lang w:val="en-CA"/>
        </w:rPr>
        <w:t>: July 2023 – December 2024</w:t>
      </w:r>
    </w:p>
    <w:p w14:paraId="5430064D" w14:textId="77777777" w:rsidR="0061136C" w:rsidRPr="0061136C" w:rsidRDefault="0061136C" w:rsidP="0061136C">
      <w:pPr>
        <w:rPr>
          <w:lang w:val="en-CA"/>
        </w:rPr>
      </w:pPr>
      <w:r w:rsidRPr="0061136C">
        <w:rPr>
          <w:lang w:val="en-CA"/>
        </w:rPr>
        <w:t>April 2020 is used as the start of the emergency regime because March 2020 contains a partial-month transition (the emergency was declared mid-month), which complicates monthly interpretation. The emergency regime is operationalized as ending in June 2023 to apply the same monthly convention at the end of the declared emergency (announced in May 2023), treating the subsequent month as the first full period in which a post-emergency shift could plausibly be reflected in the monthly data.</w:t>
      </w:r>
    </w:p>
    <w:p w14:paraId="1C972AD0" w14:textId="77777777" w:rsidR="0061136C" w:rsidRPr="0061136C" w:rsidRDefault="0061136C" w:rsidP="0061136C">
      <w:pPr>
        <w:rPr>
          <w:lang w:val="en-CA"/>
        </w:rPr>
      </w:pPr>
      <w:r w:rsidRPr="0061136C">
        <w:rPr>
          <w:lang w:val="en-CA"/>
        </w:rPr>
        <w:t>These regimes are encoded using binary indicators for the emergency and post-emergency periods. In addition, because the Stringency Index is only available through 2022, a separate policy-availability indicator is used to define a COVID policy period (2020–2022), ensuring that restriction intensity is evaluated only when it is empirically observed and comparable.</w:t>
      </w:r>
    </w:p>
    <w:p w14:paraId="59A861AB" w14:textId="77777777" w:rsidR="0061136C" w:rsidRPr="0061136C" w:rsidRDefault="0061136C" w:rsidP="0061136C">
      <w:pPr>
        <w:rPr>
          <w:b/>
          <w:bCs/>
          <w:lang w:val="en-CA"/>
        </w:rPr>
      </w:pPr>
      <w:r w:rsidRPr="0061136C">
        <w:rPr>
          <w:b/>
          <w:bCs/>
          <w:lang w:val="en-CA"/>
        </w:rPr>
        <w:lastRenderedPageBreak/>
        <w:t>Data Preparation and Pre-Model Diagnostics</w:t>
      </w:r>
    </w:p>
    <w:p w14:paraId="4431B32D" w14:textId="77777777" w:rsidR="0061136C" w:rsidRPr="0061136C" w:rsidRDefault="0061136C" w:rsidP="0061136C">
      <w:pPr>
        <w:rPr>
          <w:lang w:val="en-CA"/>
        </w:rPr>
      </w:pPr>
      <w:r w:rsidRPr="0061136C">
        <w:rPr>
          <w:lang w:val="en-CA"/>
        </w:rPr>
        <w:t>Before estimation, the study conducts a structured pre-model diagnostic process to ensure that variable definitions, coverage, and statistical properties are suitable for panel analysis. This includes:</w:t>
      </w:r>
    </w:p>
    <w:p w14:paraId="2014A6F6" w14:textId="77777777" w:rsidR="0061136C" w:rsidRPr="0061136C" w:rsidRDefault="0061136C" w:rsidP="0061136C">
      <w:pPr>
        <w:pStyle w:val="ListParagraph"/>
        <w:numPr>
          <w:ilvl w:val="0"/>
          <w:numId w:val="3"/>
        </w:numPr>
        <w:rPr>
          <w:lang w:val="en-CA"/>
        </w:rPr>
      </w:pPr>
      <w:r w:rsidRPr="0061136C">
        <w:rPr>
          <w:i/>
          <w:iCs/>
          <w:lang w:val="en-CA"/>
        </w:rPr>
        <w:t>Panel integrity checks</w:t>
      </w:r>
      <w:r w:rsidRPr="0061136C">
        <w:rPr>
          <w:lang w:val="en-CA"/>
        </w:rPr>
        <w:t>: verification of uniqueness at the state–month level, identification of missing months, and validation of plausible ranges for all continuous variables.</w:t>
      </w:r>
    </w:p>
    <w:p w14:paraId="21E5440A" w14:textId="77777777" w:rsidR="0061136C" w:rsidRPr="0061136C" w:rsidRDefault="0061136C" w:rsidP="0061136C">
      <w:pPr>
        <w:pStyle w:val="ListParagraph"/>
        <w:numPr>
          <w:ilvl w:val="0"/>
          <w:numId w:val="3"/>
        </w:numPr>
        <w:rPr>
          <w:lang w:val="en-CA"/>
        </w:rPr>
      </w:pPr>
      <w:r w:rsidRPr="0061136C">
        <w:rPr>
          <w:i/>
          <w:iCs/>
          <w:lang w:val="en-CA"/>
        </w:rPr>
        <w:t>Missingness and coverage assessment</w:t>
      </w:r>
      <w:r w:rsidRPr="0061136C">
        <w:rPr>
          <w:lang w:val="en-CA"/>
        </w:rPr>
        <w:t>: evaluation of missing values by variable and by regime, with special attention to policy variables (Stringency) and political classification (red/blue), which require harmonization across time.</w:t>
      </w:r>
    </w:p>
    <w:p w14:paraId="26B73235" w14:textId="77777777" w:rsidR="0061136C" w:rsidRPr="0061136C" w:rsidRDefault="0061136C" w:rsidP="0061136C">
      <w:pPr>
        <w:pStyle w:val="ListParagraph"/>
        <w:numPr>
          <w:ilvl w:val="0"/>
          <w:numId w:val="3"/>
        </w:numPr>
        <w:rPr>
          <w:lang w:val="en-CA"/>
        </w:rPr>
      </w:pPr>
      <w:r w:rsidRPr="0061136C">
        <w:rPr>
          <w:i/>
          <w:iCs/>
          <w:lang w:val="en-CA"/>
        </w:rPr>
        <w:t>Feature construction</w:t>
      </w:r>
      <w:r w:rsidRPr="0061136C">
        <w:rPr>
          <w:lang w:val="en-CA"/>
        </w:rPr>
        <w:t>: creation of regime indicators, a policy-availability period for the Stringency Index, and harmonized political classification across non-election years; construction of regime–predictor interaction terms consistent with the structural-break hypotheses.</w:t>
      </w:r>
    </w:p>
    <w:p w14:paraId="7A3E79DF" w14:textId="77777777" w:rsidR="0061136C" w:rsidRPr="0061136C" w:rsidRDefault="0061136C" w:rsidP="0061136C">
      <w:pPr>
        <w:pStyle w:val="ListParagraph"/>
        <w:numPr>
          <w:ilvl w:val="0"/>
          <w:numId w:val="3"/>
        </w:numPr>
        <w:rPr>
          <w:lang w:val="en-CA"/>
        </w:rPr>
      </w:pPr>
      <w:r w:rsidRPr="0061136C">
        <w:rPr>
          <w:i/>
          <w:iCs/>
          <w:lang w:val="en-CA"/>
        </w:rPr>
        <w:t>Exploratory diagnostics and visualization</w:t>
      </w:r>
      <w:r w:rsidRPr="0061136C">
        <w:rPr>
          <w:lang w:val="en-CA"/>
        </w:rPr>
        <w:t>: distributional checks (histograms/boxplots), bivariate regime-stratified plots (ridership vs. each predictor), and correlation screening across continuous predictors.</w:t>
      </w:r>
    </w:p>
    <w:p w14:paraId="3EFAB5D6" w14:textId="2A3F313A" w:rsidR="0061136C" w:rsidRPr="0061136C" w:rsidRDefault="0061136C" w:rsidP="0061136C">
      <w:pPr>
        <w:pStyle w:val="ListParagraph"/>
        <w:numPr>
          <w:ilvl w:val="0"/>
          <w:numId w:val="3"/>
        </w:numPr>
        <w:rPr>
          <w:lang w:val="en-CA"/>
        </w:rPr>
      </w:pPr>
      <w:r w:rsidRPr="0061136C">
        <w:rPr>
          <w:i/>
          <w:iCs/>
          <w:lang w:val="en-CA"/>
        </w:rPr>
        <w:t>Specification diagnostic</w:t>
      </w:r>
      <w:r>
        <w:rPr>
          <w:i/>
          <w:iCs/>
          <w:lang w:val="en-CA"/>
        </w:rPr>
        <w:t>s</w:t>
      </w:r>
      <w:r w:rsidRPr="0061136C">
        <w:rPr>
          <w:lang w:val="en-CA"/>
        </w:rPr>
        <w:t>: evaluation of multicollinearity (e.g., VIF) and post-estimation checks typically relevant in panel settings (heteroskedasticity and serial correlation considerations.</w:t>
      </w:r>
    </w:p>
    <w:p w14:paraId="02768749" w14:textId="5AF1C302" w:rsidR="00106054" w:rsidRDefault="00106054" w:rsidP="00106054">
      <w:pPr>
        <w:pStyle w:val="Heading1"/>
        <w:rPr>
          <w:rFonts w:cs="Times New Roman"/>
          <w:lang w:val="en-CA"/>
        </w:rPr>
      </w:pPr>
      <w:r w:rsidRPr="31E72F72">
        <w:rPr>
          <w:rFonts w:cs="Times New Roman"/>
          <w:lang w:val="en-CA"/>
        </w:rPr>
        <w:t xml:space="preserve">Preliminary </w:t>
      </w:r>
    </w:p>
    <w:p w14:paraId="42056EAF" w14:textId="580A2682" w:rsidR="002F1770" w:rsidRPr="00576E30" w:rsidRDefault="002F1770" w:rsidP="002F1770">
      <w:pPr>
        <w:rPr>
          <w:lang w:val="en-CA"/>
        </w:rPr>
      </w:pPr>
    </w:p>
    <w:p w14:paraId="3FADB79A" w14:textId="3DDBED88" w:rsidR="00FA569E" w:rsidRPr="00576E30" w:rsidRDefault="00FA569E" w:rsidP="00DE719E">
      <w:pPr>
        <w:spacing w:after="0"/>
        <w:rPr>
          <w:lang w:val="en-CA"/>
        </w:rPr>
      </w:pPr>
    </w:p>
    <w:p w14:paraId="63CE8B19" w14:textId="1D2BDFBA" w:rsidR="00DE719E" w:rsidRPr="00576E30" w:rsidRDefault="001B091A" w:rsidP="00DE719E">
      <w:pPr>
        <w:pStyle w:val="Heading1"/>
        <w:rPr>
          <w:rFonts w:cs="Times New Roman"/>
          <w:lang w:val="en-CA"/>
        </w:rPr>
      </w:pPr>
      <w:r w:rsidRPr="001B091A">
        <w:rPr>
          <w:rFonts w:cs="Times New Roman"/>
          <w:lang w:val="en-CA"/>
        </w:rPr>
        <w:lastRenderedPageBreak/>
        <w:t>Intended Outcome</w:t>
      </w:r>
    </w:p>
    <w:p w14:paraId="0560170D" w14:textId="29797093" w:rsidR="00FD5BCB" w:rsidRPr="00576E30" w:rsidRDefault="00FD5BCB" w:rsidP="00C52F98">
      <w:pPr>
        <w:spacing w:after="0"/>
        <w:rPr>
          <w:lang w:val="en-CA"/>
        </w:rPr>
      </w:pPr>
      <w:r w:rsidRPr="00576E30">
        <w:rPr>
          <w:lang w:val="en-CA"/>
        </w:rPr>
        <w:br w:type="page"/>
      </w:r>
    </w:p>
    <w:p w14:paraId="3FDC5C37" w14:textId="2C94000A" w:rsidR="6CAF6221" w:rsidRPr="00576E30" w:rsidRDefault="6CAF6221" w:rsidP="005E0F24">
      <w:pPr>
        <w:pStyle w:val="Heading1"/>
        <w:rPr>
          <w:rFonts w:cs="Times New Roman"/>
          <w:lang w:val="en-CA"/>
        </w:rPr>
      </w:pPr>
      <w:r w:rsidRPr="00576E30">
        <w:rPr>
          <w:rFonts w:cs="Times New Roman"/>
          <w:lang w:val="en-CA"/>
        </w:rPr>
        <w:lastRenderedPageBreak/>
        <w:t>References</w:t>
      </w:r>
    </w:p>
    <w:p w14:paraId="0388617D" w14:textId="77777777" w:rsidR="00A80689" w:rsidRDefault="00A80689" w:rsidP="00C52F98">
      <w:pPr>
        <w:spacing w:after="0"/>
        <w:ind w:firstLine="0"/>
        <w:rPr>
          <w:lang w:val="en-CA"/>
        </w:rPr>
      </w:pPr>
    </w:p>
    <w:p w14:paraId="2E451D35" w14:textId="653DF729" w:rsidR="00C52F98" w:rsidRPr="00576E30" w:rsidRDefault="00C52F98" w:rsidP="00C52F98">
      <w:pPr>
        <w:pStyle w:val="Heading1"/>
        <w:rPr>
          <w:rFonts w:cs="Times New Roman"/>
          <w:lang w:val="en-CA"/>
        </w:rPr>
      </w:pPr>
      <w:r>
        <w:rPr>
          <w:rFonts w:cs="Times New Roman"/>
          <w:lang w:val="en-CA"/>
        </w:rPr>
        <w:t>Data Sources</w:t>
      </w:r>
    </w:p>
    <w:p w14:paraId="5EE628B5" w14:textId="77777777" w:rsidR="00C52F98" w:rsidRPr="002F4119" w:rsidRDefault="00C52F98" w:rsidP="00C52F98">
      <w:pPr>
        <w:spacing w:after="0"/>
        <w:ind w:firstLine="0"/>
        <w:rPr>
          <w:lang w:val="en-CA"/>
        </w:rPr>
      </w:pPr>
    </w:p>
    <w:sectPr w:rsidR="00C52F98" w:rsidRPr="002F4119" w:rsidSect="00637B79">
      <w:headerReference w:type="default" r:id="rId13"/>
      <w:pgSz w:w="11906" w:h="16838"/>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C849F" w14:textId="77777777" w:rsidR="00D65EFB" w:rsidRDefault="00D65EFB">
      <w:pPr>
        <w:spacing w:after="0" w:line="240" w:lineRule="auto"/>
      </w:pPr>
      <w:r>
        <w:separator/>
      </w:r>
    </w:p>
  </w:endnote>
  <w:endnote w:type="continuationSeparator" w:id="0">
    <w:p w14:paraId="5C01F1C2" w14:textId="77777777" w:rsidR="00D65EFB" w:rsidRDefault="00D65E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embedRegular r:id="rId1" w:fontKey="{D743D4F3-6A08-4386-92A7-390D62E023A4}"/>
  </w:font>
  <w:font w:name="Consolas">
    <w:panose1 w:val="020B0609020204030204"/>
    <w:charset w:val="00"/>
    <w:family w:val="modern"/>
    <w:pitch w:val="fixed"/>
    <w:sig w:usb0="E00006FF" w:usb1="0000FCFF" w:usb2="00000001" w:usb3="00000000" w:csb0="0000019F" w:csb1="00000000"/>
    <w:embedRegular r:id="rId2" w:fontKey="{9AC7346A-4724-4660-9AF4-05FA48F58228}"/>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embedRegular r:id="rId3" w:fontKey="{387C5924-CC14-443F-A99C-A93AAD1C452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47B5B" w14:textId="77777777" w:rsidR="00D65EFB" w:rsidRDefault="00D65EFB">
      <w:pPr>
        <w:spacing w:after="0" w:line="240" w:lineRule="auto"/>
      </w:pPr>
      <w:r>
        <w:separator/>
      </w:r>
    </w:p>
  </w:footnote>
  <w:footnote w:type="continuationSeparator" w:id="0">
    <w:p w14:paraId="70A4E714" w14:textId="77777777" w:rsidR="00D65EFB" w:rsidRDefault="00D65E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5B3CE" w14:textId="77777777" w:rsidR="00D140AF" w:rsidRDefault="00B0083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0A0A20">
      <w:rPr>
        <w:noProof/>
        <w:color w:val="000000"/>
      </w:rPr>
      <w:t>2</w:t>
    </w:r>
    <w:r>
      <w:rPr>
        <w:color w:val="000000"/>
      </w:rPr>
      <w:fldChar w:fldCharType="end"/>
    </w:r>
  </w:p>
  <w:p w14:paraId="7D3FBCD3" w14:textId="77777777" w:rsidR="00D140AF" w:rsidRDefault="00D140AF">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7556F"/>
    <w:multiLevelType w:val="hybridMultilevel"/>
    <w:tmpl w:val="80EC4CD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 w15:restartNumberingAfterBreak="0">
    <w:nsid w:val="160B62BC"/>
    <w:multiLevelType w:val="hybridMultilevel"/>
    <w:tmpl w:val="17AECC0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3B614B42"/>
    <w:multiLevelType w:val="hybridMultilevel"/>
    <w:tmpl w:val="D6C4D0D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16cid:durableId="220406723">
    <w:abstractNumId w:val="1"/>
  </w:num>
  <w:num w:numId="2" w16cid:durableId="220944966">
    <w:abstractNumId w:val="0"/>
  </w:num>
  <w:num w:numId="3" w16cid:durableId="14981578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40AF"/>
    <w:rsid w:val="00006B58"/>
    <w:rsid w:val="00007485"/>
    <w:rsid w:val="00007FF6"/>
    <w:rsid w:val="00017EC0"/>
    <w:rsid w:val="00025330"/>
    <w:rsid w:val="000302DC"/>
    <w:rsid w:val="000466D6"/>
    <w:rsid w:val="00060885"/>
    <w:rsid w:val="000631F4"/>
    <w:rsid w:val="0007488D"/>
    <w:rsid w:val="00085697"/>
    <w:rsid w:val="0009110B"/>
    <w:rsid w:val="000A0A20"/>
    <w:rsid w:val="000A0B93"/>
    <w:rsid w:val="000A3840"/>
    <w:rsid w:val="000A4E14"/>
    <w:rsid w:val="000B2CC2"/>
    <w:rsid w:val="000B33A7"/>
    <w:rsid w:val="000F1087"/>
    <w:rsid w:val="00102C14"/>
    <w:rsid w:val="00106054"/>
    <w:rsid w:val="00111100"/>
    <w:rsid w:val="001146DD"/>
    <w:rsid w:val="00122F9D"/>
    <w:rsid w:val="001249F3"/>
    <w:rsid w:val="00137878"/>
    <w:rsid w:val="00147975"/>
    <w:rsid w:val="00176F36"/>
    <w:rsid w:val="001A6263"/>
    <w:rsid w:val="001B091A"/>
    <w:rsid w:val="001B4494"/>
    <w:rsid w:val="001B63B9"/>
    <w:rsid w:val="001D2213"/>
    <w:rsid w:val="001D2B59"/>
    <w:rsid w:val="001F5FCD"/>
    <w:rsid w:val="002211B7"/>
    <w:rsid w:val="002225CC"/>
    <w:rsid w:val="00236F34"/>
    <w:rsid w:val="0025337B"/>
    <w:rsid w:val="00263601"/>
    <w:rsid w:val="0028338D"/>
    <w:rsid w:val="00296693"/>
    <w:rsid w:val="002E1417"/>
    <w:rsid w:val="002E2521"/>
    <w:rsid w:val="002E7AC6"/>
    <w:rsid w:val="002F1770"/>
    <w:rsid w:val="002F4119"/>
    <w:rsid w:val="003033BE"/>
    <w:rsid w:val="00314811"/>
    <w:rsid w:val="00345DFB"/>
    <w:rsid w:val="00350206"/>
    <w:rsid w:val="00366E16"/>
    <w:rsid w:val="00383B29"/>
    <w:rsid w:val="003962CC"/>
    <w:rsid w:val="003A684D"/>
    <w:rsid w:val="003B10F5"/>
    <w:rsid w:val="003C0644"/>
    <w:rsid w:val="003C2186"/>
    <w:rsid w:val="003E6BAF"/>
    <w:rsid w:val="00410E44"/>
    <w:rsid w:val="00413BB7"/>
    <w:rsid w:val="00414E63"/>
    <w:rsid w:val="00431843"/>
    <w:rsid w:val="00453BB8"/>
    <w:rsid w:val="0046468A"/>
    <w:rsid w:val="0049706F"/>
    <w:rsid w:val="004B0857"/>
    <w:rsid w:val="004D46BD"/>
    <w:rsid w:val="004E0204"/>
    <w:rsid w:val="004E1DD8"/>
    <w:rsid w:val="004E31F8"/>
    <w:rsid w:val="004E3AE1"/>
    <w:rsid w:val="004E41B2"/>
    <w:rsid w:val="004F691A"/>
    <w:rsid w:val="00500B3E"/>
    <w:rsid w:val="00507517"/>
    <w:rsid w:val="00536228"/>
    <w:rsid w:val="00545508"/>
    <w:rsid w:val="0055691A"/>
    <w:rsid w:val="00576E30"/>
    <w:rsid w:val="005802CC"/>
    <w:rsid w:val="005E0F24"/>
    <w:rsid w:val="005E6A5C"/>
    <w:rsid w:val="00610566"/>
    <w:rsid w:val="0061136C"/>
    <w:rsid w:val="006212FB"/>
    <w:rsid w:val="006372E4"/>
    <w:rsid w:val="00637B79"/>
    <w:rsid w:val="00654EF3"/>
    <w:rsid w:val="006700EE"/>
    <w:rsid w:val="00676356"/>
    <w:rsid w:val="0068223E"/>
    <w:rsid w:val="006974CF"/>
    <w:rsid w:val="006A1729"/>
    <w:rsid w:val="006A30F3"/>
    <w:rsid w:val="006A3114"/>
    <w:rsid w:val="006A524A"/>
    <w:rsid w:val="006A6B09"/>
    <w:rsid w:val="006C6E5E"/>
    <w:rsid w:val="006E7BA7"/>
    <w:rsid w:val="006F2CC0"/>
    <w:rsid w:val="006F7AAA"/>
    <w:rsid w:val="00704A14"/>
    <w:rsid w:val="007069AD"/>
    <w:rsid w:val="00725833"/>
    <w:rsid w:val="00725C99"/>
    <w:rsid w:val="00726FF1"/>
    <w:rsid w:val="00734E57"/>
    <w:rsid w:val="007368D2"/>
    <w:rsid w:val="007571C1"/>
    <w:rsid w:val="00772AB1"/>
    <w:rsid w:val="00791D70"/>
    <w:rsid w:val="007C3305"/>
    <w:rsid w:val="007E4681"/>
    <w:rsid w:val="0080082C"/>
    <w:rsid w:val="00830815"/>
    <w:rsid w:val="00843E4E"/>
    <w:rsid w:val="00854B1F"/>
    <w:rsid w:val="008A2F85"/>
    <w:rsid w:val="008C540A"/>
    <w:rsid w:val="008E0840"/>
    <w:rsid w:val="008F059C"/>
    <w:rsid w:val="008F10AE"/>
    <w:rsid w:val="00904D80"/>
    <w:rsid w:val="009169D7"/>
    <w:rsid w:val="00917951"/>
    <w:rsid w:val="009240A3"/>
    <w:rsid w:val="00927A86"/>
    <w:rsid w:val="00931ED6"/>
    <w:rsid w:val="00933338"/>
    <w:rsid w:val="0093444C"/>
    <w:rsid w:val="00942855"/>
    <w:rsid w:val="00952095"/>
    <w:rsid w:val="0099685E"/>
    <w:rsid w:val="009B18F3"/>
    <w:rsid w:val="009B4F44"/>
    <w:rsid w:val="009C54D6"/>
    <w:rsid w:val="009F02C8"/>
    <w:rsid w:val="00A041FC"/>
    <w:rsid w:val="00A217D5"/>
    <w:rsid w:val="00A27FA2"/>
    <w:rsid w:val="00A36BD3"/>
    <w:rsid w:val="00A50107"/>
    <w:rsid w:val="00A6750F"/>
    <w:rsid w:val="00A80689"/>
    <w:rsid w:val="00A842EF"/>
    <w:rsid w:val="00A87E45"/>
    <w:rsid w:val="00AA1A45"/>
    <w:rsid w:val="00AA7A40"/>
    <w:rsid w:val="00AC043A"/>
    <w:rsid w:val="00B00830"/>
    <w:rsid w:val="00B10174"/>
    <w:rsid w:val="00B52407"/>
    <w:rsid w:val="00B66C88"/>
    <w:rsid w:val="00B96C1C"/>
    <w:rsid w:val="00BA2956"/>
    <w:rsid w:val="00BA7BE1"/>
    <w:rsid w:val="00BD3515"/>
    <w:rsid w:val="00BD7719"/>
    <w:rsid w:val="00BF1E94"/>
    <w:rsid w:val="00C025F9"/>
    <w:rsid w:val="00C154EB"/>
    <w:rsid w:val="00C257EA"/>
    <w:rsid w:val="00C44EC5"/>
    <w:rsid w:val="00C46F66"/>
    <w:rsid w:val="00C52F98"/>
    <w:rsid w:val="00C66508"/>
    <w:rsid w:val="00C67A62"/>
    <w:rsid w:val="00C70DAC"/>
    <w:rsid w:val="00C71028"/>
    <w:rsid w:val="00C74536"/>
    <w:rsid w:val="00C75375"/>
    <w:rsid w:val="00C82B51"/>
    <w:rsid w:val="00C8691C"/>
    <w:rsid w:val="00CA296B"/>
    <w:rsid w:val="00CB1E35"/>
    <w:rsid w:val="00CB49B0"/>
    <w:rsid w:val="00CC45B7"/>
    <w:rsid w:val="00CC63A7"/>
    <w:rsid w:val="00CE60B2"/>
    <w:rsid w:val="00D047E2"/>
    <w:rsid w:val="00D07295"/>
    <w:rsid w:val="00D140AF"/>
    <w:rsid w:val="00D17730"/>
    <w:rsid w:val="00D23416"/>
    <w:rsid w:val="00D36B5B"/>
    <w:rsid w:val="00D37D62"/>
    <w:rsid w:val="00D45092"/>
    <w:rsid w:val="00D45860"/>
    <w:rsid w:val="00D56D15"/>
    <w:rsid w:val="00D65EFB"/>
    <w:rsid w:val="00D667C6"/>
    <w:rsid w:val="00D721B9"/>
    <w:rsid w:val="00D85FCF"/>
    <w:rsid w:val="00D9604E"/>
    <w:rsid w:val="00DA6950"/>
    <w:rsid w:val="00DE19AC"/>
    <w:rsid w:val="00DE5C70"/>
    <w:rsid w:val="00DE6DF1"/>
    <w:rsid w:val="00DE719E"/>
    <w:rsid w:val="00DF3C96"/>
    <w:rsid w:val="00DF4072"/>
    <w:rsid w:val="00E2512D"/>
    <w:rsid w:val="00E347A7"/>
    <w:rsid w:val="00E4015A"/>
    <w:rsid w:val="00E41AB7"/>
    <w:rsid w:val="00E5550D"/>
    <w:rsid w:val="00E83AA6"/>
    <w:rsid w:val="00E87EBD"/>
    <w:rsid w:val="00E91B49"/>
    <w:rsid w:val="00ED13D3"/>
    <w:rsid w:val="00EE232D"/>
    <w:rsid w:val="00F14A6B"/>
    <w:rsid w:val="00F1606D"/>
    <w:rsid w:val="00F5360F"/>
    <w:rsid w:val="00F62FD8"/>
    <w:rsid w:val="00F7189C"/>
    <w:rsid w:val="00F75C9D"/>
    <w:rsid w:val="00F831CA"/>
    <w:rsid w:val="00F94F74"/>
    <w:rsid w:val="00FA569E"/>
    <w:rsid w:val="00FB277C"/>
    <w:rsid w:val="00FB7694"/>
    <w:rsid w:val="00FC281D"/>
    <w:rsid w:val="00FD5BCB"/>
    <w:rsid w:val="0837B8D0"/>
    <w:rsid w:val="0A0A058E"/>
    <w:rsid w:val="0AC287BE"/>
    <w:rsid w:val="0D0C9537"/>
    <w:rsid w:val="0E4174C5"/>
    <w:rsid w:val="0E45B2C2"/>
    <w:rsid w:val="0E93FD31"/>
    <w:rsid w:val="0EEBB2EA"/>
    <w:rsid w:val="13566C64"/>
    <w:rsid w:val="1529581B"/>
    <w:rsid w:val="155E1DCC"/>
    <w:rsid w:val="159D18B8"/>
    <w:rsid w:val="15DE08F9"/>
    <w:rsid w:val="18447478"/>
    <w:rsid w:val="18534C69"/>
    <w:rsid w:val="1A0AA373"/>
    <w:rsid w:val="1A1BC7AD"/>
    <w:rsid w:val="1B6540D9"/>
    <w:rsid w:val="1DB1BCA5"/>
    <w:rsid w:val="2229C489"/>
    <w:rsid w:val="22AEB5F1"/>
    <w:rsid w:val="22C25BB1"/>
    <w:rsid w:val="232FD7E9"/>
    <w:rsid w:val="23F0245A"/>
    <w:rsid w:val="2519162C"/>
    <w:rsid w:val="25EB4A8A"/>
    <w:rsid w:val="2645D5AD"/>
    <w:rsid w:val="2C181C4F"/>
    <w:rsid w:val="2C954E6B"/>
    <w:rsid w:val="2D10DF4C"/>
    <w:rsid w:val="2E74AFF9"/>
    <w:rsid w:val="2F186CDB"/>
    <w:rsid w:val="30F954A9"/>
    <w:rsid w:val="343DB9E4"/>
    <w:rsid w:val="3668CD52"/>
    <w:rsid w:val="385F4DE4"/>
    <w:rsid w:val="3A5D4E53"/>
    <w:rsid w:val="3B5CE063"/>
    <w:rsid w:val="3CD7247A"/>
    <w:rsid w:val="3EF4B08C"/>
    <w:rsid w:val="3F209930"/>
    <w:rsid w:val="40FC3A6D"/>
    <w:rsid w:val="4449640A"/>
    <w:rsid w:val="4455F9C0"/>
    <w:rsid w:val="44A54DA2"/>
    <w:rsid w:val="47643D1B"/>
    <w:rsid w:val="47E5BA78"/>
    <w:rsid w:val="490E38EA"/>
    <w:rsid w:val="4A3C0252"/>
    <w:rsid w:val="4A572A70"/>
    <w:rsid w:val="4BBEFC2A"/>
    <w:rsid w:val="4E00430B"/>
    <w:rsid w:val="4E5630B7"/>
    <w:rsid w:val="4EB6ABD0"/>
    <w:rsid w:val="4EEB4CBC"/>
    <w:rsid w:val="500626A8"/>
    <w:rsid w:val="5079654A"/>
    <w:rsid w:val="50C3FB13"/>
    <w:rsid w:val="51D7A4E3"/>
    <w:rsid w:val="521A72E9"/>
    <w:rsid w:val="52536E1A"/>
    <w:rsid w:val="5315AA03"/>
    <w:rsid w:val="54154602"/>
    <w:rsid w:val="571A0D13"/>
    <w:rsid w:val="599ECABF"/>
    <w:rsid w:val="5A39F4FB"/>
    <w:rsid w:val="5ADA3F61"/>
    <w:rsid w:val="5C6E05ED"/>
    <w:rsid w:val="5F9A360E"/>
    <w:rsid w:val="5FEA92DB"/>
    <w:rsid w:val="603DB415"/>
    <w:rsid w:val="6064658D"/>
    <w:rsid w:val="6107FEF4"/>
    <w:rsid w:val="63438D74"/>
    <w:rsid w:val="6557081F"/>
    <w:rsid w:val="65FB7615"/>
    <w:rsid w:val="670A9401"/>
    <w:rsid w:val="673A502C"/>
    <w:rsid w:val="6A1FD012"/>
    <w:rsid w:val="6A30F8C6"/>
    <w:rsid w:val="6AA95CDD"/>
    <w:rsid w:val="6AFA1B78"/>
    <w:rsid w:val="6B09ABC3"/>
    <w:rsid w:val="6BA48A2F"/>
    <w:rsid w:val="6CAF6221"/>
    <w:rsid w:val="6D424BF8"/>
    <w:rsid w:val="6FB9DEA0"/>
    <w:rsid w:val="6FC75E9B"/>
    <w:rsid w:val="7003EDFE"/>
    <w:rsid w:val="706D391A"/>
    <w:rsid w:val="708C166F"/>
    <w:rsid w:val="71B53EF5"/>
    <w:rsid w:val="724ED68C"/>
    <w:rsid w:val="732A6B9D"/>
    <w:rsid w:val="76950D78"/>
    <w:rsid w:val="76CA43B5"/>
    <w:rsid w:val="7824CE67"/>
    <w:rsid w:val="7886C698"/>
    <w:rsid w:val="7BEAFC9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BE6DEB"/>
  <w15:docId w15:val="{940E59B3-CA98-4B6E-A4CF-C918F8BDC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ja-JP" w:bidi="ar-SA"/>
      </w:rPr>
    </w:rPrDefault>
    <w:pPrDefault>
      <w:pPr>
        <w:spacing w:after="160"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2B51"/>
  </w:style>
  <w:style w:type="paragraph" w:styleId="Heading1">
    <w:name w:val="heading 1"/>
    <w:basedOn w:val="Normal"/>
    <w:next w:val="Normal"/>
    <w:link w:val="Heading1Char"/>
    <w:autoRedefine/>
    <w:uiPriority w:val="9"/>
    <w:qFormat/>
    <w:rsid w:val="005E0F24"/>
    <w:pPr>
      <w:keepNext/>
      <w:keepLines/>
      <w:spacing w:after="0"/>
      <w:ind w:firstLine="0"/>
      <w:jc w:val="center"/>
      <w:outlineLvl w:val="0"/>
    </w:pPr>
    <w:rPr>
      <w:rFonts w:eastAsiaTheme="majorEastAsia" w:cstheme="majorBidi"/>
      <w:b/>
      <w:szCs w:val="40"/>
    </w:rPr>
  </w:style>
  <w:style w:type="paragraph" w:styleId="Heading2">
    <w:name w:val="heading 2"/>
    <w:basedOn w:val="Normal"/>
    <w:next w:val="Normal"/>
    <w:link w:val="Heading2Char"/>
    <w:autoRedefine/>
    <w:uiPriority w:val="9"/>
    <w:unhideWhenUsed/>
    <w:qFormat/>
    <w:rsid w:val="005E0F24"/>
    <w:pPr>
      <w:keepNext/>
      <w:keepLines/>
      <w:spacing w:after="0"/>
      <w:ind w:firstLine="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8A43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43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43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43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3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3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3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A43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5E0F24"/>
    <w:rPr>
      <w:rFonts w:eastAsiaTheme="majorEastAsia" w:cstheme="majorBidi"/>
      <w:b/>
      <w:szCs w:val="40"/>
    </w:rPr>
  </w:style>
  <w:style w:type="character" w:customStyle="1" w:styleId="Heading2Char">
    <w:name w:val="Heading 2 Char"/>
    <w:basedOn w:val="DefaultParagraphFont"/>
    <w:link w:val="Heading2"/>
    <w:uiPriority w:val="9"/>
    <w:rsid w:val="005E0F24"/>
    <w:rPr>
      <w:rFonts w:eastAsiaTheme="majorEastAsia" w:cstheme="majorBidi"/>
      <w:b/>
      <w:szCs w:val="32"/>
    </w:rPr>
  </w:style>
  <w:style w:type="character" w:customStyle="1" w:styleId="Heading3Char">
    <w:name w:val="Heading 3 Char"/>
    <w:basedOn w:val="DefaultParagraphFont"/>
    <w:link w:val="Heading3"/>
    <w:uiPriority w:val="9"/>
    <w:rsid w:val="008A43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43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43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43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3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3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387"/>
    <w:rPr>
      <w:rFonts w:eastAsiaTheme="majorEastAsia" w:cstheme="majorBidi"/>
      <w:color w:val="272727" w:themeColor="text1" w:themeTint="D8"/>
    </w:rPr>
  </w:style>
  <w:style w:type="character" w:customStyle="1" w:styleId="TitleChar">
    <w:name w:val="Title Char"/>
    <w:basedOn w:val="DefaultParagraphFont"/>
    <w:link w:val="Title"/>
    <w:uiPriority w:val="10"/>
    <w:rsid w:val="008A43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8A43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387"/>
    <w:pPr>
      <w:spacing w:before="160"/>
      <w:jc w:val="center"/>
    </w:pPr>
    <w:rPr>
      <w:i/>
      <w:iCs/>
      <w:color w:val="404040" w:themeColor="text1" w:themeTint="BF"/>
    </w:rPr>
  </w:style>
  <w:style w:type="character" w:customStyle="1" w:styleId="QuoteChar">
    <w:name w:val="Quote Char"/>
    <w:basedOn w:val="DefaultParagraphFont"/>
    <w:link w:val="Quote"/>
    <w:uiPriority w:val="29"/>
    <w:rsid w:val="008A4387"/>
    <w:rPr>
      <w:i/>
      <w:iCs/>
      <w:color w:val="404040" w:themeColor="text1" w:themeTint="BF"/>
    </w:rPr>
  </w:style>
  <w:style w:type="paragraph" w:styleId="ListParagraph">
    <w:name w:val="List Paragraph"/>
    <w:basedOn w:val="Normal"/>
    <w:uiPriority w:val="34"/>
    <w:qFormat/>
    <w:rsid w:val="008A4387"/>
    <w:pPr>
      <w:ind w:left="720"/>
      <w:contextualSpacing/>
    </w:pPr>
  </w:style>
  <w:style w:type="character" w:styleId="IntenseEmphasis">
    <w:name w:val="Intense Emphasis"/>
    <w:basedOn w:val="DefaultParagraphFont"/>
    <w:uiPriority w:val="21"/>
    <w:qFormat/>
    <w:rsid w:val="008A4387"/>
    <w:rPr>
      <w:i/>
      <w:iCs/>
      <w:color w:val="0F4761" w:themeColor="accent1" w:themeShade="BF"/>
    </w:rPr>
  </w:style>
  <w:style w:type="paragraph" w:styleId="IntenseQuote">
    <w:name w:val="Intense Quote"/>
    <w:basedOn w:val="Normal"/>
    <w:next w:val="Normal"/>
    <w:link w:val="IntenseQuoteChar"/>
    <w:uiPriority w:val="30"/>
    <w:qFormat/>
    <w:rsid w:val="008A43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4387"/>
    <w:rPr>
      <w:i/>
      <w:iCs/>
      <w:color w:val="0F4761" w:themeColor="accent1" w:themeShade="BF"/>
    </w:rPr>
  </w:style>
  <w:style w:type="character" w:styleId="IntenseReference">
    <w:name w:val="Intense Reference"/>
    <w:basedOn w:val="DefaultParagraphFont"/>
    <w:uiPriority w:val="32"/>
    <w:qFormat/>
    <w:rsid w:val="008A4387"/>
    <w:rPr>
      <w:b/>
      <w:bCs/>
      <w:smallCaps/>
      <w:color w:val="0F4761" w:themeColor="accent1" w:themeShade="BF"/>
      <w:spacing w:val="5"/>
    </w:rPr>
  </w:style>
  <w:style w:type="character" w:styleId="Hyperlink">
    <w:name w:val="Hyperlink"/>
    <w:basedOn w:val="DefaultParagraphFont"/>
    <w:uiPriority w:val="99"/>
    <w:unhideWhenUsed/>
    <w:rsid w:val="006109C5"/>
    <w:rPr>
      <w:color w:val="467886" w:themeColor="hyperlink"/>
      <w:u w:val="single"/>
    </w:rPr>
  </w:style>
  <w:style w:type="character" w:styleId="UnresolvedMention">
    <w:name w:val="Unresolved Mention"/>
    <w:basedOn w:val="DefaultParagraphFont"/>
    <w:uiPriority w:val="99"/>
    <w:semiHidden/>
    <w:unhideWhenUsed/>
    <w:rsid w:val="006109C5"/>
    <w:rPr>
      <w:color w:val="605E5C"/>
      <w:shd w:val="clear" w:color="auto" w:fill="E1DFDD"/>
    </w:rPr>
  </w:style>
  <w:style w:type="paragraph" w:styleId="Header">
    <w:name w:val="header"/>
    <w:basedOn w:val="Normal"/>
    <w:link w:val="HeaderChar"/>
    <w:uiPriority w:val="99"/>
    <w:unhideWhenUsed/>
    <w:rsid w:val="00F71925"/>
    <w:pPr>
      <w:tabs>
        <w:tab w:val="center" w:pos="4680"/>
        <w:tab w:val="right" w:pos="9360"/>
      </w:tabs>
      <w:spacing w:after="0" w:line="240" w:lineRule="auto"/>
    </w:pPr>
    <w:rPr>
      <w:szCs w:val="21"/>
    </w:rPr>
  </w:style>
  <w:style w:type="character" w:customStyle="1" w:styleId="HeaderChar">
    <w:name w:val="Header Char"/>
    <w:basedOn w:val="DefaultParagraphFont"/>
    <w:link w:val="Header"/>
    <w:uiPriority w:val="99"/>
    <w:rsid w:val="00F71925"/>
    <w:rPr>
      <w:szCs w:val="21"/>
    </w:rPr>
  </w:style>
  <w:style w:type="paragraph" w:styleId="Footer">
    <w:name w:val="footer"/>
    <w:basedOn w:val="Normal"/>
    <w:link w:val="FooterChar"/>
    <w:uiPriority w:val="99"/>
    <w:unhideWhenUsed/>
    <w:rsid w:val="00F71925"/>
    <w:pPr>
      <w:tabs>
        <w:tab w:val="center" w:pos="4680"/>
        <w:tab w:val="right" w:pos="9360"/>
      </w:tabs>
      <w:spacing w:after="0" w:line="240" w:lineRule="auto"/>
    </w:pPr>
    <w:rPr>
      <w:szCs w:val="21"/>
    </w:rPr>
  </w:style>
  <w:style w:type="character" w:customStyle="1" w:styleId="FooterChar">
    <w:name w:val="Footer Char"/>
    <w:basedOn w:val="DefaultParagraphFont"/>
    <w:link w:val="Footer"/>
    <w:uiPriority w:val="99"/>
    <w:rsid w:val="00F71925"/>
    <w:rPr>
      <w:szCs w:val="21"/>
    </w:r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CB49B0"/>
    <w:pPr>
      <w:spacing w:before="100" w:beforeAutospacing="1" w:after="100" w:afterAutospacing="1" w:line="240" w:lineRule="auto"/>
      <w:ind w:firstLine="0"/>
    </w:pPr>
    <w:rPr>
      <w:lang w:val="en-CA" w:eastAsia="en-CA"/>
    </w:rPr>
  </w:style>
  <w:style w:type="character" w:styleId="Strong">
    <w:name w:val="Strong"/>
    <w:basedOn w:val="DefaultParagraphFont"/>
    <w:uiPriority w:val="22"/>
    <w:qFormat/>
    <w:rsid w:val="00CB49B0"/>
    <w:rPr>
      <w:b/>
      <w:bCs/>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0B2CC2"/>
    <w:rPr>
      <w:b/>
      <w:bCs/>
    </w:rPr>
  </w:style>
  <w:style w:type="character" w:customStyle="1" w:styleId="CommentSubjectChar">
    <w:name w:val="Comment Subject Char"/>
    <w:basedOn w:val="CommentTextChar"/>
    <w:link w:val="CommentSubject"/>
    <w:uiPriority w:val="99"/>
    <w:semiHidden/>
    <w:rsid w:val="000B2CC2"/>
    <w:rPr>
      <w:b/>
      <w:bCs/>
      <w:sz w:val="20"/>
      <w:szCs w:val="20"/>
    </w:rPr>
  </w:style>
  <w:style w:type="paragraph" w:styleId="HTMLPreformatted">
    <w:name w:val="HTML Preformatted"/>
    <w:basedOn w:val="Normal"/>
    <w:link w:val="HTMLPreformattedChar"/>
    <w:uiPriority w:val="99"/>
    <w:semiHidden/>
    <w:unhideWhenUsed/>
    <w:rsid w:val="004F691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F691A"/>
    <w:rPr>
      <w:rFonts w:ascii="Consolas" w:hAnsi="Consolas"/>
      <w:sz w:val="20"/>
      <w:szCs w:val="20"/>
    </w:rPr>
  </w:style>
  <w:style w:type="character" w:styleId="FollowedHyperlink">
    <w:name w:val="FollowedHyperlink"/>
    <w:basedOn w:val="DefaultParagraphFont"/>
    <w:uiPriority w:val="99"/>
    <w:semiHidden/>
    <w:unhideWhenUsed/>
    <w:rsid w:val="00C67A62"/>
    <w:rPr>
      <w:color w:val="96607D" w:themeColor="followedHyperlink"/>
      <w:u w:val="single"/>
    </w:rPr>
  </w:style>
  <w:style w:type="table" w:styleId="PlainTable2">
    <w:name w:val="Plain Table 2"/>
    <w:basedOn w:val="TableNormal"/>
    <w:uiPriority w:val="42"/>
    <w:rsid w:val="00B1017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39"/>
    <w:rsid w:val="00D450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4797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016302">
      <w:bodyDiv w:val="1"/>
      <w:marLeft w:val="0"/>
      <w:marRight w:val="0"/>
      <w:marTop w:val="0"/>
      <w:marBottom w:val="0"/>
      <w:divBdr>
        <w:top w:val="none" w:sz="0" w:space="0" w:color="auto"/>
        <w:left w:val="none" w:sz="0" w:space="0" w:color="auto"/>
        <w:bottom w:val="none" w:sz="0" w:space="0" w:color="auto"/>
        <w:right w:val="none" w:sz="0" w:space="0" w:color="auto"/>
      </w:divBdr>
    </w:div>
    <w:div w:id="100150607">
      <w:bodyDiv w:val="1"/>
      <w:marLeft w:val="0"/>
      <w:marRight w:val="0"/>
      <w:marTop w:val="0"/>
      <w:marBottom w:val="0"/>
      <w:divBdr>
        <w:top w:val="none" w:sz="0" w:space="0" w:color="auto"/>
        <w:left w:val="none" w:sz="0" w:space="0" w:color="auto"/>
        <w:bottom w:val="none" w:sz="0" w:space="0" w:color="auto"/>
        <w:right w:val="none" w:sz="0" w:space="0" w:color="auto"/>
      </w:divBdr>
    </w:div>
    <w:div w:id="261495043">
      <w:bodyDiv w:val="1"/>
      <w:marLeft w:val="0"/>
      <w:marRight w:val="0"/>
      <w:marTop w:val="0"/>
      <w:marBottom w:val="0"/>
      <w:divBdr>
        <w:top w:val="none" w:sz="0" w:space="0" w:color="auto"/>
        <w:left w:val="none" w:sz="0" w:space="0" w:color="auto"/>
        <w:bottom w:val="none" w:sz="0" w:space="0" w:color="auto"/>
        <w:right w:val="none" w:sz="0" w:space="0" w:color="auto"/>
      </w:divBdr>
      <w:divsChild>
        <w:div w:id="1206060580">
          <w:marLeft w:val="0"/>
          <w:marRight w:val="0"/>
          <w:marTop w:val="0"/>
          <w:marBottom w:val="0"/>
          <w:divBdr>
            <w:top w:val="none" w:sz="0" w:space="0" w:color="auto"/>
            <w:left w:val="none" w:sz="0" w:space="0" w:color="auto"/>
            <w:bottom w:val="none" w:sz="0" w:space="0" w:color="auto"/>
            <w:right w:val="none" w:sz="0" w:space="0" w:color="auto"/>
          </w:divBdr>
        </w:div>
      </w:divsChild>
    </w:div>
    <w:div w:id="365452207">
      <w:bodyDiv w:val="1"/>
      <w:marLeft w:val="0"/>
      <w:marRight w:val="0"/>
      <w:marTop w:val="0"/>
      <w:marBottom w:val="0"/>
      <w:divBdr>
        <w:top w:val="none" w:sz="0" w:space="0" w:color="auto"/>
        <w:left w:val="none" w:sz="0" w:space="0" w:color="auto"/>
        <w:bottom w:val="none" w:sz="0" w:space="0" w:color="auto"/>
        <w:right w:val="none" w:sz="0" w:space="0" w:color="auto"/>
      </w:divBdr>
    </w:div>
    <w:div w:id="493955798">
      <w:bodyDiv w:val="1"/>
      <w:marLeft w:val="0"/>
      <w:marRight w:val="0"/>
      <w:marTop w:val="0"/>
      <w:marBottom w:val="0"/>
      <w:divBdr>
        <w:top w:val="none" w:sz="0" w:space="0" w:color="auto"/>
        <w:left w:val="none" w:sz="0" w:space="0" w:color="auto"/>
        <w:bottom w:val="none" w:sz="0" w:space="0" w:color="auto"/>
        <w:right w:val="none" w:sz="0" w:space="0" w:color="auto"/>
      </w:divBdr>
    </w:div>
    <w:div w:id="615988939">
      <w:bodyDiv w:val="1"/>
      <w:marLeft w:val="0"/>
      <w:marRight w:val="0"/>
      <w:marTop w:val="0"/>
      <w:marBottom w:val="0"/>
      <w:divBdr>
        <w:top w:val="none" w:sz="0" w:space="0" w:color="auto"/>
        <w:left w:val="none" w:sz="0" w:space="0" w:color="auto"/>
        <w:bottom w:val="none" w:sz="0" w:space="0" w:color="auto"/>
        <w:right w:val="none" w:sz="0" w:space="0" w:color="auto"/>
      </w:divBdr>
      <w:divsChild>
        <w:div w:id="1910073355">
          <w:marLeft w:val="0"/>
          <w:marRight w:val="0"/>
          <w:marTop w:val="0"/>
          <w:marBottom w:val="0"/>
          <w:divBdr>
            <w:top w:val="none" w:sz="0" w:space="0" w:color="auto"/>
            <w:left w:val="none" w:sz="0" w:space="0" w:color="auto"/>
            <w:bottom w:val="none" w:sz="0" w:space="0" w:color="auto"/>
            <w:right w:val="none" w:sz="0" w:space="0" w:color="auto"/>
          </w:divBdr>
        </w:div>
      </w:divsChild>
    </w:div>
    <w:div w:id="677318843">
      <w:bodyDiv w:val="1"/>
      <w:marLeft w:val="0"/>
      <w:marRight w:val="0"/>
      <w:marTop w:val="0"/>
      <w:marBottom w:val="0"/>
      <w:divBdr>
        <w:top w:val="none" w:sz="0" w:space="0" w:color="auto"/>
        <w:left w:val="none" w:sz="0" w:space="0" w:color="auto"/>
        <w:bottom w:val="none" w:sz="0" w:space="0" w:color="auto"/>
        <w:right w:val="none" w:sz="0" w:space="0" w:color="auto"/>
      </w:divBdr>
    </w:div>
    <w:div w:id="980381707">
      <w:bodyDiv w:val="1"/>
      <w:marLeft w:val="0"/>
      <w:marRight w:val="0"/>
      <w:marTop w:val="0"/>
      <w:marBottom w:val="0"/>
      <w:divBdr>
        <w:top w:val="none" w:sz="0" w:space="0" w:color="auto"/>
        <w:left w:val="none" w:sz="0" w:space="0" w:color="auto"/>
        <w:bottom w:val="none" w:sz="0" w:space="0" w:color="auto"/>
        <w:right w:val="none" w:sz="0" w:space="0" w:color="auto"/>
      </w:divBdr>
    </w:div>
    <w:div w:id="999189789">
      <w:bodyDiv w:val="1"/>
      <w:marLeft w:val="0"/>
      <w:marRight w:val="0"/>
      <w:marTop w:val="0"/>
      <w:marBottom w:val="0"/>
      <w:divBdr>
        <w:top w:val="none" w:sz="0" w:space="0" w:color="auto"/>
        <w:left w:val="none" w:sz="0" w:space="0" w:color="auto"/>
        <w:bottom w:val="none" w:sz="0" w:space="0" w:color="auto"/>
        <w:right w:val="none" w:sz="0" w:space="0" w:color="auto"/>
      </w:divBdr>
    </w:div>
    <w:div w:id="1180899557">
      <w:bodyDiv w:val="1"/>
      <w:marLeft w:val="0"/>
      <w:marRight w:val="0"/>
      <w:marTop w:val="0"/>
      <w:marBottom w:val="0"/>
      <w:divBdr>
        <w:top w:val="none" w:sz="0" w:space="0" w:color="auto"/>
        <w:left w:val="none" w:sz="0" w:space="0" w:color="auto"/>
        <w:bottom w:val="none" w:sz="0" w:space="0" w:color="auto"/>
        <w:right w:val="none" w:sz="0" w:space="0" w:color="auto"/>
      </w:divBdr>
      <w:divsChild>
        <w:div w:id="721831736">
          <w:marLeft w:val="0"/>
          <w:marRight w:val="0"/>
          <w:marTop w:val="0"/>
          <w:marBottom w:val="0"/>
          <w:divBdr>
            <w:top w:val="none" w:sz="0" w:space="0" w:color="auto"/>
            <w:left w:val="none" w:sz="0" w:space="0" w:color="auto"/>
            <w:bottom w:val="none" w:sz="0" w:space="0" w:color="auto"/>
            <w:right w:val="none" w:sz="0" w:space="0" w:color="auto"/>
          </w:divBdr>
        </w:div>
      </w:divsChild>
    </w:div>
    <w:div w:id="1233008807">
      <w:bodyDiv w:val="1"/>
      <w:marLeft w:val="0"/>
      <w:marRight w:val="0"/>
      <w:marTop w:val="0"/>
      <w:marBottom w:val="0"/>
      <w:divBdr>
        <w:top w:val="none" w:sz="0" w:space="0" w:color="auto"/>
        <w:left w:val="none" w:sz="0" w:space="0" w:color="auto"/>
        <w:bottom w:val="none" w:sz="0" w:space="0" w:color="auto"/>
        <w:right w:val="none" w:sz="0" w:space="0" w:color="auto"/>
      </w:divBdr>
    </w:div>
    <w:div w:id="1237401727">
      <w:bodyDiv w:val="1"/>
      <w:marLeft w:val="0"/>
      <w:marRight w:val="0"/>
      <w:marTop w:val="0"/>
      <w:marBottom w:val="0"/>
      <w:divBdr>
        <w:top w:val="none" w:sz="0" w:space="0" w:color="auto"/>
        <w:left w:val="none" w:sz="0" w:space="0" w:color="auto"/>
        <w:bottom w:val="none" w:sz="0" w:space="0" w:color="auto"/>
        <w:right w:val="none" w:sz="0" w:space="0" w:color="auto"/>
      </w:divBdr>
      <w:divsChild>
        <w:div w:id="1099372010">
          <w:marLeft w:val="0"/>
          <w:marRight w:val="0"/>
          <w:marTop w:val="0"/>
          <w:marBottom w:val="0"/>
          <w:divBdr>
            <w:top w:val="none" w:sz="0" w:space="0" w:color="auto"/>
            <w:left w:val="none" w:sz="0" w:space="0" w:color="auto"/>
            <w:bottom w:val="none" w:sz="0" w:space="0" w:color="auto"/>
            <w:right w:val="none" w:sz="0" w:space="0" w:color="auto"/>
          </w:divBdr>
        </w:div>
      </w:divsChild>
    </w:div>
    <w:div w:id="1260288440">
      <w:bodyDiv w:val="1"/>
      <w:marLeft w:val="0"/>
      <w:marRight w:val="0"/>
      <w:marTop w:val="0"/>
      <w:marBottom w:val="0"/>
      <w:divBdr>
        <w:top w:val="none" w:sz="0" w:space="0" w:color="auto"/>
        <w:left w:val="none" w:sz="0" w:space="0" w:color="auto"/>
        <w:bottom w:val="none" w:sz="0" w:space="0" w:color="auto"/>
        <w:right w:val="none" w:sz="0" w:space="0" w:color="auto"/>
      </w:divBdr>
    </w:div>
    <w:div w:id="1393692829">
      <w:bodyDiv w:val="1"/>
      <w:marLeft w:val="0"/>
      <w:marRight w:val="0"/>
      <w:marTop w:val="0"/>
      <w:marBottom w:val="0"/>
      <w:divBdr>
        <w:top w:val="none" w:sz="0" w:space="0" w:color="auto"/>
        <w:left w:val="none" w:sz="0" w:space="0" w:color="auto"/>
        <w:bottom w:val="none" w:sz="0" w:space="0" w:color="auto"/>
        <w:right w:val="none" w:sz="0" w:space="0" w:color="auto"/>
      </w:divBdr>
    </w:div>
    <w:div w:id="1493646118">
      <w:bodyDiv w:val="1"/>
      <w:marLeft w:val="0"/>
      <w:marRight w:val="0"/>
      <w:marTop w:val="0"/>
      <w:marBottom w:val="0"/>
      <w:divBdr>
        <w:top w:val="none" w:sz="0" w:space="0" w:color="auto"/>
        <w:left w:val="none" w:sz="0" w:space="0" w:color="auto"/>
        <w:bottom w:val="none" w:sz="0" w:space="0" w:color="auto"/>
        <w:right w:val="none" w:sz="0" w:space="0" w:color="auto"/>
      </w:divBdr>
    </w:div>
    <w:div w:id="1629509182">
      <w:bodyDiv w:val="1"/>
      <w:marLeft w:val="0"/>
      <w:marRight w:val="0"/>
      <w:marTop w:val="0"/>
      <w:marBottom w:val="0"/>
      <w:divBdr>
        <w:top w:val="none" w:sz="0" w:space="0" w:color="auto"/>
        <w:left w:val="none" w:sz="0" w:space="0" w:color="auto"/>
        <w:bottom w:val="none" w:sz="0" w:space="0" w:color="auto"/>
        <w:right w:val="none" w:sz="0" w:space="0" w:color="auto"/>
      </w:divBdr>
    </w:div>
    <w:div w:id="1676571230">
      <w:bodyDiv w:val="1"/>
      <w:marLeft w:val="0"/>
      <w:marRight w:val="0"/>
      <w:marTop w:val="0"/>
      <w:marBottom w:val="0"/>
      <w:divBdr>
        <w:top w:val="none" w:sz="0" w:space="0" w:color="auto"/>
        <w:left w:val="none" w:sz="0" w:space="0" w:color="auto"/>
        <w:bottom w:val="none" w:sz="0" w:space="0" w:color="auto"/>
        <w:right w:val="none" w:sz="0" w:space="0" w:color="auto"/>
      </w:divBdr>
    </w:div>
    <w:div w:id="1795755539">
      <w:bodyDiv w:val="1"/>
      <w:marLeft w:val="0"/>
      <w:marRight w:val="0"/>
      <w:marTop w:val="0"/>
      <w:marBottom w:val="0"/>
      <w:divBdr>
        <w:top w:val="none" w:sz="0" w:space="0" w:color="auto"/>
        <w:left w:val="none" w:sz="0" w:space="0" w:color="auto"/>
        <w:bottom w:val="none" w:sz="0" w:space="0" w:color="auto"/>
        <w:right w:val="none" w:sz="0" w:space="0" w:color="auto"/>
      </w:divBdr>
    </w:div>
    <w:div w:id="1838498632">
      <w:bodyDiv w:val="1"/>
      <w:marLeft w:val="0"/>
      <w:marRight w:val="0"/>
      <w:marTop w:val="0"/>
      <w:marBottom w:val="0"/>
      <w:divBdr>
        <w:top w:val="none" w:sz="0" w:space="0" w:color="auto"/>
        <w:left w:val="none" w:sz="0" w:space="0" w:color="auto"/>
        <w:bottom w:val="none" w:sz="0" w:space="0" w:color="auto"/>
        <w:right w:val="none" w:sz="0" w:space="0" w:color="auto"/>
      </w:divBdr>
    </w:div>
    <w:div w:id="1874539471">
      <w:bodyDiv w:val="1"/>
      <w:marLeft w:val="0"/>
      <w:marRight w:val="0"/>
      <w:marTop w:val="0"/>
      <w:marBottom w:val="0"/>
      <w:divBdr>
        <w:top w:val="none" w:sz="0" w:space="0" w:color="auto"/>
        <w:left w:val="none" w:sz="0" w:space="0" w:color="auto"/>
        <w:bottom w:val="none" w:sz="0" w:space="0" w:color="auto"/>
        <w:right w:val="none" w:sz="0" w:space="0" w:color="auto"/>
      </w:divBdr>
    </w:div>
    <w:div w:id="1959986172">
      <w:bodyDiv w:val="1"/>
      <w:marLeft w:val="0"/>
      <w:marRight w:val="0"/>
      <w:marTop w:val="0"/>
      <w:marBottom w:val="0"/>
      <w:divBdr>
        <w:top w:val="none" w:sz="0" w:space="0" w:color="auto"/>
        <w:left w:val="none" w:sz="0" w:space="0" w:color="auto"/>
        <w:bottom w:val="none" w:sz="0" w:space="0" w:color="auto"/>
        <w:right w:val="none" w:sz="0" w:space="0" w:color="auto"/>
      </w:divBdr>
    </w:div>
    <w:div w:id="2015836177">
      <w:bodyDiv w:val="1"/>
      <w:marLeft w:val="0"/>
      <w:marRight w:val="0"/>
      <w:marTop w:val="0"/>
      <w:marBottom w:val="0"/>
      <w:divBdr>
        <w:top w:val="none" w:sz="0" w:space="0" w:color="auto"/>
        <w:left w:val="none" w:sz="0" w:space="0" w:color="auto"/>
        <w:bottom w:val="none" w:sz="0" w:space="0" w:color="auto"/>
        <w:right w:val="none" w:sz="0" w:space="0" w:color="auto"/>
      </w:divBdr>
    </w:div>
    <w:div w:id="2076540890">
      <w:bodyDiv w:val="1"/>
      <w:marLeft w:val="0"/>
      <w:marRight w:val="0"/>
      <w:marTop w:val="0"/>
      <w:marBottom w:val="0"/>
      <w:divBdr>
        <w:top w:val="none" w:sz="0" w:space="0" w:color="auto"/>
        <w:left w:val="none" w:sz="0" w:space="0" w:color="auto"/>
        <w:bottom w:val="none" w:sz="0" w:space="0" w:color="auto"/>
        <w:right w:val="none" w:sz="0" w:space="0" w:color="auto"/>
      </w:divBdr>
    </w:div>
    <w:div w:id="21012163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4KYOJGIG4CQT8LmxpWrVjsTbA==">CgMxLjAaHgoBMBIZChcICVITChF0YWJsZS5oNXI4a3Bsb2FycBofCgExEhoKGAgJUhQKEnRhYmxlLmk3ZGZqaXNuZjJpcTgAciExX2VkZF9YMUxrNi1ERHVTbGIzZW9zdzAxd0YwVlFZbW8=</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F23AE36163BC0A48906B3A12D3D861F4" ma:contentTypeVersion="4" ma:contentTypeDescription="Create a new document." ma:contentTypeScope="" ma:versionID="533028201550db960ffce3f81f8f8fe8">
  <xsd:schema xmlns:xsd="http://www.w3.org/2001/XMLSchema" xmlns:xs="http://www.w3.org/2001/XMLSchema" xmlns:p="http://schemas.microsoft.com/office/2006/metadata/properties" xmlns:ns2="2061e58d-0d9c-48a9-866b-ac4e8a0b7398" targetNamespace="http://schemas.microsoft.com/office/2006/metadata/properties" ma:root="true" ma:fieldsID="dcba817b354fc1881ae1fe07c7874fd8" ns2:_="">
    <xsd:import namespace="2061e58d-0d9c-48a9-866b-ac4e8a0b739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61e58d-0d9c-48a9-866b-ac4e8a0b73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4FBF249-3888-47B7-8A93-D935658A3DFE}">
  <ds:schemaRefs>
    <ds:schemaRef ds:uri="http://schemas.openxmlformats.org/officeDocument/2006/bibliography"/>
  </ds:schemaRefs>
</ds:datastoreItem>
</file>

<file path=customXml/itemProps2.xml><?xml version="1.0" encoding="utf-8"?>
<ds:datastoreItem xmlns:ds="http://schemas.openxmlformats.org/officeDocument/2006/customXml" ds:itemID="{2DF49C87-D8A7-4EEC-AB4C-51B0E70FFC7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DA9ECF3D-DD92-4CB4-B33B-F82DF2D097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61e58d-0d9c-48a9-866b-ac4e8a0b73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33727B43-D4F3-4193-8576-665D0550B97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662</TotalTime>
  <Pages>9</Pages>
  <Words>1338</Words>
  <Characters>8447</Characters>
  <Application>Microsoft Office Word</Application>
  <DocSecurity>0</DocSecurity>
  <Lines>187</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Binay Sitaula</dc:creator>
  <cp:keywords/>
  <dc:description/>
  <cp:lastModifiedBy>Juan Jose Vargas Gomez</cp:lastModifiedBy>
  <cp:revision>7</cp:revision>
  <cp:lastPrinted>2025-12-02T03:39:00Z</cp:lastPrinted>
  <dcterms:created xsi:type="dcterms:W3CDTF">2026-01-20T20:18:00Z</dcterms:created>
  <dcterms:modified xsi:type="dcterms:W3CDTF">2026-02-20T01:03:00Z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a2eb1e1569f6b35fce98695f05e4b3638976467fe62aa589efc69e7b59703ce8</vt:lpwstr>
  </property>
  <property fmtid="{D5CDD505-2E9C-101B-9397-08002B2CF9AE}" pid="3" name="ContentTypeId">
    <vt:lpwstr>0x010100F23AE36163BC0A48906B3A12D3D861F4</vt:lpwstr>
  </property>
</Properties>
</file>