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GALT — Galectin Therapeutics Inc.</w:t>
      </w:r>
    </w:p>
    <w:p>
      <w:r>
        <w:rPr>
          <w:i/>
          <w:color w:val="444444"/>
          <w:sz w:val="22"/>
        </w:rPr>
        <w:t>Health Care / Biotechnology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$375.0M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$40.0M (10.7%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Q2 2026 10-Q (6/30/26) shows unrestricted cash of only $13.3M (down from $17.7M at 12/31/25) and carries going-concern (substantial doubt) language. Management states runway "through at least March 2027" (10-Q text cites June 2027, so sources differ slightly). Chairman Richard Uihlein has been the funding backstop: $105.8M of related-party credit lines converted into ~34.4M shares effective 7/31/26, leaving only a $10M undrawn line. No PIPE, registered direct or public offering found in the last 6 months. Registrational Phase 3 for belapectin has not yet been funded.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start-up of the registrational Phase 3 belapectin trial in MASH cirrhosis (single 2 mg/kg dose, composite liver-outcome endpoint agreed at the 6/23/26 FDA Type C meeting) and retire the going-concern qualification. Size is our estimate of the initial Phase 3 start-up and 12-18 months of operating costs; Phase 3 budget is not disclosed.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Phase 3 protocol submission was planned for 3Q26; a dated cash-out horizon is March-June 2027, so a raise has to be done well before the next 10-K going-concern assessment (early 2027). Related-party debt would otherwise have matured 6/30/27 (now converted).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is another year of going-concern language and dependence on one insider. The FDA alignment on the Phase 3 endpoint is a fresh de-risking event; an institutional investor can underwrite a defined trial with a defined endpoint. Dilution of ~10.7% is modest for a distress name and the chairman conversion has already cleaned up the balance sheet.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Mr. Uihlein may prefer to keep funding privately, making an institutional raise unnecessary or giving him effective veto over terms. Phase 3 cost is unknown, so the $40M size is an estimate and may be too small. Cash conflicts exist across sources (runway dates vary). An ATM under a $200M shelf is reportedly already in place (unverified), which may be the company's preferred route. Partnership discussions could substitute for equity.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GALT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$375.0M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10.7%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Medium-High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