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STIM — Neuronetics Inc.</w:t>
      </w:r>
    </w:p>
    <w:p>
      <w:r>
        <w:rPr>
          <w:i/>
          <w:color w:val="444444"/>
          <w:sz w:val="22"/>
        </w:rPr>
        <w:t>Health Care / Medical Devices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$148.6M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$30.0M (20.2%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Going-concern doubt was flagged in the 10-Q filed 5/5/26 (secondary source, consistent with liquidity language). Unrestricted cash was $19.2M at 6/30/26 (from $28.1M at 12/31/25) against $61.5M of net long-term Perceptive debt. Management projects a possible breach of the minimum trailing-twelve-month revenue covenant for the period ending 3/31/27, which would let the lender call the facility; covenants were amended in Aug 2025 and Mar 2026. Debt capacity is effectively exhausted. Operations are improving (Q2 revenue $41.6M, +9%; adj. EBITDA +$0.3M), but small ATM sales (~$8M in Q2, unverified) show equity is already the marginal source.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Build a liquidity and covenant cushion ahead of the 9/30/26 minimum-liquidity step-up and the 3/31/27 revenue test, and partially pay down the Perceptive facility to reduce the lender's leverage over the company. $30M is our estimate sized to roughly 1.5x current cash; no company-disclosed figure exists.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Hard dates: minimum-liquidity covenant steps up after 9/30/26 (now past), revenue covenant test 3/31/27, going-concern reassessment at the 10-K. Q3 results (early Nov) are the next disclosure point.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alternative is covenant default and a lender-controlled outcome. Back-to-back quarterly improvement (adj. EBITDA turned positive) gives a rescue investor a credible turnaround story at ~$149M market cap, and a structured raise can be paired with a covenant reset to a lender who benefits from de-risking.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Perceptive likely has consent rights over new equity and liens and may demand paydown or tighter terms. Management has favored debt amendments plus small ATM draws over a marketed deal. Share price is volatile (reported $1.83 to $3.03 in weeks), making a $30M raise ~20% dilution at an uncertain price. Going-concern and covenant details come largely from secondary summaries and should be verified in the 10-Q.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STIM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$148.6M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$30.0M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20.2%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