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Weekly Equity-Raise Candidate Research — Summary</w:t>
      </w:r>
    </w:p>
    <w:p>
      <w:r>
        <w:rPr>
          <w:i w:val="0"/>
          <w:sz w:val="22"/>
        </w:rPr>
        <w:t>Week of 2026-10-17</w:t>
      </w:r>
    </w:p>
    <w:p>
      <w:pPr>
        <w:spacing w:before="280" w:after="120"/>
      </w:pPr>
      <w:r>
        <w:rPr>
          <w:color w:val="2E74B5"/>
          <w:sz w:val="32"/>
        </w:rPr>
        <w:t>Keep Names — One-Pager Summary (Both Screens, Accumulated)</w:t>
      </w:r>
    </w:p>
    <w:p>
      <w:r>
        <w:rPr>
          <w:i w:val="0"/>
          <w:sz w:val="22"/>
        </w:rPr>
        <w:t>Every Keep name with a finished one-pager in this folder, across all batches researched this week.</w:t>
      </w:r>
    </w:p>
    <w:tbl>
      <w:tblPr>
        <w:tblW w:type="auto" w:w="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Market Cap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Raise Size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% of Mkt Cap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Urgency</w:t>
            </w:r>
          </w:p>
        </w:tc>
      </w:tr>
    </w:tbl>
    <w:p>
      <w:pPr>
        <w:spacing w:before="280" w:after="120"/>
      </w:pPr>
      <w:r>
        <w:rPr>
          <w:color w:val="2E74B5"/>
          <w:sz w:val="32"/>
        </w:rPr>
        <w:t>Full Disposition — Weekly run 2026-10-17: Up-screen 1 candidate (0 at/above research threshold); Distress-screen: no candidates (file header only). No Keep names this week.</w:t>
      </w:r>
    </w:p>
    <w:tbl>
      <w:tblPr>
        <w:tblW w:type="auto" w:w="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Disposition</w:t>
            </w:r>
          </w:p>
        </w:tc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EBF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 (profitability_override=True, no unused shelf, no notable sector/leverage component to spot-check).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