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FBYD — Falcon's Beyond Global, Inc.</w:t>
      </w:r>
    </w:p>
    <w:p>
      <w:r>
        <w:rPr>
          <w:i/>
          <w:color w:val="444444"/>
          <w:sz w:val="22"/>
        </w:rPr>
        <w:t>Consumer Staples / Themed attractions &amp; entertainment</w:t>
      </w:r>
    </w:p>
    <w:p>
      <w:r>
        <w:rPr>
          <w:b/>
          <w:sz w:val="22"/>
        </w:rPr>
        <w:t xml:space="preserve">Current Market Cap:  </w:t>
      </w:r>
      <w:r>
        <w:rPr>
          <w:sz w:val="22"/>
        </w:rPr>
        <w:t>$1,068.0M</w:t>
      </w:r>
    </w:p>
    <w:p>
      <w:r>
        <w:rPr>
          <w:b/>
          <w:sz w:val="22"/>
        </w:rPr>
        <w:t xml:space="preserve">Proposed Raise Size:  </w:t>
      </w:r>
      <w:r>
        <w:rPr>
          <w:sz w:val="22"/>
        </w:rPr>
        <w:t>$40.0M (3.7% of market cap)</w:t>
      </w:r>
    </w:p>
    <w:p>
      <w:pPr>
        <w:spacing w:before="200" w:after="80"/>
      </w:pPr>
      <w:r>
        <w:rPr>
          <w:color w:val="2E74B5"/>
          <w:sz w:val="26"/>
        </w:rPr>
        <w:t>Thesis</w:t>
      </w:r>
    </w:p>
    <w:p>
      <w:r>
        <w:rPr>
          <w:i w:val="0"/>
          <w:sz w:val="22"/>
        </w:rPr>
        <w:t>Q2 2026 10-Q (June 30) carries explicit going-concern language: operating losses and negative operating cash flow raise substantial doubt, and the company's refinancing and strategic-alternatives steps 'do not alleviate' it. Cash was only $3.1M against $8.9M of short-term debt, a working-capital deficit of $8.4M, total indebtedness of about $16.5M, and a $6.9M deferred loan settlement due by January 2027. Q2 adjusted EBITDA was -$5.2M on revenue of $5.6M. No equity raise was found in the last six months.</w:t>
      </w:r>
    </w:p>
    <w:p>
      <w:pPr>
        <w:spacing w:before="200" w:after="80"/>
      </w:pPr>
      <w:r>
        <w:rPr>
          <w:color w:val="2E74B5"/>
          <w:sz w:val="26"/>
        </w:rPr>
        <w:t>Use of Proceeds</w:t>
      </w:r>
    </w:p>
    <w:p>
      <w:r>
        <w:rPr>
          <w:i w:val="0"/>
          <w:sz w:val="22"/>
        </w:rPr>
        <w:t>Repay the roughly $8.9M of short-term debt and the $6.9M January 2027 deferred loan settlement (about $16M), and fund roughly 12 months of operating shortfall (about $20M at the current ~$5M quarterly adjusted-EBITDA loss) plus a small cushion. $40M is our estimate; it is below the 40% cap.</w:t>
      </w:r>
    </w:p>
    <w:p>
      <w:pPr>
        <w:spacing w:before="200" w:after="80"/>
      </w:pPr>
      <w:r>
        <w:rPr>
          <w:color w:val="2E74B5"/>
          <w:sz w:val="26"/>
        </w:rPr>
        <w:t>Timing</w:t>
      </w:r>
    </w:p>
    <w:p>
      <w:r>
        <w:rPr>
          <w:i w:val="0"/>
          <w:sz w:val="22"/>
        </w:rPr>
        <w:t>January 31, 2027 is the hard date for the $6.9M loan settlement; the $8.9M of short-term debt falls due within 12 months of June 30, 2026. With $3.1M of cash, the company has roughly one quarter of liquidity before it must refinance.</w:t>
      </w:r>
    </w:p>
    <w:p>
      <w:pPr>
        <w:spacing w:before="200" w:after="80"/>
      </w:pPr>
      <w:r>
        <w:rPr>
          <w:color w:val="2E74B5"/>
          <w:sz w:val="26"/>
        </w:rPr>
        <w:t>Why Raise Now</w:t>
      </w:r>
    </w:p>
    <w:p>
      <w:r>
        <w:rPr>
          <w:i w:val="0"/>
          <w:sz w:val="22"/>
        </w:rPr>
        <w:t>The alternative is default or a forced strategic sale at distressed value. At a reported ~$1.07B market cap, a $40M raise is under 4% dilution, a small price for removing the going-concern flag, and it gives a rescue or growth investor a clean entry. The Attractions pipeline ($28.4M contracted) gives the story something concrete to underwrite.</w:t>
      </w:r>
    </w:p>
    <w:p>
      <w:pPr>
        <w:spacing w:before="200" w:after="80"/>
      </w:pPr>
      <w:r>
        <w:rPr>
          <w:color w:val="2E74B5"/>
          <w:sz w:val="26"/>
        </w:rPr>
        <w:t>Risks to the Pitch</w:t>
      </w:r>
    </w:p>
    <w:p>
      <w:r>
        <w:rPr>
          <w:i w:val="0"/>
          <w:sz w:val="22"/>
        </w:rPr>
        <w:t>The reported market cap looks inconsistent with $3.1M of cash and ~$5.6M of quarterly revenue (possible share-class or float effects). Verify share count and price before pitching, because the true dilution could be far higher. Lender consent rights on the debt were not verified. Management is already pursuing refinancing and strategic alternatives, which could resolve the need without a marketed equity deal. Figures come from filing summaries and aggregators, not a full read of the 10-Q.</w:t>
      </w:r>
    </w:p>
    <w:p>
      <w:pPr>
        <w:spacing w:before="200" w:after="80"/>
      </w:pPr>
      <w:r>
        <w:rPr>
          <w:color w:val="2E74B5"/>
          <w:sz w:val="26"/>
        </w:rPr>
        <w:t>Summary</w:t>
      </w:r>
    </w:p>
    <w:tbl>
      <w:tblPr>
        <w:tblW w:type="auto" w:w="0"/>
        <w:tblBorders>
          <w:top w:val="single" w:sz="4" w:color="auto"/>
          <w:left w:val="single" w:sz="4" w:color="auto"/>
          <w:bottom w:val="single" w:sz="4" w:color="auto"/>
          <w:right w:val="single" w:sz="4" w:color="auto"/>
          <w:insideH w:val="single" w:sz="4" w:color="auto"/>
          <w:insideV w:val="single" w:sz="4" w:color="auto"/>
        </w:tblBorders>
        <w:tblLook w:firstColumn="1" w:firstRow="1" w:lastColumn="0" w:lastRow="0" w:noHBand="0" w:noVBand="1" w:val="04A0"/>
      </w:tblPr>
      <w:tblGrid>
        <w:gridCol w:w="1728"/>
        <w:gridCol w:w="1728"/>
        <w:gridCol w:w="1728"/>
        <w:gridCol w:w="1728"/>
        <w:gridCol w:w="1728"/>
      </w:tblGrid>
      <w:tr>
        <w:tc>
          <w:tcPr>
            <w:tcW w:type="dxa" w:w="1728"/>
            <w:shd w:val="clear" w:color="auto" w:fill="1F3864"/>
          </w:tcPr>
          <w:p>
            <w:r/>
            <w:r>
              <w:rPr>
                <w:b/>
                <w:color w:val="FFFFFF"/>
                <w:sz w:val="18"/>
              </w:rPr>
              <w:t>Ticker</w:t>
            </w:r>
          </w:p>
        </w:tc>
        <w:tc>
          <w:tcPr>
            <w:tcW w:type="dxa" w:w="1728"/>
            <w:shd w:val="clear" w:color="auto" w:fill="1F3864"/>
          </w:tcPr>
          <w:p>
            <w:r/>
            <w:r>
              <w:rPr>
                <w:b/>
                <w:color w:val="FFFFFF"/>
                <w:sz w:val="18"/>
              </w:rPr>
              <w:t>Market Cap</w:t>
            </w:r>
          </w:p>
        </w:tc>
        <w:tc>
          <w:tcPr>
            <w:tcW w:type="dxa" w:w="1728"/>
            <w:shd w:val="clear" w:color="auto" w:fill="1F3864"/>
          </w:tcPr>
          <w:p>
            <w:r/>
            <w:r>
              <w:rPr>
                <w:b/>
                <w:color w:val="FFFFFF"/>
                <w:sz w:val="18"/>
              </w:rPr>
              <w:t>Raise Size</w:t>
            </w:r>
          </w:p>
        </w:tc>
        <w:tc>
          <w:tcPr>
            <w:tcW w:type="dxa" w:w="1728"/>
            <w:shd w:val="clear" w:color="auto" w:fill="1F3864"/>
          </w:tcPr>
          <w:p>
            <w:r/>
            <w:r>
              <w:rPr>
                <w:b/>
                <w:color w:val="FFFFFF"/>
                <w:sz w:val="18"/>
              </w:rPr>
              <w:t>% of Market Cap</w:t>
            </w:r>
          </w:p>
        </w:tc>
        <w:tc>
          <w:tcPr>
            <w:tcW w:type="dxa" w:w="1728"/>
            <w:shd w:val="clear" w:color="auto" w:fill="1F3864"/>
          </w:tcPr>
          <w:p>
            <w:r/>
            <w:r>
              <w:rPr>
                <w:b/>
                <w:color w:val="FFFFFF"/>
                <w:sz w:val="18"/>
              </w:rPr>
              <w:t>Urgency</w:t>
            </w:r>
          </w:p>
        </w:tc>
      </w:tr>
      <w:tr>
        <w:tc>
          <w:tcPr>
            <w:tcW w:type="dxa" w:w="1728"/>
          </w:tcPr>
          <w:p>
            <w:r/>
            <w:r>
              <w:rPr>
                <w:sz w:val="17"/>
              </w:rPr>
              <w:t>FBYD</w:t>
            </w:r>
          </w:p>
        </w:tc>
        <w:tc>
          <w:tcPr>
            <w:tcW w:type="dxa" w:w="1728"/>
          </w:tcPr>
          <w:p>
            <w:r/>
            <w:r>
              <w:rPr>
                <w:sz w:val="17"/>
              </w:rPr>
              <w:t>$1,068.0M</w:t>
            </w:r>
          </w:p>
        </w:tc>
        <w:tc>
          <w:tcPr>
            <w:tcW w:type="dxa" w:w="1728"/>
          </w:tcPr>
          <w:p>
            <w:r/>
            <w:r>
              <w:rPr>
                <w:sz w:val="17"/>
              </w:rPr>
              <w:t>$40.0M</w:t>
            </w:r>
          </w:p>
        </w:tc>
        <w:tc>
          <w:tcPr>
            <w:tcW w:type="dxa" w:w="1728"/>
          </w:tcPr>
          <w:p>
            <w:r/>
            <w:r>
              <w:rPr>
                <w:sz w:val="17"/>
              </w:rPr>
              <w:t>3.7%</w:t>
            </w:r>
          </w:p>
        </w:tc>
        <w:tc>
          <w:tcPr>
            <w:tcW w:type="dxa" w:w="1728"/>
          </w:tcPr>
          <w:p>
            <w:r/>
            <w:r>
              <w:rPr>
                <w:sz w:val="17"/>
              </w:rPr>
              <w:t>High</w:t>
            </w:r>
          </w:p>
        </w:tc>
      </w:tr>
    </w:tbl>
    <w:p>
      <w:r>
        <w:rPr>
          <w:i/>
          <w:color w:val="444444"/>
          <w:sz w:val="18"/>
        </w:rPr>
        <w:t>Note: Going-concern language cited from the Q2 2026 10-Q via third-party summaries; cash, debt and market cap not independently verified against the filing.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