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GNLX — Genelux Corporation</w:t>
      </w:r>
    </w:p>
    <w:p>
      <w:r>
        <w:rPr>
          <w:i/>
          <w:color w:val="444444"/>
          <w:sz w:val="22"/>
        </w:rPr>
        <w:t>Health Care / Oncolytic virus immunotherapy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$113.0M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$40.0M (35.4%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The June 30, 2026 10-Q reports recurring losses and substantial doubt about going concern; the auditor's report on the 2025 statements carried the same explanatory paragraph. Cash and securities were $18.7M, down from $26.3M in Q1, and management expects them to fund operations only into Q1 2027, with additional financing needed to complete Olvi-Vec development. Q2 net loss was $9.5M. A January 2026 underwritten offering raised about $18.5M net.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Carry the company through the Phase 3 OnPrime/GOG-3076 topline readout in platinum-resistant ovarian cancer (guided 2H26 after slipping from 1H26) and fund about 12 months of operations afterward. At roughly $9.5M per quarter, $40M is about four quarters. Our estimate.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Runway ends in Q1 2027, only about five months out. The Phase 3 topline is the key dated event, and it has already slipped once.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Going-concern language plus a short runway means a post-data raise would be struck under duress if the readout slips again or disappoints. Raising before topline, while the Phase 3 remains a live option, is the better entry for existing holders as well as for a rescue investor. The $40M size is a large share of market cap (about 35%) but is tied to a concrete, binary event.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The company has a $100M ATM with TD Securities (March 2026, usage unknown) and could drip-fund instead. The raise is close to the 40% cap and the dilution may be resisted. Another readout delay would push the story out. The January offering was only nine months ago.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GNLX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$113.0M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35.4%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r>
        <w:rPr>
          <w:i/>
          <w:color w:val="444444"/>
          <w:sz w:val="18"/>
        </w:rPr>
        <w:t>Note: Under the 40% cap ($45.2M); ATM usage not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