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PRME — Prime Medicine, Inc.</w:t>
      </w:r>
    </w:p>
    <w:p>
      <w:r>
        <w:rPr>
          <w:i/>
          <w:color w:val="444444"/>
          <w:sz w:val="22"/>
        </w:rPr>
        <w:t>Health Care / Gene editing (prime editing)</w:t>
      </w:r>
    </w:p>
    <w:p>
      <w:r>
        <w:rPr>
          <w:b/>
          <w:sz w:val="22"/>
        </w:rPr>
        <w:t xml:space="preserve">Current Market Cap:  </w:t>
      </w:r>
      <w:r>
        <w:rPr>
          <w:sz w:val="22"/>
        </w:rPr>
        <w:t>$649.0M</w:t>
      </w:r>
    </w:p>
    <w:p>
      <w:r>
        <w:rPr>
          <w:b/>
          <w:sz w:val="22"/>
        </w:rPr>
        <w:t xml:space="preserve">Proposed Raise Size:  </w:t>
      </w:r>
      <w:r>
        <w:rPr>
          <w:sz w:val="22"/>
        </w:rPr>
        <w:t>$150.0M (23.1% of market cap)</w:t>
      </w:r>
    </w:p>
    <w:p>
      <w:pPr>
        <w:spacing w:before="200" w:after="80"/>
      </w:pPr>
      <w:r>
        <w:rPr>
          <w:color w:val="2E74B5"/>
          <w:sz w:val="26"/>
        </w:rPr>
        <w:t>Thesis</w:t>
      </w:r>
    </w:p>
    <w:p>
      <w:r>
        <w:rPr>
          <w:i w:val="0"/>
          <w:sz w:val="22"/>
        </w:rPr>
        <w:t>Cash, equivalents, investments and restricted cash were $108.8M at June 30, 2026 ($95.1M excluding restricted cash), against a Q2 net loss of $42.1M and six-month loss of $91.2M. The Q1 10-Q stated substantial doubt about going concern for 12 months; the Q2 10-Q ties continuing operations to obtaining financing, including at-the-market sales, and third-party summaries say the doubt persists. The company guides to runway 'into 2027'. No equity raise was found in 2026; the last was an August 2025 deal of about $144M gross at $3.30.</w:t>
      </w:r>
    </w:p>
    <w:p>
      <w:pPr>
        <w:spacing w:before="200" w:after="80"/>
      </w:pPr>
      <w:r>
        <w:rPr>
          <w:color w:val="2E74B5"/>
          <w:sz w:val="26"/>
        </w:rPr>
        <w:t>Use of Proceeds</w:t>
      </w:r>
    </w:p>
    <w:p>
      <w:r>
        <w:rPr>
          <w:i w:val="0"/>
          <w:sz w:val="22"/>
        </w:rPr>
        <w:t>Fund the PM359 BLA submission planned for H1 2027 and initial clinical data for PM577a and PM647 in 2027, adding roughly 3-4 quarters of runway at the current ~$40M quarterly burn. $150M is our estimate.</w:t>
      </w:r>
    </w:p>
    <w:p>
      <w:pPr>
        <w:spacing w:before="200" w:after="80"/>
      </w:pPr>
      <w:r>
        <w:rPr>
          <w:color w:val="2E74B5"/>
          <w:sz w:val="26"/>
        </w:rPr>
        <w:t>Timing</w:t>
      </w:r>
    </w:p>
    <w:p>
      <w:r>
        <w:rPr>
          <w:i w:val="0"/>
          <w:sz w:val="22"/>
        </w:rPr>
        <w:t>Runway ends in 2027, inside the 12-month going-concern window. The existing shelf expires 11/13/2026 and the company has said it plans a new automatic shelf; that is a dated filing event.</w:t>
      </w:r>
    </w:p>
    <w:p>
      <w:pPr>
        <w:spacing w:before="200" w:after="80"/>
      </w:pPr>
      <w:r>
        <w:rPr>
          <w:color w:val="2E74B5"/>
          <w:sz w:val="26"/>
        </w:rPr>
        <w:t>Why Raise Now</w:t>
      </w:r>
    </w:p>
    <w:p>
      <w:r>
        <w:rPr>
          <w:i w:val="0"/>
          <w:sz w:val="22"/>
        </w:rPr>
        <w:t>The alternative is a financing done from a going-concern position into the 2027 data and BLA events. The shelf reset is a natural moment to pair registration with a marketed deal, and a $150M raise (~23% of market cap) is the kind of size the stock can absorb before the catalysts instead of after any slip.</w:t>
      </w:r>
    </w:p>
    <w:p>
      <w:pPr>
        <w:spacing w:before="200" w:after="80"/>
      </w:pPr>
      <w:r>
        <w:rPr>
          <w:color w:val="2E74B5"/>
          <w:sz w:val="26"/>
        </w:rPr>
        <w:t>Risks to the Pitch</w:t>
      </w:r>
    </w:p>
    <w:p>
      <w:r>
        <w:rPr>
          <w:i w:val="0"/>
          <w:sz w:val="22"/>
        </w:rPr>
        <w:t>The company has a track record of using ATMs and may prefer drip financing to a marketed deal. The Q2 going-concern wording was not seen directly (the excerpt cut off before the conclusion). Cash figures differ by definition ($95.1M vs $108.8M). Gene-editing sector sentiment and the 2027 data timing could make investors wait.</w:t>
      </w:r>
    </w:p>
    <w:p>
      <w:pPr>
        <w:spacing w:before="200" w:after="80"/>
      </w:pPr>
      <w:r>
        <w:rPr>
          <w:color w:val="2E74B5"/>
          <w:sz w:val="26"/>
        </w:rPr>
        <w:t>Summary</w:t>
      </w:r>
    </w:p>
    <w:tbl>
      <w:tblPr>
        <w:tblW w:type="auto" w:w="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Raise Size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% of 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Urgency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PRME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$649.0M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$150.0M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23.1%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Medium-High</w:t>
            </w:r>
          </w:p>
        </w:tc>
      </w:tr>
    </w:tbl>
    <w:p>
      <w:r>
        <w:rPr>
          <w:i/>
          <w:color w:val="444444"/>
          <w:sz w:val="18"/>
        </w:rPr>
        <w:t>Note: Going-concern status for Q2 reported by summaries; exact 10-Q wording should be confirmed.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